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699595" w14:textId="3352FD27" w:rsidR="00B0625D" w:rsidRDefault="00B0625D" w:rsidP="00B0625D">
      <w:pPr>
        <w:spacing w:after="0" w:line="360" w:lineRule="auto"/>
        <w:jc w:val="center"/>
        <w:rPr>
          <w:rFonts w:ascii="Times New Roman" w:hAnsi="Times New Roman" w:cs="Times New Roman"/>
          <w:sz w:val="32"/>
          <w:szCs w:val="24"/>
          <w:lang w:val="en-GB"/>
        </w:rPr>
      </w:pPr>
      <w:r w:rsidRPr="00B0625D">
        <w:rPr>
          <w:rFonts w:ascii="Times New Roman" w:hAnsi="Times New Roman" w:cs="Times New Roman"/>
          <w:sz w:val="32"/>
          <w:szCs w:val="24"/>
          <w:lang w:val="en-GB"/>
        </w:rPr>
        <w:t xml:space="preserve">Assessing academic inbreeding in </w:t>
      </w:r>
      <w:r w:rsidR="005D428C">
        <w:rPr>
          <w:rFonts w:ascii="Times New Roman" w:hAnsi="Times New Roman" w:cs="Times New Roman"/>
          <w:sz w:val="32"/>
          <w:szCs w:val="24"/>
          <w:lang w:val="en-GB"/>
        </w:rPr>
        <w:t>CEE</w:t>
      </w:r>
      <w:r w:rsidRPr="00B0625D">
        <w:rPr>
          <w:rFonts w:ascii="Times New Roman" w:hAnsi="Times New Roman" w:cs="Times New Roman"/>
          <w:sz w:val="32"/>
          <w:szCs w:val="24"/>
          <w:lang w:val="en-GB"/>
        </w:rPr>
        <w:t xml:space="preserve"> </w:t>
      </w:r>
      <w:r w:rsidR="005D428C">
        <w:rPr>
          <w:rFonts w:ascii="Times New Roman" w:hAnsi="Times New Roman" w:cs="Times New Roman"/>
          <w:sz w:val="32"/>
          <w:szCs w:val="24"/>
          <w:lang w:val="en-GB"/>
        </w:rPr>
        <w:t>– the case of Bulgaria</w:t>
      </w:r>
    </w:p>
    <w:p w14:paraId="63494551" w14:textId="742140FF" w:rsidR="000F4E0A" w:rsidRDefault="000F4E0A" w:rsidP="000F4E0A">
      <w:pPr>
        <w:spacing w:after="0" w:line="360" w:lineRule="auto"/>
        <w:jc w:val="center"/>
        <w:rPr>
          <w:rFonts w:ascii="Times New Roman" w:hAnsi="Times New Roman" w:cs="Times New Roman"/>
          <w:sz w:val="32"/>
          <w:szCs w:val="24"/>
          <w:lang w:val="en-GB"/>
        </w:rPr>
      </w:pPr>
      <w:r>
        <w:rPr>
          <w:rFonts w:ascii="Times New Roman" w:hAnsi="Times New Roman" w:cs="Times New Roman"/>
          <w:sz w:val="32"/>
          <w:szCs w:val="24"/>
          <w:lang w:val="en-GB"/>
        </w:rPr>
        <w:t>Stoycho Rusinov</w:t>
      </w:r>
    </w:p>
    <w:p w14:paraId="3AC75C2A" w14:textId="67761599" w:rsidR="000F4E0A" w:rsidRDefault="000F4E0A" w:rsidP="000F4E0A">
      <w:pPr>
        <w:spacing w:after="0" w:line="360" w:lineRule="auto"/>
        <w:jc w:val="center"/>
        <w:rPr>
          <w:rFonts w:ascii="Times New Roman" w:hAnsi="Times New Roman" w:cs="Times New Roman"/>
          <w:sz w:val="32"/>
          <w:szCs w:val="24"/>
          <w:lang w:val="en-GB"/>
        </w:rPr>
      </w:pPr>
      <w:r>
        <w:rPr>
          <w:rFonts w:ascii="Times New Roman" w:hAnsi="Times New Roman" w:cs="Times New Roman"/>
          <w:sz w:val="32"/>
          <w:szCs w:val="24"/>
          <w:lang w:val="en-GB"/>
        </w:rPr>
        <w:t>Iliyan Vasilev</w:t>
      </w:r>
    </w:p>
    <w:p w14:paraId="3B8609A0" w14:textId="202C1179" w:rsidR="00B0625D" w:rsidRPr="00CD7903" w:rsidRDefault="00B0625D" w:rsidP="00CD7903">
      <w:pPr>
        <w:spacing w:after="0" w:line="360" w:lineRule="auto"/>
        <w:rPr>
          <w:rFonts w:ascii="Times New Roman" w:hAnsi="Times New Roman" w:cs="Times New Roman"/>
          <w:sz w:val="24"/>
          <w:szCs w:val="24"/>
          <w:lang w:val="en-GB"/>
        </w:rPr>
      </w:pPr>
    </w:p>
    <w:p w14:paraId="55A71A55" w14:textId="412AF64B" w:rsidR="00B0625D" w:rsidRPr="00CD7903" w:rsidRDefault="00B0625D" w:rsidP="00CD7903">
      <w:pPr>
        <w:pStyle w:val="ListParagraph"/>
        <w:numPr>
          <w:ilvl w:val="0"/>
          <w:numId w:val="1"/>
        </w:numPr>
        <w:spacing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 xml:space="preserve">Introduction </w:t>
      </w:r>
    </w:p>
    <w:p w14:paraId="1389CDD3" w14:textId="2B46E877" w:rsidR="00BA6B9B" w:rsidRPr="00CD7903" w:rsidRDefault="00BA6B9B"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Academic inbreeding, defined as institutional inbreeding (</w:t>
      </w:r>
      <w:r w:rsidRPr="00CD7903">
        <w:rPr>
          <w:rFonts w:ascii="Times New Roman" w:hAnsi="Times New Roman" w:cs="Times New Roman"/>
          <w:i/>
          <w:iCs/>
          <w:sz w:val="24"/>
          <w:szCs w:val="24"/>
          <w:lang w:val="en-GB"/>
        </w:rPr>
        <w:t>Horta, 2013</w:t>
      </w:r>
      <w:r w:rsidRPr="00CD7903">
        <w:rPr>
          <w:rFonts w:ascii="Times New Roman" w:hAnsi="Times New Roman" w:cs="Times New Roman"/>
          <w:sz w:val="24"/>
          <w:szCs w:val="24"/>
          <w:lang w:val="en-GB"/>
        </w:rPr>
        <w:t>), commonly refers to the malign recruitment practices of universities to hire their own doctoral graduates as faculty members, who subsequently remain within the same institution throughout their whole academic careers. This phenomenon was identified early in 1960s, when Bernard Berelson first described it as the tendency of universities to hire “their own doctoral students after graduation, who subsequently remain at the institution to work for their entire careers” (</w:t>
      </w:r>
      <w:r w:rsidRPr="00CD7903">
        <w:rPr>
          <w:rFonts w:ascii="Times New Roman" w:hAnsi="Times New Roman" w:cs="Times New Roman"/>
          <w:i/>
          <w:iCs/>
          <w:sz w:val="24"/>
          <w:szCs w:val="24"/>
          <w:lang w:val="en-GB"/>
        </w:rPr>
        <w:t>Berelson, 1960</w:t>
      </w:r>
      <w:r w:rsidRPr="00CD7903">
        <w:rPr>
          <w:rFonts w:ascii="Times New Roman" w:hAnsi="Times New Roman" w:cs="Times New Roman"/>
          <w:sz w:val="24"/>
          <w:szCs w:val="24"/>
          <w:lang w:val="en-GB"/>
        </w:rPr>
        <w:t xml:space="preserve">). </w:t>
      </w:r>
    </w:p>
    <w:p w14:paraId="7914D351" w14:textId="0235F3A6" w:rsidR="0027782A" w:rsidRPr="00CD7903" w:rsidRDefault="0027782A"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This manuscript examines the drivers and consequences of academic inbreeding in Central and Eastern Europe. Focusing on Bulgaria, we exploit</w:t>
      </w:r>
      <w:r w:rsidR="00BA6B9B" w:rsidRPr="00CD7903">
        <w:rPr>
          <w:rFonts w:ascii="Times New Roman" w:hAnsi="Times New Roman" w:cs="Times New Roman"/>
          <w:sz w:val="24"/>
          <w:szCs w:val="24"/>
          <w:lang w:val="en-GB"/>
        </w:rPr>
        <w:t xml:space="preserve"> the country’s</w:t>
      </w:r>
      <w:r w:rsidRPr="00CD7903">
        <w:rPr>
          <w:rFonts w:ascii="Times New Roman" w:hAnsi="Times New Roman" w:cs="Times New Roman"/>
          <w:sz w:val="24"/>
          <w:szCs w:val="24"/>
          <w:lang w:val="en-GB"/>
        </w:rPr>
        <w:t xml:space="preserve"> relatively high data availability to construct population-based measures of academic inbreeding for three faculties at Sofia University St. Kliment Ohridski</w:t>
      </w:r>
      <w:r w:rsidR="00FF5CBF" w:rsidRPr="00CD7903">
        <w:rPr>
          <w:rFonts w:ascii="Times New Roman" w:hAnsi="Times New Roman" w:cs="Times New Roman"/>
          <w:sz w:val="24"/>
          <w:szCs w:val="24"/>
          <w:lang w:val="en-GB"/>
        </w:rPr>
        <w:t xml:space="preserve"> – </w:t>
      </w:r>
      <w:r w:rsidRPr="00CD7903">
        <w:rPr>
          <w:rFonts w:ascii="Times New Roman" w:hAnsi="Times New Roman" w:cs="Times New Roman"/>
          <w:sz w:val="24"/>
          <w:szCs w:val="24"/>
          <w:lang w:val="en-GB"/>
        </w:rPr>
        <w:t>the Faculty of Pedagogy, the Faculty of Physics and Astronomy, and the Faculty of Economics and Business Administration (FEBA)</w:t>
      </w:r>
      <w:r w:rsidR="00FF5CBF" w:rsidRPr="00CD7903">
        <w:rPr>
          <w:rFonts w:ascii="Times New Roman" w:hAnsi="Times New Roman" w:cs="Times New Roman"/>
          <w:sz w:val="24"/>
          <w:szCs w:val="24"/>
          <w:lang w:val="en-GB"/>
        </w:rPr>
        <w:t xml:space="preserve"> – </w:t>
      </w:r>
      <w:r w:rsidRPr="00CD7903">
        <w:rPr>
          <w:rFonts w:ascii="Times New Roman" w:hAnsi="Times New Roman" w:cs="Times New Roman"/>
          <w:sz w:val="24"/>
          <w:szCs w:val="24"/>
          <w:lang w:val="en-GB"/>
        </w:rPr>
        <w:t>as well as for New Bulgarian University (NBU), which serves as a reference case.</w:t>
      </w:r>
    </w:p>
    <w:p w14:paraId="0BEFBBCB" w14:textId="06F610F0" w:rsidR="0027782A" w:rsidRPr="00CD7903" w:rsidRDefault="0027782A"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We conduct regression analysis for two of the four units</w:t>
      </w:r>
      <w:r w:rsidR="00FF5CBF" w:rsidRPr="00CD7903">
        <w:rPr>
          <w:rFonts w:ascii="Times New Roman" w:hAnsi="Times New Roman" w:cs="Times New Roman"/>
          <w:sz w:val="24"/>
          <w:szCs w:val="24"/>
          <w:lang w:val="en-GB"/>
        </w:rPr>
        <w:t xml:space="preserve"> (</w:t>
      </w:r>
      <w:r w:rsidRPr="00CD7903">
        <w:rPr>
          <w:rFonts w:ascii="Times New Roman" w:hAnsi="Times New Roman" w:cs="Times New Roman"/>
          <w:sz w:val="24"/>
          <w:szCs w:val="24"/>
          <w:lang w:val="en-GB"/>
        </w:rPr>
        <w:t>NBU and FEBA</w:t>
      </w:r>
      <w:r w:rsidR="00FF5CBF" w:rsidRPr="00CD7903">
        <w:rPr>
          <w:rFonts w:ascii="Times New Roman" w:hAnsi="Times New Roman" w:cs="Times New Roman"/>
          <w:sz w:val="24"/>
          <w:szCs w:val="24"/>
          <w:lang w:val="en-GB"/>
        </w:rPr>
        <w:t xml:space="preserve">) </w:t>
      </w:r>
      <w:r w:rsidRPr="00CD7903">
        <w:rPr>
          <w:rFonts w:ascii="Times New Roman" w:hAnsi="Times New Roman" w:cs="Times New Roman"/>
          <w:sz w:val="24"/>
          <w:szCs w:val="24"/>
          <w:lang w:val="en-GB"/>
        </w:rPr>
        <w:t>because both institutions were established in the 1990s (approximately 30 years prior to the time of writing). At inception, their levels of inbreeding were, by definition, zero. Consequently, any subsequent accumulation of inbreeding reflects hiring decisions made over time rather than inherited institutional structures. Their relatively recent establishment also implies more balanced samples, as academic staff have had less time to reproduce themselves internally. This results in greater variation in the inbreeding indicator, allowing for more informative analysis with respect to key covariates such as time from PhD completion to first appointment and the logarithm of Scopus-indexed research productivity.</w:t>
      </w:r>
    </w:p>
    <w:p w14:paraId="43827CC8" w14:textId="44C1401A" w:rsidR="0027782A" w:rsidRPr="00CD7903" w:rsidRDefault="0027782A"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Particular attention is devoted to the relationship between the probability of inbreeding (Pr(Inbred hire)) and the time elapsed between PhD completion and first employment at the institution. This relationship is central to the paper’s argument</w:t>
      </w:r>
      <w:r w:rsidR="00BA6B9B" w:rsidRPr="00CD7903">
        <w:rPr>
          <w:rFonts w:ascii="Times New Roman" w:hAnsi="Times New Roman" w:cs="Times New Roman"/>
          <w:sz w:val="24"/>
          <w:szCs w:val="24"/>
          <w:lang w:val="en-GB"/>
        </w:rPr>
        <w:t xml:space="preserve"> because</w:t>
      </w:r>
      <w:r w:rsidRPr="00CD7903">
        <w:rPr>
          <w:rFonts w:ascii="Times New Roman" w:hAnsi="Times New Roman" w:cs="Times New Roman"/>
          <w:sz w:val="24"/>
          <w:szCs w:val="24"/>
          <w:lang w:val="en-GB"/>
        </w:rPr>
        <w:t xml:space="preserve"> if faster hires are systematically more likely to be inbred, then inbreeding cannot be understood solely as a </w:t>
      </w:r>
      <w:r w:rsidRPr="00CD7903">
        <w:rPr>
          <w:rFonts w:ascii="Times New Roman" w:hAnsi="Times New Roman" w:cs="Times New Roman"/>
          <w:sz w:val="24"/>
          <w:szCs w:val="24"/>
          <w:lang w:val="en-GB"/>
        </w:rPr>
        <w:lastRenderedPageBreak/>
        <w:t xml:space="preserve">preference-based phenomenon. Instead, it may reflect a form of labor market failure, whereby risk-averse institutions minimize search costs by relying on internal candidates. In this sense, </w:t>
      </w:r>
      <w:r w:rsidR="00531000">
        <w:rPr>
          <w:rFonts w:ascii="Times New Roman" w:hAnsi="Times New Roman" w:cs="Times New Roman"/>
          <w:sz w:val="24"/>
          <w:szCs w:val="24"/>
          <w:lang w:val="en-GB"/>
        </w:rPr>
        <w:t xml:space="preserve">inbreeding can be understood as </w:t>
      </w:r>
      <w:r w:rsidR="00531000" w:rsidRPr="00531000">
        <w:rPr>
          <w:rFonts w:ascii="Times New Roman" w:hAnsi="Times New Roman" w:cs="Times New Roman"/>
          <w:sz w:val="24"/>
          <w:szCs w:val="24"/>
          <w:lang w:val="en-GB"/>
        </w:rPr>
        <w:t>structurally induced outcome of a dual-track hiring system that systematically lowers the costs of internal recruitment while limiting external competition.</w:t>
      </w:r>
    </w:p>
    <w:p w14:paraId="30215C94" w14:textId="1D89003E" w:rsidR="0027782A" w:rsidRPr="00CD7903" w:rsidRDefault="0027782A"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Empirically, we show that inbred academic staff exhibit lower research productivity on average in FEBA and NBU. However, this relationship is not uniform across institutions. For example, the Faculty of Physics and Astronomy, where inbreeding reaches approximately 76.6%</w:t>
      </w:r>
      <w:r w:rsidR="006F7A78" w:rsidRPr="00CD7903">
        <w:rPr>
          <w:rFonts w:ascii="Times New Roman" w:hAnsi="Times New Roman" w:cs="Times New Roman"/>
          <w:sz w:val="24"/>
          <w:szCs w:val="24"/>
          <w:lang w:val="en-GB"/>
        </w:rPr>
        <w:t xml:space="preserve"> of all academic staff members</w:t>
      </w:r>
      <w:r w:rsidRPr="00CD7903">
        <w:rPr>
          <w:rFonts w:ascii="Times New Roman" w:hAnsi="Times New Roman" w:cs="Times New Roman"/>
          <w:sz w:val="24"/>
          <w:szCs w:val="24"/>
          <w:lang w:val="en-GB"/>
        </w:rPr>
        <w:t>, exhibits the highest research productivity in the country. In contrast, the Faculty of Pedagogy, with inbreeding levels approaching 98%, displays substantially lower productivity, with some staff lacking even a single Scopus-indexed publication.</w:t>
      </w:r>
    </w:p>
    <w:p w14:paraId="6B210CBA" w14:textId="537FB0D4" w:rsidR="003A4177" w:rsidRPr="00CD7903" w:rsidRDefault="0027782A" w:rsidP="00531000">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Finally, we situate the Bulgarian evidence within a broader comparative framework by constructing an “Academic Openness Index.” If academic inbreeding is partially driven by </w:t>
      </w:r>
      <w:r w:rsidR="006F7A78" w:rsidRPr="00CD7903">
        <w:rPr>
          <w:rFonts w:ascii="Times New Roman" w:hAnsi="Times New Roman" w:cs="Times New Roman"/>
          <w:sz w:val="24"/>
          <w:szCs w:val="24"/>
          <w:lang w:val="en-GB"/>
        </w:rPr>
        <w:t>labour</w:t>
      </w:r>
      <w:r w:rsidRPr="00CD7903">
        <w:rPr>
          <w:rFonts w:ascii="Times New Roman" w:hAnsi="Times New Roman" w:cs="Times New Roman"/>
          <w:sz w:val="24"/>
          <w:szCs w:val="24"/>
          <w:lang w:val="en-GB"/>
        </w:rPr>
        <w:t xml:space="preserve"> market dynamics, it should also have macro-level manifestations. This index allows us to explore how national academic systems differ in their openness and how these differences relate to patterns of inbreeding.</w:t>
      </w:r>
      <w:r w:rsidR="006F7A78" w:rsidRPr="00CD7903">
        <w:rPr>
          <w:rFonts w:ascii="Times New Roman" w:hAnsi="Times New Roman" w:cs="Times New Roman"/>
          <w:sz w:val="24"/>
          <w:szCs w:val="24"/>
          <w:lang w:val="en-GB"/>
        </w:rPr>
        <w:t xml:space="preserve"> Most importantly, analysing the specifics of the Bulgarian context allows us to adopt this country as the baseline, reference category in the macro comparisons – especially within the underexplored region of CEE. </w:t>
      </w:r>
    </w:p>
    <w:p w14:paraId="27962F5D" w14:textId="6E8B1192" w:rsidR="00B0625D" w:rsidRPr="00CD7903" w:rsidRDefault="00B0625D" w:rsidP="00531000">
      <w:pPr>
        <w:pStyle w:val="ListParagraph"/>
        <w:numPr>
          <w:ilvl w:val="0"/>
          <w:numId w:val="1"/>
        </w:numPr>
        <w:spacing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Context</w:t>
      </w:r>
    </w:p>
    <w:p w14:paraId="682E1309" w14:textId="34CC1356" w:rsidR="00B0625D" w:rsidRPr="00CD7903" w:rsidRDefault="00B0625D" w:rsidP="00531000">
      <w:pPr>
        <w:pStyle w:val="ListParagraph"/>
        <w:numPr>
          <w:ilvl w:val="0"/>
          <w:numId w:val="2"/>
        </w:numPr>
        <w:spacing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 xml:space="preserve">Academic inbreeding in the broader literature </w:t>
      </w:r>
    </w:p>
    <w:p w14:paraId="01AB538E" w14:textId="77777777" w:rsidR="0085156E" w:rsidRPr="00CD7903" w:rsidRDefault="00506D0E" w:rsidP="00CD7903">
      <w:pPr>
        <w:spacing w:after="0" w:line="360" w:lineRule="auto"/>
        <w:ind w:firstLine="432"/>
        <w:rPr>
          <w:rFonts w:ascii="Times New Roman" w:hAnsi="Times New Roman" w:cs="Times New Roman"/>
          <w:sz w:val="24"/>
          <w:szCs w:val="24"/>
          <w:lang w:val="en-GB"/>
        </w:rPr>
      </w:pPr>
      <w:r w:rsidRPr="00CD7903">
        <w:rPr>
          <w:rFonts w:ascii="Times New Roman" w:hAnsi="Times New Roman" w:cs="Times New Roman"/>
          <w:sz w:val="24"/>
          <w:szCs w:val="24"/>
          <w:lang w:val="en-GB"/>
        </w:rPr>
        <w:t>Early research on academic inbreeding presents a range of perspectives, including both critical and more nuanced</w:t>
      </w:r>
      <w:r w:rsidR="009738DA" w:rsidRPr="00CD7903">
        <w:rPr>
          <w:rFonts w:ascii="Times New Roman" w:hAnsi="Times New Roman" w:cs="Times New Roman"/>
          <w:sz w:val="24"/>
          <w:szCs w:val="24"/>
          <w:lang w:val="en-GB"/>
        </w:rPr>
        <w:t xml:space="preserve"> aspects of</w:t>
      </w:r>
      <w:r w:rsidRPr="00CD7903">
        <w:rPr>
          <w:rFonts w:ascii="Times New Roman" w:hAnsi="Times New Roman" w:cs="Times New Roman"/>
          <w:sz w:val="24"/>
          <w:szCs w:val="24"/>
          <w:lang w:val="en-GB"/>
        </w:rPr>
        <w:t xml:space="preserve"> interpretations of its impact on </w:t>
      </w:r>
      <w:r w:rsidR="009738DA" w:rsidRPr="00CD7903">
        <w:rPr>
          <w:rFonts w:ascii="Times New Roman" w:hAnsi="Times New Roman" w:cs="Times New Roman"/>
          <w:sz w:val="24"/>
          <w:szCs w:val="24"/>
          <w:lang w:val="en-GB"/>
        </w:rPr>
        <w:t>academia</w:t>
      </w:r>
      <w:r w:rsidRPr="00CD7903">
        <w:rPr>
          <w:rFonts w:ascii="Times New Roman" w:hAnsi="Times New Roman" w:cs="Times New Roman"/>
          <w:sz w:val="24"/>
          <w:szCs w:val="24"/>
          <w:lang w:val="en-GB"/>
        </w:rPr>
        <w:t xml:space="preserve">. Notably, Theodore Caplow and Reece J. McGee (1958) acknowledged that, despite its potential drawbacks, academic inbreeding may produce certain institutional benefits, such as </w:t>
      </w:r>
      <w:r w:rsidR="009738DA" w:rsidRPr="00CD7903">
        <w:rPr>
          <w:rFonts w:ascii="Times New Roman" w:hAnsi="Times New Roman" w:cs="Times New Roman"/>
          <w:sz w:val="24"/>
          <w:szCs w:val="24"/>
          <w:lang w:val="en-GB"/>
        </w:rPr>
        <w:t>“</w:t>
      </w:r>
      <w:r w:rsidRPr="00CD7903">
        <w:rPr>
          <w:rFonts w:ascii="Times New Roman" w:hAnsi="Times New Roman" w:cs="Times New Roman"/>
          <w:sz w:val="24"/>
          <w:szCs w:val="24"/>
          <w:lang w:val="en-GB"/>
        </w:rPr>
        <w:t>continuity of organizational culture, stability</w:t>
      </w:r>
      <w:r w:rsidR="009738DA" w:rsidRPr="00CD7903">
        <w:rPr>
          <w:rFonts w:ascii="Times New Roman" w:hAnsi="Times New Roman" w:cs="Times New Roman"/>
          <w:sz w:val="24"/>
          <w:szCs w:val="24"/>
          <w:lang w:val="en-GB"/>
        </w:rPr>
        <w:t>”</w:t>
      </w:r>
      <w:r w:rsidRPr="00CD7903">
        <w:rPr>
          <w:rFonts w:ascii="Times New Roman" w:hAnsi="Times New Roman" w:cs="Times New Roman"/>
          <w:sz w:val="24"/>
          <w:szCs w:val="24"/>
          <w:lang w:val="en-GB"/>
        </w:rPr>
        <w:t xml:space="preserve">, and the preservation of established academic traditions. </w:t>
      </w:r>
      <w:r w:rsidR="007A53D2" w:rsidRPr="00CD7903">
        <w:rPr>
          <w:rFonts w:ascii="Times New Roman" w:hAnsi="Times New Roman" w:cs="Times New Roman"/>
          <w:sz w:val="24"/>
          <w:szCs w:val="24"/>
          <w:lang w:val="en-GB"/>
        </w:rPr>
        <w:t>The e</w:t>
      </w:r>
      <w:r w:rsidRPr="00CD7903">
        <w:rPr>
          <w:rFonts w:ascii="Times New Roman" w:hAnsi="Times New Roman" w:cs="Times New Roman"/>
          <w:sz w:val="24"/>
          <w:szCs w:val="24"/>
          <w:lang w:val="en-GB"/>
        </w:rPr>
        <w:t xml:space="preserve">mpirical contributions by Stephen Wyer and Clifton F. Conrad (1984), as well as Lowell L. Hargens and G. M. Farr (1973), further explored the relationship between academic inbreeding and faculty performance. These studies </w:t>
      </w:r>
      <w:r w:rsidR="007A53D2" w:rsidRPr="00CD7903">
        <w:rPr>
          <w:rFonts w:ascii="Times New Roman" w:hAnsi="Times New Roman" w:cs="Times New Roman"/>
          <w:sz w:val="24"/>
          <w:szCs w:val="24"/>
          <w:lang w:val="en-GB"/>
        </w:rPr>
        <w:t>based on the first</w:t>
      </w:r>
      <w:r w:rsidRPr="00CD7903">
        <w:rPr>
          <w:rFonts w:ascii="Times New Roman" w:hAnsi="Times New Roman" w:cs="Times New Roman"/>
          <w:sz w:val="24"/>
          <w:szCs w:val="24"/>
          <w:lang w:val="en-GB"/>
        </w:rPr>
        <w:t xml:space="preserve"> broader empirical observations, </w:t>
      </w:r>
      <w:r w:rsidR="007A53D2" w:rsidRPr="00CD7903">
        <w:rPr>
          <w:rFonts w:ascii="Times New Roman" w:hAnsi="Times New Roman" w:cs="Times New Roman"/>
          <w:sz w:val="24"/>
          <w:szCs w:val="24"/>
          <w:lang w:val="en-GB"/>
        </w:rPr>
        <w:t>affirm</w:t>
      </w:r>
      <w:r w:rsidRPr="00CD7903">
        <w:rPr>
          <w:rFonts w:ascii="Times New Roman" w:hAnsi="Times New Roman" w:cs="Times New Roman"/>
          <w:sz w:val="24"/>
          <w:szCs w:val="24"/>
          <w:lang w:val="en-GB"/>
        </w:rPr>
        <w:t xml:space="preserve"> that the effects of inbreeding are </w:t>
      </w:r>
      <w:r w:rsidRPr="00CD7903">
        <w:rPr>
          <w:rFonts w:ascii="Times New Roman" w:hAnsi="Times New Roman" w:cs="Times New Roman"/>
          <w:i/>
          <w:iCs/>
          <w:sz w:val="24"/>
          <w:szCs w:val="24"/>
          <w:lang w:val="en-GB"/>
        </w:rPr>
        <w:t>context-dependent</w:t>
      </w:r>
      <w:r w:rsidRPr="00CD7903">
        <w:rPr>
          <w:rFonts w:ascii="Times New Roman" w:hAnsi="Times New Roman" w:cs="Times New Roman"/>
          <w:sz w:val="24"/>
          <w:szCs w:val="24"/>
          <w:lang w:val="en-GB"/>
        </w:rPr>
        <w:t xml:space="preserve"> and not </w:t>
      </w:r>
      <w:r w:rsidRPr="00CD7903">
        <w:rPr>
          <w:rFonts w:ascii="Times New Roman" w:hAnsi="Times New Roman" w:cs="Times New Roman"/>
          <w:i/>
          <w:iCs/>
          <w:sz w:val="24"/>
          <w:szCs w:val="24"/>
          <w:lang w:val="en-GB"/>
        </w:rPr>
        <w:t xml:space="preserve">uniformly </w:t>
      </w:r>
      <w:r w:rsidR="00A01DAE" w:rsidRPr="00CD7903">
        <w:rPr>
          <w:rFonts w:ascii="Times New Roman" w:hAnsi="Times New Roman" w:cs="Times New Roman"/>
          <w:i/>
          <w:iCs/>
          <w:sz w:val="24"/>
          <w:szCs w:val="24"/>
          <w:lang w:val="en-GB"/>
        </w:rPr>
        <w:t xml:space="preserve">and categorically </w:t>
      </w:r>
      <w:r w:rsidRPr="00CD7903">
        <w:rPr>
          <w:rFonts w:ascii="Times New Roman" w:hAnsi="Times New Roman" w:cs="Times New Roman"/>
          <w:i/>
          <w:iCs/>
          <w:sz w:val="24"/>
          <w:szCs w:val="24"/>
          <w:lang w:val="en-GB"/>
        </w:rPr>
        <w:t>negative</w:t>
      </w:r>
      <w:r w:rsidRPr="00CD7903">
        <w:rPr>
          <w:rFonts w:ascii="Times New Roman" w:hAnsi="Times New Roman" w:cs="Times New Roman"/>
          <w:sz w:val="24"/>
          <w:szCs w:val="24"/>
          <w:lang w:val="en-GB"/>
        </w:rPr>
        <w:t xml:space="preserve">. </w:t>
      </w:r>
      <w:r w:rsidR="00A01DAE" w:rsidRPr="00CD7903">
        <w:rPr>
          <w:rFonts w:ascii="Times New Roman" w:hAnsi="Times New Roman" w:cs="Times New Roman"/>
          <w:sz w:val="24"/>
          <w:szCs w:val="24"/>
          <w:lang w:val="en-GB"/>
        </w:rPr>
        <w:t>Critically</w:t>
      </w:r>
      <w:r w:rsidR="002001E9" w:rsidRPr="00CD7903">
        <w:rPr>
          <w:rFonts w:ascii="Times New Roman" w:hAnsi="Times New Roman" w:cs="Times New Roman"/>
          <w:sz w:val="24"/>
          <w:szCs w:val="24"/>
          <w:lang w:val="en-GB"/>
        </w:rPr>
        <w:t xml:space="preserve"> analysed by</w:t>
      </w:r>
      <w:r w:rsidRPr="00CD7903">
        <w:rPr>
          <w:rFonts w:ascii="Times New Roman" w:hAnsi="Times New Roman" w:cs="Times New Roman"/>
          <w:sz w:val="24"/>
          <w:szCs w:val="24"/>
          <w:lang w:val="en-GB"/>
        </w:rPr>
        <w:t xml:space="preserve"> Horta (2013), much of this earlier research tended to generalize </w:t>
      </w:r>
      <w:r w:rsidRPr="00CD7903">
        <w:rPr>
          <w:rFonts w:ascii="Times New Roman" w:hAnsi="Times New Roman" w:cs="Times New Roman"/>
          <w:sz w:val="24"/>
          <w:szCs w:val="24"/>
          <w:lang w:val="en-GB"/>
        </w:rPr>
        <w:lastRenderedPageBreak/>
        <w:t>findings “with no limitation,” lacking sufficient consideration of structural, institutional, and disciplinary variations.</w:t>
      </w:r>
      <w:r w:rsidR="0085156E" w:rsidRPr="00CD7903">
        <w:rPr>
          <w:rFonts w:ascii="Times New Roman" w:hAnsi="Times New Roman" w:cs="Times New Roman"/>
          <w:sz w:val="24"/>
          <w:szCs w:val="24"/>
          <w:lang w:val="en-GB"/>
        </w:rPr>
        <w:t xml:space="preserve"> </w:t>
      </w:r>
    </w:p>
    <w:p w14:paraId="0F89F90C" w14:textId="7CA0D6E6" w:rsidR="00D20331" w:rsidRPr="00CD7903" w:rsidRDefault="00D20331" w:rsidP="00CD7903">
      <w:pPr>
        <w:spacing w:after="0" w:line="360" w:lineRule="auto"/>
        <w:ind w:firstLine="432"/>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A second, more critical perspective </w:t>
      </w:r>
      <w:r w:rsidR="002904B8" w:rsidRPr="00CD7903">
        <w:rPr>
          <w:rFonts w:ascii="Times New Roman" w:hAnsi="Times New Roman" w:cs="Times New Roman"/>
          <w:sz w:val="24"/>
          <w:szCs w:val="24"/>
          <w:lang w:val="en-GB"/>
        </w:rPr>
        <w:t xml:space="preserve">presented in researches </w:t>
      </w:r>
      <w:r w:rsidRPr="00CD7903">
        <w:rPr>
          <w:rFonts w:ascii="Times New Roman" w:hAnsi="Times New Roman" w:cs="Times New Roman"/>
          <w:sz w:val="24"/>
          <w:szCs w:val="24"/>
          <w:lang w:val="en-GB"/>
        </w:rPr>
        <w:t xml:space="preserve">on academic inbreeding interrogates its structural logic and its consequences for the epistemic development of scientific activity. From this viewpoint, the systematic recruitment of an institution’s own doctoral graduates operates not </w:t>
      </w:r>
      <w:r w:rsidR="00710995" w:rsidRPr="00CD7903">
        <w:rPr>
          <w:rFonts w:ascii="Times New Roman" w:hAnsi="Times New Roman" w:cs="Times New Roman"/>
          <w:sz w:val="24"/>
          <w:szCs w:val="24"/>
          <w:lang w:val="en-GB"/>
        </w:rPr>
        <w:t>just</w:t>
      </w:r>
      <w:r w:rsidRPr="00CD7903">
        <w:rPr>
          <w:rFonts w:ascii="Times New Roman" w:hAnsi="Times New Roman" w:cs="Times New Roman"/>
          <w:sz w:val="24"/>
          <w:szCs w:val="24"/>
          <w:lang w:val="en-GB"/>
        </w:rPr>
        <w:t xml:space="preserve"> as a </w:t>
      </w:r>
      <w:r w:rsidR="00E851E4" w:rsidRPr="00CD7903">
        <w:rPr>
          <w:rFonts w:ascii="Times New Roman" w:hAnsi="Times New Roman" w:cs="Times New Roman"/>
          <w:sz w:val="24"/>
          <w:szCs w:val="24"/>
          <w:lang w:val="en-GB"/>
        </w:rPr>
        <w:t>personnel practice</w:t>
      </w:r>
      <w:r w:rsidRPr="00CD7903">
        <w:rPr>
          <w:rFonts w:ascii="Times New Roman" w:hAnsi="Times New Roman" w:cs="Times New Roman"/>
          <w:sz w:val="24"/>
          <w:szCs w:val="24"/>
          <w:lang w:val="en-GB"/>
        </w:rPr>
        <w:t xml:space="preserve">, but as a mechanism of epistemic reproduction that stabilizes existing knowledge regimes, </w:t>
      </w:r>
      <w:r w:rsidR="00710995" w:rsidRPr="00CD7903">
        <w:rPr>
          <w:rFonts w:ascii="Times New Roman" w:hAnsi="Times New Roman" w:cs="Times New Roman"/>
          <w:sz w:val="24"/>
          <w:szCs w:val="24"/>
          <w:lang w:val="en-GB"/>
        </w:rPr>
        <w:t>“</w:t>
      </w:r>
      <w:r w:rsidRPr="00CD7903">
        <w:rPr>
          <w:rFonts w:ascii="Times New Roman" w:hAnsi="Times New Roman" w:cs="Times New Roman"/>
          <w:sz w:val="24"/>
          <w:szCs w:val="24"/>
          <w:lang w:val="en-GB"/>
        </w:rPr>
        <w:t>methodological orientations, and institutional hierarchies</w:t>
      </w:r>
      <w:r w:rsidR="00710995" w:rsidRPr="00CD7903">
        <w:rPr>
          <w:rFonts w:ascii="Times New Roman" w:hAnsi="Times New Roman" w:cs="Times New Roman"/>
          <w:sz w:val="24"/>
          <w:szCs w:val="24"/>
          <w:lang w:val="en-GB"/>
        </w:rPr>
        <w:t>”</w:t>
      </w:r>
      <w:r w:rsidRPr="00CD7903">
        <w:rPr>
          <w:rFonts w:ascii="Times New Roman" w:hAnsi="Times New Roman" w:cs="Times New Roman"/>
          <w:sz w:val="24"/>
          <w:szCs w:val="24"/>
          <w:lang w:val="en-GB"/>
        </w:rPr>
        <w:t xml:space="preserve"> (Yamanoi, 2005).</w:t>
      </w:r>
      <w:r w:rsidR="006F7A78" w:rsidRPr="00CD7903">
        <w:rPr>
          <w:rFonts w:ascii="Times New Roman" w:hAnsi="Times New Roman" w:cs="Times New Roman"/>
          <w:sz w:val="24"/>
          <w:szCs w:val="24"/>
          <w:lang w:val="en-GB"/>
        </w:rPr>
        <w:t xml:space="preserve"> This can have positive effects but in the limited cases of early scientific development (cite).</w:t>
      </w:r>
      <w:r w:rsidRPr="00CD7903">
        <w:rPr>
          <w:rFonts w:ascii="Times New Roman" w:hAnsi="Times New Roman" w:cs="Times New Roman"/>
          <w:sz w:val="24"/>
          <w:szCs w:val="24"/>
          <w:lang w:val="en-GB"/>
        </w:rPr>
        <w:t xml:space="preserve"> </w:t>
      </w:r>
      <w:r w:rsidR="006D04BF" w:rsidRPr="00CD7903">
        <w:rPr>
          <w:rFonts w:ascii="Times New Roman" w:hAnsi="Times New Roman" w:cs="Times New Roman"/>
          <w:sz w:val="24"/>
          <w:szCs w:val="24"/>
          <w:lang w:val="en-GB"/>
        </w:rPr>
        <w:t>Individuals trained and employed within the same institutional environment tend to internalize and circulate locally embedded forms of knowledge, which they subsequently transmit to colleagues and students, thereby reinforcing established epistemic patterns (McNeely, 1932).</w:t>
      </w:r>
      <w:r w:rsidR="006F7A78" w:rsidRPr="00CD7903">
        <w:rPr>
          <w:rFonts w:ascii="Times New Roman" w:hAnsi="Times New Roman" w:cs="Times New Roman"/>
          <w:sz w:val="24"/>
          <w:szCs w:val="24"/>
          <w:lang w:val="en-GB"/>
        </w:rPr>
        <w:t xml:space="preserve"> However, rarely are network-based approaches utilized to analyse the phenomena. This is a positive future direction where the scraped databases used here can be repurposed and utilized to generate new insight. </w:t>
      </w:r>
    </w:p>
    <w:p w14:paraId="02AA6596" w14:textId="2BBE47EE" w:rsidR="002F6CDA" w:rsidRPr="00CD7903" w:rsidRDefault="006F7A78" w:rsidP="00CD7903">
      <w:pPr>
        <w:spacing w:after="0" w:line="360" w:lineRule="auto"/>
        <w:ind w:firstLine="432"/>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One of the most noticeable side effects of academic inbreeding is the </w:t>
      </w:r>
      <w:r w:rsidR="0020316E" w:rsidRPr="00CD7903">
        <w:rPr>
          <w:rFonts w:ascii="Times New Roman" w:hAnsi="Times New Roman" w:cs="Times New Roman"/>
          <w:sz w:val="24"/>
          <w:szCs w:val="24"/>
          <w:lang w:val="en-GB"/>
        </w:rPr>
        <w:t xml:space="preserve">loss of scientific mobility (cite ERA report, and some other paper on inbreeding). </w:t>
      </w:r>
      <w:r w:rsidR="00236F64" w:rsidRPr="00CD7903">
        <w:rPr>
          <w:rFonts w:ascii="Times New Roman" w:hAnsi="Times New Roman" w:cs="Times New Roman"/>
          <w:sz w:val="24"/>
          <w:szCs w:val="24"/>
          <w:lang w:val="en-GB"/>
        </w:rPr>
        <w:t>Thus,</w:t>
      </w:r>
      <w:r w:rsidR="00D20331" w:rsidRPr="00CD7903">
        <w:rPr>
          <w:rFonts w:ascii="Times New Roman" w:hAnsi="Times New Roman" w:cs="Times New Roman"/>
          <w:sz w:val="24"/>
          <w:szCs w:val="24"/>
          <w:lang w:val="en-GB"/>
        </w:rPr>
        <w:t xml:space="preserve"> academi</w:t>
      </w:r>
      <w:r w:rsidR="0020316E" w:rsidRPr="00CD7903">
        <w:rPr>
          <w:rFonts w:ascii="Times New Roman" w:hAnsi="Times New Roman" w:cs="Times New Roman"/>
          <w:sz w:val="24"/>
          <w:szCs w:val="24"/>
          <w:lang w:val="en-GB"/>
        </w:rPr>
        <w:t>a</w:t>
      </w:r>
      <w:r w:rsidR="00D20331" w:rsidRPr="00CD7903">
        <w:rPr>
          <w:rFonts w:ascii="Times New Roman" w:hAnsi="Times New Roman" w:cs="Times New Roman"/>
          <w:sz w:val="24"/>
          <w:szCs w:val="24"/>
          <w:lang w:val="en-GB"/>
        </w:rPr>
        <w:t xml:space="preserve"> becomes characterized by a form of </w:t>
      </w:r>
      <w:r w:rsidR="00D20331" w:rsidRPr="00CD7903">
        <w:rPr>
          <w:rFonts w:ascii="Times New Roman" w:hAnsi="Times New Roman" w:cs="Times New Roman"/>
          <w:i/>
          <w:iCs/>
          <w:sz w:val="24"/>
          <w:szCs w:val="24"/>
          <w:lang w:val="en-GB"/>
        </w:rPr>
        <w:t>epistemic closure</w:t>
      </w:r>
      <w:r w:rsidR="00D20331" w:rsidRPr="00CD7903">
        <w:rPr>
          <w:rFonts w:ascii="Times New Roman" w:hAnsi="Times New Roman" w:cs="Times New Roman"/>
          <w:sz w:val="24"/>
          <w:szCs w:val="24"/>
          <w:lang w:val="en-GB"/>
        </w:rPr>
        <w:t xml:space="preserve">, in which alternative perspectives, methodological pluralism, and critical reflexivity are structurally marginalized. </w:t>
      </w:r>
      <w:r w:rsidR="00D20331" w:rsidRPr="00CD7903">
        <w:rPr>
          <w:rFonts w:ascii="Times New Roman" w:hAnsi="Times New Roman" w:cs="Times New Roman"/>
          <w:i/>
          <w:iCs/>
          <w:sz w:val="24"/>
          <w:szCs w:val="24"/>
          <w:lang w:val="en-GB"/>
        </w:rPr>
        <w:t>Padilla</w:t>
      </w:r>
      <w:r w:rsidR="00D20331" w:rsidRPr="00CD7903">
        <w:rPr>
          <w:rFonts w:ascii="Times New Roman" w:hAnsi="Times New Roman" w:cs="Times New Roman"/>
          <w:sz w:val="24"/>
          <w:szCs w:val="24"/>
          <w:lang w:val="en-GB"/>
        </w:rPr>
        <w:t xml:space="preserve"> (2008) observes that in systems with high levels of academic inbreeding, institutional loyalty tends to supersede commitment to the broader scientific community. This shift reflects a deeper transformation in the normative orientation of academic actors</w:t>
      </w:r>
      <w:r w:rsidR="0020316E" w:rsidRPr="00CD7903">
        <w:rPr>
          <w:rFonts w:ascii="Times New Roman" w:hAnsi="Times New Roman" w:cs="Times New Roman"/>
          <w:sz w:val="24"/>
          <w:szCs w:val="24"/>
          <w:lang w:val="en-GB"/>
        </w:rPr>
        <w:t xml:space="preserve"> – </w:t>
      </w:r>
      <w:r w:rsidR="00D20331" w:rsidRPr="00CD7903">
        <w:rPr>
          <w:rFonts w:ascii="Times New Roman" w:hAnsi="Times New Roman" w:cs="Times New Roman"/>
          <w:sz w:val="24"/>
          <w:szCs w:val="24"/>
          <w:lang w:val="en-GB"/>
        </w:rPr>
        <w:t>from participation in an open, trans-institutional knowledge system toward embeddedness in localized, self-referential organizational structures.</w:t>
      </w:r>
      <w:r w:rsidR="0020316E" w:rsidRPr="00CD7903">
        <w:rPr>
          <w:rFonts w:ascii="Times New Roman" w:hAnsi="Times New Roman" w:cs="Times New Roman"/>
          <w:sz w:val="24"/>
          <w:szCs w:val="24"/>
          <w:lang w:val="en-GB"/>
        </w:rPr>
        <w:t xml:space="preserve"> This process implies the national proliferation of academic inbreeding across the entire affected country, hence a consequence of the phenomena may be low international collaboration networks, low mobility and negative flows of scientist in the affected countries. </w:t>
      </w:r>
    </w:p>
    <w:p w14:paraId="5CCE8E40" w14:textId="30C83EC4" w:rsidR="00D20331" w:rsidRPr="00CD7903" w:rsidRDefault="00D20331" w:rsidP="00CD7903">
      <w:pPr>
        <w:spacing w:after="0" w:line="360" w:lineRule="auto"/>
        <w:ind w:firstLine="432"/>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 </w:t>
      </w:r>
      <w:r w:rsidR="002F6CDA" w:rsidRPr="00CD7903">
        <w:rPr>
          <w:rFonts w:ascii="Times New Roman" w:hAnsi="Times New Roman" w:cs="Times New Roman"/>
          <w:sz w:val="24"/>
          <w:szCs w:val="24"/>
          <w:lang w:val="en-GB"/>
        </w:rPr>
        <w:t>A</w:t>
      </w:r>
      <w:r w:rsidRPr="00CD7903">
        <w:rPr>
          <w:rFonts w:ascii="Times New Roman" w:hAnsi="Times New Roman" w:cs="Times New Roman"/>
          <w:sz w:val="24"/>
          <w:szCs w:val="24"/>
          <w:lang w:val="en-GB"/>
        </w:rPr>
        <w:t>cademic inbreeding can be understood as contributing to the fragmentation of the scientific field and the weakening of its</w:t>
      </w:r>
      <w:r w:rsidR="00672A8C" w:rsidRPr="00CD7903">
        <w:rPr>
          <w:rFonts w:ascii="Times New Roman" w:hAnsi="Times New Roman" w:cs="Times New Roman"/>
          <w:sz w:val="24"/>
          <w:szCs w:val="24"/>
          <w:lang w:val="en-GB"/>
        </w:rPr>
        <w:t xml:space="preserve"> fundamental</w:t>
      </w:r>
      <w:r w:rsidRPr="00CD7903">
        <w:rPr>
          <w:rFonts w:ascii="Times New Roman" w:hAnsi="Times New Roman" w:cs="Times New Roman"/>
          <w:sz w:val="24"/>
          <w:szCs w:val="24"/>
          <w:lang w:val="en-GB"/>
        </w:rPr>
        <w:t xml:space="preserve"> universalistic aspirations.</w:t>
      </w:r>
      <w:r w:rsidR="00672A8C" w:rsidRPr="00CD7903">
        <w:rPr>
          <w:rFonts w:ascii="Times New Roman" w:hAnsi="Times New Roman" w:cs="Times New Roman"/>
          <w:sz w:val="24"/>
          <w:szCs w:val="24"/>
          <w:lang w:val="en-GB"/>
        </w:rPr>
        <w:t xml:space="preserve"> </w:t>
      </w:r>
      <w:r w:rsidRPr="00CD7903">
        <w:rPr>
          <w:rFonts w:ascii="Times New Roman" w:hAnsi="Times New Roman" w:cs="Times New Roman"/>
          <w:sz w:val="24"/>
          <w:szCs w:val="24"/>
          <w:lang w:val="en-GB"/>
        </w:rPr>
        <w:t>Although some organizational perspectives highlight functional advantages</w:t>
      </w:r>
      <w:r w:rsidR="00672A8C" w:rsidRPr="00CD7903">
        <w:rPr>
          <w:rFonts w:ascii="Times New Roman" w:hAnsi="Times New Roman" w:cs="Times New Roman"/>
          <w:sz w:val="24"/>
          <w:szCs w:val="24"/>
          <w:lang w:val="en-GB"/>
        </w:rPr>
        <w:t xml:space="preserve"> </w:t>
      </w:r>
      <w:r w:rsidRPr="00CD7903">
        <w:rPr>
          <w:rFonts w:ascii="Times New Roman" w:hAnsi="Times New Roman" w:cs="Times New Roman"/>
          <w:sz w:val="24"/>
          <w:szCs w:val="24"/>
          <w:lang w:val="en-GB"/>
        </w:rPr>
        <w:t>such as reduced recruitment costs, lower uncertainty in hiring decisions, and the preservation of institution-specific knowledge (</w:t>
      </w:r>
      <w:r w:rsidRPr="00CD7903">
        <w:rPr>
          <w:rFonts w:ascii="Times New Roman" w:hAnsi="Times New Roman" w:cs="Times New Roman"/>
          <w:i/>
          <w:iCs/>
          <w:sz w:val="24"/>
          <w:szCs w:val="24"/>
          <w:lang w:val="en-GB"/>
        </w:rPr>
        <w:t>Bean et al., 1996; McGee, 1960; Camerer &amp; Vepsäläinen, 1988</w:t>
      </w:r>
      <w:r w:rsidRPr="00CD7903">
        <w:rPr>
          <w:rFonts w:ascii="Times New Roman" w:hAnsi="Times New Roman" w:cs="Times New Roman"/>
          <w:sz w:val="24"/>
          <w:szCs w:val="24"/>
          <w:lang w:val="en-GB"/>
        </w:rPr>
        <w:t>)</w:t>
      </w:r>
      <w:r w:rsidR="00672A8C" w:rsidRPr="00CD7903">
        <w:rPr>
          <w:rFonts w:ascii="Times New Roman" w:hAnsi="Times New Roman" w:cs="Times New Roman"/>
          <w:sz w:val="24"/>
          <w:szCs w:val="24"/>
          <w:lang w:val="en-GB"/>
        </w:rPr>
        <w:t>. Such</w:t>
      </w:r>
      <w:r w:rsidRPr="00CD7903">
        <w:rPr>
          <w:rFonts w:ascii="Times New Roman" w:hAnsi="Times New Roman" w:cs="Times New Roman"/>
          <w:sz w:val="24"/>
          <w:szCs w:val="24"/>
          <w:lang w:val="en-GB"/>
        </w:rPr>
        <w:t xml:space="preserve"> arguments tend to </w:t>
      </w:r>
      <w:r w:rsidR="0020316E" w:rsidRPr="00CD7903">
        <w:rPr>
          <w:rFonts w:ascii="Times New Roman" w:hAnsi="Times New Roman" w:cs="Times New Roman"/>
          <w:sz w:val="24"/>
          <w:szCs w:val="24"/>
          <w:lang w:val="en-GB"/>
        </w:rPr>
        <w:t>reflect institutional</w:t>
      </w:r>
      <w:r w:rsidR="00B25FFD" w:rsidRPr="00CD7903">
        <w:rPr>
          <w:rFonts w:ascii="Times New Roman" w:hAnsi="Times New Roman" w:cs="Times New Roman"/>
          <w:sz w:val="24"/>
          <w:szCs w:val="24"/>
          <w:lang w:val="en-GB"/>
        </w:rPr>
        <w:t xml:space="preserve"> </w:t>
      </w:r>
      <w:r w:rsidR="00672A8C" w:rsidRPr="00CD7903">
        <w:rPr>
          <w:rFonts w:ascii="Times New Roman" w:hAnsi="Times New Roman" w:cs="Times New Roman"/>
          <w:sz w:val="24"/>
          <w:szCs w:val="24"/>
          <w:lang w:val="en-GB"/>
        </w:rPr>
        <w:t>policies</w:t>
      </w:r>
      <w:r w:rsidRPr="00CD7903">
        <w:rPr>
          <w:rFonts w:ascii="Times New Roman" w:hAnsi="Times New Roman" w:cs="Times New Roman"/>
          <w:sz w:val="24"/>
          <w:szCs w:val="24"/>
          <w:lang w:val="en-GB"/>
        </w:rPr>
        <w:t xml:space="preserve"> that prioritizes efficiency and stability over epistemic </w:t>
      </w:r>
      <w:r w:rsidR="00CB7214" w:rsidRPr="00CD7903">
        <w:rPr>
          <w:rFonts w:ascii="Times New Roman" w:hAnsi="Times New Roman" w:cs="Times New Roman"/>
          <w:sz w:val="24"/>
          <w:szCs w:val="24"/>
          <w:lang w:val="en-GB"/>
        </w:rPr>
        <w:t xml:space="preserve">reflexivity and </w:t>
      </w:r>
      <w:r w:rsidR="000B78E5" w:rsidRPr="00CD7903">
        <w:rPr>
          <w:rFonts w:ascii="Times New Roman" w:hAnsi="Times New Roman" w:cs="Times New Roman"/>
          <w:sz w:val="24"/>
          <w:szCs w:val="24"/>
          <w:lang w:val="en-GB"/>
        </w:rPr>
        <w:lastRenderedPageBreak/>
        <w:t>crea</w:t>
      </w:r>
      <w:r w:rsidR="00F96F1E" w:rsidRPr="00CD7903">
        <w:rPr>
          <w:rFonts w:ascii="Times New Roman" w:hAnsi="Times New Roman" w:cs="Times New Roman"/>
          <w:sz w:val="24"/>
          <w:szCs w:val="24"/>
          <w:lang w:val="en-GB"/>
        </w:rPr>
        <w:t>tivity</w:t>
      </w:r>
      <w:r w:rsidRPr="00CD7903">
        <w:rPr>
          <w:rFonts w:ascii="Times New Roman" w:hAnsi="Times New Roman" w:cs="Times New Roman"/>
          <w:sz w:val="24"/>
          <w:szCs w:val="24"/>
          <w:lang w:val="en-GB"/>
        </w:rPr>
        <w:t xml:space="preserve">. </w:t>
      </w:r>
      <w:r w:rsidR="000B78E5" w:rsidRPr="00CD7903">
        <w:rPr>
          <w:rFonts w:ascii="Times New Roman" w:hAnsi="Times New Roman" w:cs="Times New Roman"/>
          <w:sz w:val="24"/>
          <w:szCs w:val="24"/>
          <w:lang w:val="en-GB"/>
        </w:rPr>
        <w:t xml:space="preserve">This may turn into a </w:t>
      </w:r>
      <w:r w:rsidR="00F96F1E" w:rsidRPr="00CD7903">
        <w:rPr>
          <w:rFonts w:ascii="Times New Roman" w:hAnsi="Times New Roman" w:cs="Times New Roman"/>
          <w:sz w:val="24"/>
          <w:szCs w:val="24"/>
          <w:lang w:val="en-GB"/>
        </w:rPr>
        <w:t>risk</w:t>
      </w:r>
      <w:r w:rsidR="000B78E5" w:rsidRPr="00CD7903">
        <w:rPr>
          <w:rFonts w:ascii="Times New Roman" w:hAnsi="Times New Roman" w:cs="Times New Roman"/>
          <w:sz w:val="24"/>
          <w:szCs w:val="24"/>
          <w:lang w:val="en-GB"/>
        </w:rPr>
        <w:t>,</w:t>
      </w:r>
      <w:r w:rsidRPr="00CD7903">
        <w:rPr>
          <w:rFonts w:ascii="Times New Roman" w:hAnsi="Times New Roman" w:cs="Times New Roman"/>
          <w:sz w:val="24"/>
          <w:szCs w:val="24"/>
          <w:lang w:val="en-GB"/>
        </w:rPr>
        <w:t xml:space="preserve"> transforming universities into </w:t>
      </w:r>
      <w:r w:rsidRPr="00CD7903">
        <w:rPr>
          <w:rFonts w:ascii="Times New Roman" w:hAnsi="Times New Roman" w:cs="Times New Roman"/>
          <w:i/>
          <w:iCs/>
          <w:sz w:val="24"/>
          <w:szCs w:val="24"/>
          <w:lang w:val="en-GB"/>
        </w:rPr>
        <w:t>self-reproducing systems</w:t>
      </w:r>
      <w:r w:rsidRPr="00CD7903">
        <w:rPr>
          <w:rFonts w:ascii="Times New Roman" w:hAnsi="Times New Roman" w:cs="Times New Roman"/>
          <w:sz w:val="24"/>
          <w:szCs w:val="24"/>
          <w:lang w:val="en-GB"/>
        </w:rPr>
        <w:t xml:space="preserve"> that privilege predictability and control at the expense of innovation and critical inquiry.</w:t>
      </w:r>
      <w:r w:rsidR="0020316E" w:rsidRPr="00CD7903">
        <w:rPr>
          <w:rFonts w:ascii="Times New Roman" w:hAnsi="Times New Roman" w:cs="Times New Roman"/>
          <w:sz w:val="24"/>
          <w:szCs w:val="24"/>
          <w:lang w:val="en-GB"/>
        </w:rPr>
        <w:t xml:space="preserve"> In such cases precise micro, meso and macro measurements become crucial to understand how the academic closure of a given system may affects the system innovation potential indicators and other related structural characteristics related to growth and prosperity of the nation. </w:t>
      </w:r>
    </w:p>
    <w:p w14:paraId="6586346C" w14:textId="5007543A" w:rsidR="00B0625D" w:rsidRPr="00CD7903" w:rsidRDefault="00B0625D" w:rsidP="00CD7903">
      <w:pPr>
        <w:pStyle w:val="ListParagraph"/>
        <w:numPr>
          <w:ilvl w:val="0"/>
          <w:numId w:val="2"/>
        </w:numPr>
        <w:spacing w:after="0"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 xml:space="preserve">Academic inbreeding in the CEE  </w:t>
      </w:r>
    </w:p>
    <w:p w14:paraId="44370445" w14:textId="6BAD7F93" w:rsidR="000F4E0A" w:rsidRPr="00CD7903" w:rsidRDefault="000F4E0A" w:rsidP="00CD7903">
      <w:pPr>
        <w:pStyle w:val="ListParagraph"/>
        <w:numPr>
          <w:ilvl w:val="0"/>
          <w:numId w:val="1"/>
        </w:numPr>
        <w:spacing w:after="0"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Methods and data</w:t>
      </w:r>
    </w:p>
    <w:p w14:paraId="278D38D8" w14:textId="64574B6C" w:rsidR="00BA6B9B" w:rsidRPr="00CD7903" w:rsidRDefault="00BA6B9B" w:rsidP="00CD7903">
      <w:pPr>
        <w:pStyle w:val="ListParagraph"/>
        <w:numPr>
          <w:ilvl w:val="0"/>
          <w:numId w:val="4"/>
        </w:numPr>
        <w:spacing w:after="0"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Micro and meso level measurement</w:t>
      </w:r>
    </w:p>
    <w:p w14:paraId="70D7817E" w14:textId="44B8B14B" w:rsidR="00575ADF" w:rsidRPr="00CD7903" w:rsidRDefault="00575ADF" w:rsidP="00CD7903">
      <w:pPr>
        <w:spacing w:after="0" w:line="360" w:lineRule="auto"/>
        <w:rPr>
          <w:rFonts w:ascii="Times New Roman" w:hAnsi="Times New Roman" w:cs="Times New Roman"/>
          <w:sz w:val="24"/>
          <w:szCs w:val="24"/>
          <w:lang w:val="en-US"/>
        </w:rPr>
      </w:pPr>
      <w:r w:rsidRPr="00CD7903">
        <w:rPr>
          <w:rFonts w:ascii="Times New Roman" w:hAnsi="Times New Roman" w:cs="Times New Roman"/>
          <w:sz w:val="24"/>
          <w:szCs w:val="24"/>
          <w:lang w:val="en-US"/>
        </w:rPr>
        <w:t>For the data component, we exploit the Bulgarian NACID database. In Bulgaria, under the Law on the Development of Academic Staff in the Republic of Bulgaria (LDASRB) and its implementing regulations, academics are required to maintain publicly accessible records of their educational background and academic employment in the NACID register. Using scraping algorithms, we extract this information into a structured dataset to estimate models of the form:</w:t>
      </w:r>
    </w:p>
    <w:p w14:paraId="1BE8D3B5" w14:textId="52E7CD47" w:rsidR="00575ADF" w:rsidRPr="00CD7903" w:rsidRDefault="00575ADF" w:rsidP="00CD7903">
      <w:pPr>
        <w:spacing w:before="240" w:line="360"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Pr(Inbred)=Λ(α+β⋅Time from employment to PhD+θ⋅</m:t>
          </m:r>
          <m:func>
            <m:funcPr>
              <m:ctrlPr>
                <w:rPr>
                  <w:rFonts w:ascii="Cambria Math" w:hAnsi="Cambria Math" w:cs="Times New Roman"/>
                  <w:i/>
                  <w:sz w:val="24"/>
                  <w:szCs w:val="24"/>
                  <w:lang w:val="en-US"/>
                </w:rPr>
              </m:ctrlPr>
            </m:funcPr>
            <m:fName>
              <m:r>
                <m:rPr>
                  <m:sty m:val="p"/>
                </m:rPr>
                <w:rPr>
                  <w:rFonts w:ascii="Cambria Math" w:hAnsi="Cambria Math" w:cs="Times New Roman"/>
                  <w:sz w:val="24"/>
                  <w:szCs w:val="24"/>
                  <w:lang w:val="en-US"/>
                </w:rPr>
                <m:t>log</m:t>
              </m:r>
            </m:fName>
            <m:e>
              <m:r>
                <w:rPr>
                  <w:rFonts w:ascii="Cambria Math" w:hAnsi="Cambria Math" w:cs="Times New Roman"/>
                  <w:sz w:val="24"/>
                  <w:szCs w:val="24"/>
                  <w:lang w:val="en-US"/>
                </w:rPr>
                <m:t>(Scopus output+1)</m:t>
              </m:r>
            </m:e>
          </m:func>
          <m:r>
            <w:rPr>
              <w:rFonts w:ascii="Cambria Math" w:hAnsi="Cambria Math" w:cs="Times New Roman"/>
              <w:sz w:val="24"/>
              <w:szCs w:val="24"/>
              <w:lang w:val="en-US"/>
            </w:rPr>
            <m:t>+γ'X)</m:t>
          </m:r>
        </m:oMath>
      </m:oMathPara>
    </w:p>
    <w:p w14:paraId="4E0E8E16" w14:textId="77777777" w:rsidR="00575ADF" w:rsidRPr="00CD7903" w:rsidRDefault="00575ADF" w:rsidP="00CD7903">
      <w:pPr>
        <w:spacing w:after="0" w:line="360" w:lineRule="auto"/>
        <w:rPr>
          <w:rFonts w:ascii="Times New Roman" w:hAnsi="Times New Roman" w:cs="Times New Roman"/>
          <w:sz w:val="24"/>
          <w:szCs w:val="24"/>
          <w:lang w:val="en-US"/>
        </w:rPr>
      </w:pPr>
      <w:r w:rsidRPr="00CD7903">
        <w:rPr>
          <w:rFonts w:ascii="Times New Roman" w:hAnsi="Times New Roman" w:cs="Times New Roman"/>
          <w:sz w:val="24"/>
          <w:szCs w:val="24"/>
          <w:lang w:val="en-US"/>
        </w:rPr>
        <w:t>where we model the probability of internal hiring (inbreeding) as a function of the time between PhD completion and first academic appointment, research productivity (log Scopus publications), and additional controls including gender, department fixed effects, academic rank, and the share of internationally co-authored publications.</w:t>
      </w:r>
    </w:p>
    <w:p w14:paraId="66602961" w14:textId="4F58B139" w:rsidR="00033FE0" w:rsidRPr="00CD7903" w:rsidRDefault="00575ADF" w:rsidP="00CD7903">
      <w:pPr>
        <w:spacing w:after="0" w:line="360" w:lineRule="auto"/>
        <w:ind w:firstLine="360"/>
        <w:rPr>
          <w:rFonts w:ascii="Times New Roman" w:hAnsi="Times New Roman" w:cs="Times New Roman"/>
          <w:sz w:val="24"/>
          <w:szCs w:val="24"/>
          <w:lang w:val="en-US"/>
        </w:rPr>
      </w:pPr>
      <w:r w:rsidRPr="00CD7903">
        <w:rPr>
          <w:rFonts w:ascii="Times New Roman" w:hAnsi="Times New Roman" w:cs="Times New Roman"/>
          <w:sz w:val="24"/>
          <w:szCs w:val="24"/>
          <w:lang w:val="en-US"/>
        </w:rPr>
        <w:t xml:space="preserve">A key explanatory variable is the time from employment to PhD. The appointment of assistant professors at Sofia University “St. Kliment Ohridski” is governed by the Regulations on the Conditions and Procedures for Acquiring Academic Degrees and Holding Academic Positions, which establish two distinct entry routes. Under Article 87(1) and Articles 88–94, assistant positions are filled through open competition with public announcement, standardized application procedures, and examination-based ranking. In parallel, Article 87(2) allows for direct temporary appointment, without competition, of doctoral candidates who have completed training but not yet defended their dissertation, upon internal nomination and rectoral approval, for up to two years. This dual structure implies that some individuals may enter academic employment prior to completing the PhD and before participating in formal competition, making </w:t>
      </w:r>
      <w:r w:rsidRPr="00CD7903">
        <w:rPr>
          <w:rFonts w:ascii="Times New Roman" w:hAnsi="Times New Roman" w:cs="Times New Roman"/>
          <w:sz w:val="24"/>
          <w:szCs w:val="24"/>
          <w:lang w:val="en-US"/>
        </w:rPr>
        <w:lastRenderedPageBreak/>
        <w:t>the time between PhD completion and first appointment a meaningful proxy for distinguishing between entry through competitive versus internal appointment channels.</w:t>
      </w:r>
    </w:p>
    <w:p w14:paraId="1918EE13" w14:textId="1D0E0B92" w:rsidR="00575ADF" w:rsidRPr="00CD7903" w:rsidRDefault="00575ADF" w:rsidP="00CD7903">
      <w:pPr>
        <w:spacing w:after="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ab/>
        <w:t>Once we obtain the databases academic inbreeding is estimated on several levels:</w:t>
      </w:r>
    </w:p>
    <w:p w14:paraId="22724DEE" w14:textId="7A78540A" w:rsidR="00575ADF" w:rsidRPr="00CD7903" w:rsidRDefault="00575ADF" w:rsidP="00CD7903">
      <w:pPr>
        <w:pStyle w:val="ListParagraph"/>
        <w:numPr>
          <w:ilvl w:val="0"/>
          <w:numId w:val="3"/>
        </w:numPr>
        <w:spacing w:after="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Faculty level - percentage of all internal hires over the entire composition of the academic staff in a given faculty.</w:t>
      </w:r>
    </w:p>
    <w:p w14:paraId="4EF0832E" w14:textId="4089BD56" w:rsidR="00575ADF" w:rsidRPr="00CD7903" w:rsidRDefault="00575ADF" w:rsidP="00CD7903">
      <w:pPr>
        <w:pStyle w:val="ListParagraph"/>
        <w:numPr>
          <w:ilvl w:val="0"/>
          <w:numId w:val="3"/>
        </w:numPr>
        <w:spacing w:after="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Department level measures – within each faculty the percentage of academic staff members that graduated the same faculty </w:t>
      </w:r>
    </w:p>
    <w:p w14:paraId="5365475D" w14:textId="5950935D" w:rsidR="00575ADF" w:rsidRPr="00CD7903" w:rsidRDefault="00575ADF" w:rsidP="00CD7903">
      <w:pPr>
        <w:pStyle w:val="ListParagraph"/>
        <w:numPr>
          <w:ilvl w:val="0"/>
          <w:numId w:val="3"/>
        </w:numPr>
        <w:spacing w:after="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University level measures – within the same university the percentage internal </w:t>
      </w:r>
      <w:r w:rsidR="00BA6B9B" w:rsidRPr="00CD7903">
        <w:rPr>
          <w:rFonts w:ascii="Times New Roman" w:hAnsi="Times New Roman" w:cs="Times New Roman"/>
          <w:sz w:val="24"/>
          <w:szCs w:val="24"/>
          <w:lang w:val="en-GB"/>
        </w:rPr>
        <w:t xml:space="preserve">academic staff members. </w:t>
      </w:r>
    </w:p>
    <w:p w14:paraId="03323367" w14:textId="03F55950" w:rsidR="00BA6B9B" w:rsidRPr="00CD7903" w:rsidRDefault="00BA6B9B" w:rsidP="00CD7903">
      <w:pPr>
        <w:spacing w:after="0" w:line="360" w:lineRule="auto"/>
        <w:ind w:firstLine="360"/>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In Bulgaria a staff member can only be someone who is appointed as an assistant, chief assistant or professor. </w:t>
      </w:r>
    </w:p>
    <w:p w14:paraId="766FF4D4" w14:textId="6B9E4033" w:rsidR="00BA6B9B" w:rsidRPr="00CD7903" w:rsidRDefault="00BA6B9B" w:rsidP="00CD7903">
      <w:pPr>
        <w:pStyle w:val="ListParagraph"/>
        <w:numPr>
          <w:ilvl w:val="0"/>
          <w:numId w:val="4"/>
        </w:numPr>
        <w:spacing w:after="0"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Macro level measurement</w:t>
      </w:r>
    </w:p>
    <w:p w14:paraId="1A8CABF3" w14:textId="44EF2203" w:rsidR="00BA6B9B" w:rsidRPr="00CD7903" w:rsidRDefault="0020316E" w:rsidP="00CD7903">
      <w:pPr>
        <w:spacing w:after="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In the context of modern science, distinguishing between different forms of inbreeding based on mobility patterns is crucial. A useful differentiation can be made between “pure” inbred academics (“settle inbreds” </w:t>
      </w:r>
      <w:r w:rsidRPr="00CD7903">
        <w:rPr>
          <w:rFonts w:ascii="Times New Roman" w:hAnsi="Times New Roman" w:cs="Times New Roman"/>
          <w:i/>
          <w:iCs/>
          <w:sz w:val="24"/>
          <w:szCs w:val="24"/>
          <w:lang w:val="en-GB"/>
        </w:rPr>
        <w:t>authors’</w:t>
      </w:r>
      <w:r w:rsidRPr="00CD7903">
        <w:rPr>
          <w:rFonts w:ascii="Times New Roman" w:hAnsi="Times New Roman" w:cs="Times New Roman"/>
          <w:sz w:val="24"/>
          <w:szCs w:val="24"/>
          <w:lang w:val="en-GB"/>
        </w:rPr>
        <w:t xml:space="preserve">) with training and professional experience entirely confined to a single institution and “mobile” inbred academics (“movebreds” </w:t>
      </w:r>
      <w:r w:rsidRPr="00CD7903">
        <w:rPr>
          <w:rFonts w:ascii="Times New Roman" w:hAnsi="Times New Roman" w:cs="Times New Roman"/>
          <w:i/>
          <w:iCs/>
          <w:sz w:val="24"/>
          <w:szCs w:val="24"/>
          <w:lang w:val="en-GB"/>
        </w:rPr>
        <w:t>authors’</w:t>
      </w:r>
      <w:r w:rsidRPr="00CD7903">
        <w:rPr>
          <w:rFonts w:ascii="Times New Roman" w:hAnsi="Times New Roman" w:cs="Times New Roman"/>
          <w:sz w:val="24"/>
          <w:szCs w:val="24"/>
          <w:lang w:val="en-GB"/>
        </w:rPr>
        <w:t>), ultimately being employed by their alma mater, with accumulated experience in other institutional settings during their doctoral or postdoctoral stages. This distinction is crucial, as mobility is widely associated with enhanced research quality, broader collaboration networks, and increased scientific impact (</w:t>
      </w:r>
      <w:r w:rsidRPr="00CD7903">
        <w:rPr>
          <w:rFonts w:ascii="Times New Roman" w:hAnsi="Times New Roman" w:cs="Times New Roman"/>
          <w:i/>
          <w:iCs/>
          <w:sz w:val="24"/>
          <w:szCs w:val="24"/>
          <w:lang w:val="en-GB"/>
        </w:rPr>
        <w:t>Dillon, 2003; Dietz &amp; Bozeman, 2005</w:t>
      </w:r>
      <w:r w:rsidRPr="00CD7903">
        <w:rPr>
          <w:rFonts w:ascii="Times New Roman" w:hAnsi="Times New Roman" w:cs="Times New Roman"/>
          <w:sz w:val="24"/>
          <w:szCs w:val="24"/>
          <w:lang w:val="en-GB"/>
        </w:rPr>
        <w:t xml:space="preserve">). The net negative effects </w:t>
      </w:r>
      <w:r w:rsidR="00CD7903" w:rsidRPr="00CD7903">
        <w:rPr>
          <w:rFonts w:ascii="Times New Roman" w:hAnsi="Times New Roman" w:cs="Times New Roman"/>
          <w:sz w:val="24"/>
          <w:szCs w:val="24"/>
          <w:lang w:val="en-GB"/>
        </w:rPr>
        <w:t>are attributed</w:t>
      </w:r>
      <w:r w:rsidRPr="00CD7903">
        <w:rPr>
          <w:rFonts w:ascii="Times New Roman" w:hAnsi="Times New Roman" w:cs="Times New Roman"/>
          <w:sz w:val="24"/>
          <w:szCs w:val="24"/>
          <w:lang w:val="en-GB"/>
        </w:rPr>
        <w:t xml:space="preserve"> to academic </w:t>
      </w:r>
      <w:r w:rsidR="00CD7903" w:rsidRPr="00CD7903">
        <w:rPr>
          <w:rFonts w:ascii="Times New Roman" w:hAnsi="Times New Roman" w:cs="Times New Roman"/>
          <w:sz w:val="24"/>
          <w:szCs w:val="24"/>
          <w:lang w:val="en-GB"/>
        </w:rPr>
        <w:t>inbreeding broadly</w:t>
      </w:r>
      <w:r w:rsidRPr="00CD7903">
        <w:rPr>
          <w:rFonts w:ascii="Times New Roman" w:hAnsi="Times New Roman" w:cs="Times New Roman"/>
          <w:sz w:val="24"/>
          <w:szCs w:val="24"/>
          <w:lang w:val="en-GB"/>
        </w:rPr>
        <w:t xml:space="preserve"> linked to low levels of academic mobility, so reduced mobility rather than inbreeding per-se may be the underlying factor associated with lower scientific productivity </w:t>
      </w:r>
      <w:r w:rsidRPr="00CD7903">
        <w:rPr>
          <w:rFonts w:ascii="Times New Roman" w:hAnsi="Times New Roman" w:cs="Times New Roman"/>
          <w:i/>
          <w:iCs/>
          <w:sz w:val="24"/>
          <w:szCs w:val="24"/>
          <w:lang w:val="en-GB"/>
        </w:rPr>
        <w:t>Dutton</w:t>
      </w:r>
      <w:r w:rsidRPr="00CD7903">
        <w:rPr>
          <w:rFonts w:ascii="Times New Roman" w:hAnsi="Times New Roman" w:cs="Times New Roman"/>
          <w:sz w:val="24"/>
          <w:szCs w:val="24"/>
          <w:lang w:val="en-GB"/>
        </w:rPr>
        <w:t xml:space="preserve"> (1980). </w:t>
      </w:r>
      <w:r w:rsidR="00CD7903" w:rsidRPr="00CD7903">
        <w:rPr>
          <w:rFonts w:ascii="Times New Roman" w:hAnsi="Times New Roman" w:cs="Times New Roman"/>
          <w:sz w:val="24"/>
          <w:szCs w:val="24"/>
          <w:lang w:val="en-GB"/>
        </w:rPr>
        <w:t>For that reason u</w:t>
      </w:r>
      <w:r w:rsidR="00BA6B9B" w:rsidRPr="00CD7903">
        <w:rPr>
          <w:rFonts w:ascii="Times New Roman" w:hAnsi="Times New Roman" w:cs="Times New Roman"/>
          <w:sz w:val="24"/>
          <w:szCs w:val="24"/>
          <w:lang w:val="en-GB"/>
        </w:rPr>
        <w:t xml:space="preserve">sing OECD cross-country level data we </w:t>
      </w:r>
      <w:r w:rsidR="00CD7903" w:rsidRPr="00CD7903">
        <w:rPr>
          <w:rFonts w:ascii="Times New Roman" w:hAnsi="Times New Roman" w:cs="Times New Roman"/>
          <w:sz w:val="24"/>
          <w:szCs w:val="24"/>
          <w:lang w:val="en-GB"/>
        </w:rPr>
        <w:t>argue that</w:t>
      </w:r>
      <w:r w:rsidR="00BA6B9B" w:rsidRPr="00CD7903">
        <w:rPr>
          <w:rFonts w:ascii="Times New Roman" w:hAnsi="Times New Roman" w:cs="Times New Roman"/>
          <w:sz w:val="24"/>
          <w:szCs w:val="24"/>
          <w:lang w:val="en-GB"/>
        </w:rPr>
        <w:t xml:space="preserve"> key dimensions of </w:t>
      </w:r>
      <w:r w:rsidR="00CD7903" w:rsidRPr="00CD7903">
        <w:rPr>
          <w:rFonts w:ascii="Times New Roman" w:hAnsi="Times New Roman" w:cs="Times New Roman"/>
          <w:sz w:val="24"/>
          <w:szCs w:val="24"/>
          <w:lang w:val="en-GB"/>
        </w:rPr>
        <w:t xml:space="preserve">academic inbreeding on systemic levels are captured by multiple proxies of mobility: </w:t>
      </w:r>
    </w:p>
    <w:p w14:paraId="21AD3A95" w14:textId="77777777" w:rsidR="00BA6B9B" w:rsidRPr="00CD7903" w:rsidRDefault="00BA6B9B" w:rsidP="00CD7903">
      <w:pPr>
        <w:pStyle w:val="ListParagraph"/>
        <w:numPr>
          <w:ilvl w:val="0"/>
          <w:numId w:val="6"/>
        </w:numPr>
        <w:spacing w:after="20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Mobile doctorate graduates (Mobile_dct_grad)</w:t>
      </w:r>
    </w:p>
    <w:p w14:paraId="0DAD2D8A" w14:textId="77777777" w:rsidR="00BA6B9B" w:rsidRPr="00CD7903" w:rsidRDefault="00BA6B9B" w:rsidP="00CD7903">
      <w:pPr>
        <w:pStyle w:val="ListParagraph"/>
        <w:numPr>
          <w:ilvl w:val="0"/>
          <w:numId w:val="6"/>
        </w:numPr>
        <w:spacing w:after="20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International net flows of scientific authors (Net_flows)</w:t>
      </w:r>
    </w:p>
    <w:p w14:paraId="47B8BE94" w14:textId="77777777" w:rsidR="00BA6B9B" w:rsidRPr="00CD7903" w:rsidRDefault="00BA6B9B" w:rsidP="00CD7903">
      <w:pPr>
        <w:pStyle w:val="ListParagraph"/>
        <w:numPr>
          <w:ilvl w:val="0"/>
          <w:numId w:val="6"/>
        </w:numPr>
        <w:spacing w:after="20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Percentage of international scientific collaboration (pct_int_coll)</w:t>
      </w:r>
    </w:p>
    <w:p w14:paraId="15741D7E" w14:textId="77777777" w:rsidR="00BA6B9B" w:rsidRPr="00CD7903" w:rsidRDefault="00BA6B9B" w:rsidP="00CD7903">
      <w:pPr>
        <w:pStyle w:val="ListParagraph"/>
        <w:numPr>
          <w:ilvl w:val="0"/>
          <w:numId w:val="6"/>
        </w:numPr>
        <w:spacing w:after="200"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Total number of researchers (Total_researchers)</w:t>
      </w:r>
    </w:p>
    <w:p w14:paraId="184ED113" w14:textId="77777777" w:rsidR="00BA6B9B" w:rsidRPr="00CD7903" w:rsidRDefault="00BA6B9B" w:rsidP="00CD7903">
      <w:pPr>
        <w:spacing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lastRenderedPageBreak/>
        <w:t>All variables refer to the most recent available year for each country. To ensure cross-country comparability, absolute counts are normalized by the total number of researchers. This controls for differences in country size and research system scale:</w:t>
      </w:r>
    </w:p>
    <w:p w14:paraId="2206029E" w14:textId="40C31D7B" w:rsidR="00BA6B9B" w:rsidRPr="00CD7903" w:rsidRDefault="00BA6B9B" w:rsidP="00CD7903">
      <w:pPr>
        <w:spacing w:line="360" w:lineRule="auto"/>
        <w:rPr>
          <w:rFonts w:ascii="Times New Roman" w:hAnsi="Times New Roman" w:cs="Times New Roman"/>
          <w:sz w:val="24"/>
          <w:szCs w:val="24"/>
          <w:lang w:val="en-GB"/>
        </w:rPr>
      </w:pPr>
      <m:oMathPara>
        <m:oMath>
          <m:r>
            <w:rPr>
              <w:rFonts w:ascii="Cambria Math" w:hAnsi="Cambria Math" w:cs="Times New Roman"/>
              <w:sz w:val="24"/>
              <w:szCs w:val="24"/>
              <w:lang w:val="en-GB"/>
            </w:rPr>
            <m:t>Mobile</m:t>
          </m:r>
          <m:r>
            <m:rPr>
              <m:lit/>
            </m:rPr>
            <w:rPr>
              <w:rFonts w:ascii="Cambria Math" w:hAnsi="Cambria Math" w:cs="Times New Roman"/>
              <w:sz w:val="24"/>
              <w:szCs w:val="24"/>
              <w:lang w:val="en-GB"/>
            </w:rPr>
            <m:t>_</m:t>
          </m:r>
          <m:r>
            <w:rPr>
              <w:rFonts w:ascii="Cambria Math" w:hAnsi="Cambria Math" w:cs="Times New Roman"/>
              <w:sz w:val="24"/>
              <w:szCs w:val="24"/>
              <w:lang w:val="en-GB"/>
            </w:rPr>
            <m:t>per</m:t>
          </m:r>
          <m:r>
            <m:rPr>
              <m:lit/>
            </m:rPr>
            <w:rPr>
              <w:rFonts w:ascii="Cambria Math" w:hAnsi="Cambria Math" w:cs="Times New Roman"/>
              <w:sz w:val="24"/>
              <w:szCs w:val="24"/>
              <w:lang w:val="en-GB"/>
            </w:rPr>
            <m:t>_</m:t>
          </m:r>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1000</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 = </m:t>
          </m:r>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r>
                    <w:rPr>
                      <w:rFonts w:ascii="Cambria Math" w:hAnsi="Cambria Math" w:cs="Times New Roman"/>
                      <w:sz w:val="24"/>
                      <w:szCs w:val="24"/>
                      <w:lang w:val="en-GB"/>
                    </w:rPr>
                    <m:t>Mobile</m:t>
                  </m:r>
                  <m:r>
                    <m:rPr>
                      <m:lit/>
                    </m:rPr>
                    <w:rPr>
                      <w:rFonts w:ascii="Cambria Math" w:hAnsi="Cambria Math" w:cs="Times New Roman"/>
                      <w:sz w:val="24"/>
                      <w:szCs w:val="24"/>
                      <w:lang w:val="en-GB"/>
                    </w:rPr>
                    <m:t>_</m:t>
                  </m:r>
                  <m:r>
                    <w:rPr>
                      <w:rFonts w:ascii="Cambria Math" w:hAnsi="Cambria Math" w:cs="Times New Roman"/>
                      <w:sz w:val="24"/>
                      <w:szCs w:val="24"/>
                      <w:lang w:val="en-GB"/>
                    </w:rPr>
                    <m:t>dct</m:t>
                  </m:r>
                  <m:r>
                    <m:rPr>
                      <m:lit/>
                    </m:rPr>
                    <w:rPr>
                      <w:rFonts w:ascii="Cambria Math" w:hAnsi="Cambria Math" w:cs="Times New Roman"/>
                      <w:sz w:val="24"/>
                      <w:szCs w:val="24"/>
                      <w:lang w:val="en-GB"/>
                    </w:rPr>
                    <m:t>_</m:t>
                  </m:r>
                  <m:r>
                    <w:rPr>
                      <w:rFonts w:ascii="Cambria Math" w:hAnsi="Cambria Math" w:cs="Times New Roman"/>
                      <w:sz w:val="24"/>
                      <w:szCs w:val="24"/>
                      <w:lang w:val="en-GB"/>
                    </w:rPr>
                    <m:t>gra</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d</m:t>
                      </m:r>
                    </m:e>
                    <m:sub>
                      <m:r>
                        <w:rPr>
                          <w:rFonts w:ascii="Cambria Math" w:hAnsi="Cambria Math" w:cs="Times New Roman"/>
                          <w:sz w:val="24"/>
                          <w:szCs w:val="24"/>
                          <w:lang w:val="en-GB"/>
                        </w:rPr>
                        <m:t>i</m:t>
                      </m:r>
                    </m:sub>
                  </m:sSub>
                </m:num>
                <m:den>
                  <m:r>
                    <w:rPr>
                      <w:rFonts w:ascii="Cambria Math" w:hAnsi="Cambria Math" w:cs="Times New Roman"/>
                      <w:sz w:val="24"/>
                      <w:szCs w:val="24"/>
                      <w:lang w:val="en-GB"/>
                    </w:rPr>
                    <m:t>Total</m:t>
                  </m:r>
                  <m:r>
                    <m:rPr>
                      <m:lit/>
                    </m:rPr>
                    <w:rPr>
                      <w:rFonts w:ascii="Cambria Math" w:hAnsi="Cambria Math" w:cs="Times New Roman"/>
                      <w:sz w:val="24"/>
                      <w:szCs w:val="24"/>
                      <w:lang w:val="en-GB"/>
                    </w:rPr>
                    <m:t>_</m:t>
                  </m:r>
                  <m:r>
                    <w:rPr>
                      <w:rFonts w:ascii="Cambria Math" w:hAnsi="Cambria Math" w:cs="Times New Roman"/>
                      <w:sz w:val="24"/>
                      <w:szCs w:val="24"/>
                      <w:lang w:val="en-GB"/>
                    </w:rPr>
                    <m:t>researcher</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den>
              </m:f>
            </m:e>
          </m:d>
          <m:r>
            <w:rPr>
              <w:rFonts w:ascii="Cambria Math" w:hAnsi="Cambria Math" w:cs="Times New Roman"/>
              <w:sz w:val="24"/>
              <w:szCs w:val="24"/>
              <w:lang w:val="en-GB"/>
            </w:rPr>
            <m:t>/1000</m:t>
          </m:r>
        </m:oMath>
      </m:oMathPara>
    </w:p>
    <w:p w14:paraId="5B9F2177" w14:textId="77777777" w:rsidR="00BA6B9B" w:rsidRPr="00CD7903" w:rsidRDefault="00BA6B9B" w:rsidP="00CD7903">
      <w:pPr>
        <w:spacing w:after="0" w:line="360" w:lineRule="auto"/>
        <w:rPr>
          <w:rFonts w:ascii="Times New Roman" w:hAnsi="Times New Roman" w:cs="Times New Roman"/>
          <w:sz w:val="24"/>
          <w:szCs w:val="24"/>
          <w:lang w:val="en-GB"/>
        </w:rPr>
      </w:pPr>
      <m:oMathPara>
        <m:oMath>
          <m:r>
            <w:rPr>
              <w:rFonts w:ascii="Cambria Math" w:hAnsi="Cambria Math" w:cs="Times New Roman"/>
              <w:sz w:val="24"/>
              <w:szCs w:val="24"/>
              <w:lang w:val="en-GB"/>
            </w:rPr>
            <m:t>Flows</m:t>
          </m:r>
          <m:r>
            <m:rPr>
              <m:lit/>
            </m:rPr>
            <w:rPr>
              <w:rFonts w:ascii="Cambria Math" w:hAnsi="Cambria Math" w:cs="Times New Roman"/>
              <w:sz w:val="24"/>
              <w:szCs w:val="24"/>
              <w:lang w:val="en-GB"/>
            </w:rPr>
            <m:t>_</m:t>
          </m:r>
          <m:r>
            <w:rPr>
              <w:rFonts w:ascii="Cambria Math" w:hAnsi="Cambria Math" w:cs="Times New Roman"/>
              <w:sz w:val="24"/>
              <w:szCs w:val="24"/>
              <w:lang w:val="en-GB"/>
            </w:rPr>
            <m:t>per</m:t>
          </m:r>
          <m:r>
            <m:rPr>
              <m:lit/>
            </m:rPr>
            <w:rPr>
              <w:rFonts w:ascii="Cambria Math" w:hAnsi="Cambria Math" w:cs="Times New Roman"/>
              <w:sz w:val="24"/>
              <w:szCs w:val="24"/>
              <w:lang w:val="en-GB"/>
            </w:rPr>
            <m:t>_</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1000</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 = </m:t>
          </m:r>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r>
                    <w:rPr>
                      <w:rFonts w:ascii="Cambria Math" w:hAnsi="Cambria Math" w:cs="Times New Roman"/>
                      <w:sz w:val="24"/>
                      <w:szCs w:val="24"/>
                      <w:lang w:val="en-GB"/>
                    </w:rPr>
                    <m:t>Net</m:t>
                  </m:r>
                  <m:r>
                    <m:rPr>
                      <m:lit/>
                    </m:rPr>
                    <w:rPr>
                      <w:rFonts w:ascii="Cambria Math" w:hAnsi="Cambria Math" w:cs="Times New Roman"/>
                      <w:sz w:val="24"/>
                      <w:szCs w:val="24"/>
                      <w:lang w:val="en-GB"/>
                    </w:rPr>
                    <m:t>_</m:t>
                  </m:r>
                  <m:r>
                    <w:rPr>
                      <w:rFonts w:ascii="Cambria Math" w:hAnsi="Cambria Math" w:cs="Times New Roman"/>
                      <w:sz w:val="24"/>
                      <w:szCs w:val="24"/>
                      <w:lang w:val="en-GB"/>
                    </w:rPr>
                    <m:t>flow</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num>
                <m:den>
                  <m:r>
                    <w:rPr>
                      <w:rFonts w:ascii="Cambria Math" w:hAnsi="Cambria Math" w:cs="Times New Roman"/>
                      <w:sz w:val="24"/>
                      <w:szCs w:val="24"/>
                      <w:lang w:val="en-GB"/>
                    </w:rPr>
                    <m:t>Total</m:t>
                  </m:r>
                  <m:r>
                    <m:rPr>
                      <m:lit/>
                    </m:rPr>
                    <w:rPr>
                      <w:rFonts w:ascii="Cambria Math" w:hAnsi="Cambria Math" w:cs="Times New Roman"/>
                      <w:sz w:val="24"/>
                      <w:szCs w:val="24"/>
                      <w:lang w:val="en-GB"/>
                    </w:rPr>
                    <m:t>_</m:t>
                  </m:r>
                  <m:r>
                    <w:rPr>
                      <w:rFonts w:ascii="Cambria Math" w:hAnsi="Cambria Math" w:cs="Times New Roman"/>
                      <w:sz w:val="24"/>
                      <w:szCs w:val="24"/>
                      <w:lang w:val="en-GB"/>
                    </w:rPr>
                    <m:t>researcher</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den>
              </m:f>
            </m:e>
          </m:d>
          <m:r>
            <w:rPr>
              <w:rFonts w:ascii="Cambria Math" w:hAnsi="Cambria Math" w:cs="Times New Roman"/>
              <w:sz w:val="24"/>
              <w:szCs w:val="24"/>
              <w:lang w:val="en-GB"/>
            </w:rPr>
            <m:t>/1000</m:t>
          </m:r>
        </m:oMath>
      </m:oMathPara>
    </w:p>
    <w:p w14:paraId="02D3C9AC" w14:textId="77777777" w:rsidR="00BA6B9B" w:rsidRPr="00CD7903" w:rsidRDefault="00BA6B9B" w:rsidP="00CD7903">
      <w:pPr>
        <w:spacing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The international collaboration variable is already expressed as a percentage and is therefore not normalized. To combine variables measured in different units, all indicators are standardized using z-scores:</w:t>
      </w:r>
    </w:p>
    <w:p w14:paraId="11EC6D21" w14:textId="77777777" w:rsidR="00BA6B9B" w:rsidRPr="00CD7903" w:rsidRDefault="00531000" w:rsidP="00CD7903">
      <w:pPr>
        <w:spacing w:line="360" w:lineRule="auto"/>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Z</m:t>
              </m:r>
            </m:e>
            <m:sub>
              <m:r>
                <w:rPr>
                  <w:rFonts w:ascii="Cambria Math" w:hAnsi="Cambria Math" w:cs="Times New Roman"/>
                  <w:sz w:val="24"/>
                  <w:szCs w:val="24"/>
                  <w:lang w:val="en-GB"/>
                </w:rPr>
                <m:t>k,i</m:t>
              </m:r>
            </m:sub>
          </m:sSub>
          <m:r>
            <w:rPr>
              <w:rFonts w:ascii="Cambria Math" w:hAnsi="Cambria Math" w:cs="Times New Roman"/>
              <w:sz w:val="24"/>
              <w:szCs w:val="24"/>
              <w:lang w:val="en-GB"/>
            </w:rPr>
            <m:t xml:space="preserve"> =</m:t>
          </m:r>
          <m:f>
            <m:fPr>
              <m:ctrlPr>
                <w:rPr>
                  <w:rFonts w:ascii="Cambria Math" w:hAnsi="Cambria Math" w:cs="Times New Roman"/>
                  <w:i/>
                  <w:sz w:val="24"/>
                  <w:szCs w:val="24"/>
                  <w:lang w:val="en-GB"/>
                </w:rPr>
              </m:ctrlPr>
            </m:fPr>
            <m:num>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k,i</m:t>
                      </m:r>
                    </m:sub>
                  </m:sSub>
                  <m:r>
                    <w:rPr>
                      <w:rFonts w:ascii="Cambria Math" w:hAnsi="Cambria Math" w:cs="Times New Roman"/>
                      <w:sz w:val="24"/>
                      <w:szCs w:val="24"/>
                      <w:lang w:val="en-GB"/>
                    </w:rPr>
                    <m:t xml:space="preserve"> -</m:t>
                  </m:r>
                  <m:bar>
                    <m:barPr>
                      <m:pos m:val="top"/>
                      <m:ctrlPr>
                        <w:rPr>
                          <w:rFonts w:ascii="Cambria Math" w:hAnsi="Cambria Math" w:cs="Times New Roman"/>
                          <w:i/>
                          <w:sz w:val="24"/>
                          <w:szCs w:val="24"/>
                          <w:lang w:val="en-GB"/>
                        </w:rPr>
                      </m:ctrlPr>
                    </m:bar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k</m:t>
                          </m:r>
                        </m:sub>
                      </m:sSub>
                    </m:e>
                  </m:bar>
                </m:e>
              </m:d>
            </m:num>
            <m:den>
              <m:r>
                <w:rPr>
                  <w:rFonts w:ascii="Cambria Math" w:hAnsi="Cambria Math" w:cs="Times New Roman"/>
                  <w:sz w:val="24"/>
                  <w:szCs w:val="24"/>
                  <w:lang w:val="en-GB"/>
                </w:rPr>
                <m:t>sd</m:t>
              </m:r>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k</m:t>
                      </m:r>
                    </m:sub>
                  </m:sSub>
                </m:e>
              </m:d>
            </m:den>
          </m:f>
        </m:oMath>
      </m:oMathPara>
    </w:p>
    <w:p w14:paraId="362353D2" w14:textId="77777777" w:rsidR="00BA6B9B" w:rsidRPr="00CD7903" w:rsidRDefault="00BA6B9B" w:rsidP="00CD7903">
      <w:pPr>
        <w:spacing w:line="360" w:lineRule="auto"/>
        <w:rPr>
          <w:rFonts w:ascii="Times New Roman" w:hAnsi="Times New Roman" w:cs="Times New Roman"/>
          <w:sz w:val="24"/>
          <w:szCs w:val="24"/>
          <w:lang w:val="en-GB"/>
        </w:rPr>
      </w:pPr>
      <w:r w:rsidRPr="00CD7903">
        <w:rPr>
          <w:rFonts w:ascii="Times New Roman" w:hAnsi="Times New Roman" w:cs="Times New Roman"/>
          <w:sz w:val="24"/>
          <w:szCs w:val="24"/>
          <w:lang w:val="en-GB"/>
        </w:rPr>
        <w:t>where k indexes indicators and i indexes countries. The Academic Openness Index is constructed as the average of standardized indicators:</w:t>
      </w:r>
    </w:p>
    <w:p w14:paraId="04537F0D" w14:textId="77777777" w:rsidR="00BA6B9B" w:rsidRPr="00CD7903" w:rsidRDefault="00BA6B9B" w:rsidP="00CD7903">
      <w:pPr>
        <w:spacing w:line="360" w:lineRule="auto"/>
        <w:rPr>
          <w:rFonts w:ascii="Times New Roman" w:hAnsi="Times New Roman" w:cs="Times New Roman"/>
          <w:sz w:val="24"/>
          <w:szCs w:val="24"/>
          <w:lang w:val="en-GB"/>
        </w:rPr>
      </w:pPr>
      <m:oMathPara>
        <m:oMath>
          <m:r>
            <w:rPr>
              <w:rFonts w:ascii="Cambria Math" w:hAnsi="Cambria Math" w:cs="Times New Roman"/>
              <w:sz w:val="24"/>
              <w:szCs w:val="24"/>
              <w:lang w:val="en-GB"/>
            </w:rPr>
            <m:t>Opennes</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Z</m:t>
              </m:r>
              <m:r>
                <m:rPr>
                  <m:lit/>
                </m:rPr>
                <w:rPr>
                  <w:rFonts w:ascii="Cambria Math" w:hAnsi="Cambria Math" w:cs="Times New Roman"/>
                  <w:sz w:val="24"/>
                  <w:szCs w:val="24"/>
                  <w:lang w:val="en-GB"/>
                </w:rPr>
                <m:t>_</m:t>
              </m:r>
              <m:r>
                <w:rPr>
                  <w:rFonts w:ascii="Cambria Math" w:hAnsi="Cambria Math" w:cs="Times New Roman"/>
                  <w:sz w:val="24"/>
                  <w:szCs w:val="24"/>
                  <w:lang w:val="en-GB"/>
                </w:rPr>
                <m:t>mobil</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e</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 + Z</m:t>
              </m:r>
              <m:r>
                <m:rPr>
                  <m:lit/>
                </m:rPr>
                <w:rPr>
                  <w:rFonts w:ascii="Cambria Math" w:hAnsi="Cambria Math" w:cs="Times New Roman"/>
                  <w:sz w:val="24"/>
                  <w:szCs w:val="24"/>
                  <w:lang w:val="en-GB"/>
                </w:rPr>
                <m:t>_</m:t>
              </m:r>
              <m:r>
                <w:rPr>
                  <w:rFonts w:ascii="Cambria Math" w:hAnsi="Cambria Math" w:cs="Times New Roman"/>
                  <w:sz w:val="24"/>
                  <w:szCs w:val="24"/>
                  <w:lang w:val="en-GB"/>
                </w:rPr>
                <m:t>flow</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 + Z</m:t>
              </m:r>
              <m:r>
                <m:rPr>
                  <m:lit/>
                </m:rPr>
                <w:rPr>
                  <w:rFonts w:ascii="Cambria Math" w:hAnsi="Cambria Math" w:cs="Times New Roman"/>
                  <w:sz w:val="24"/>
                  <w:szCs w:val="24"/>
                  <w:lang w:val="en-GB"/>
                </w:rPr>
                <m:t>_</m:t>
              </m:r>
              <m:r>
                <w:rPr>
                  <w:rFonts w:ascii="Cambria Math" w:hAnsi="Cambria Math" w:cs="Times New Roman"/>
                  <w:sz w:val="24"/>
                  <w:szCs w:val="24"/>
                  <w:lang w:val="en-GB"/>
                </w:rPr>
                <m:t>colla</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b</m:t>
                  </m:r>
                </m:e>
                <m:sub>
                  <m:r>
                    <w:rPr>
                      <w:rFonts w:ascii="Cambria Math" w:hAnsi="Cambria Math" w:cs="Times New Roman"/>
                      <w:sz w:val="24"/>
                      <w:szCs w:val="24"/>
                      <w:lang w:val="en-GB"/>
                    </w:rPr>
                    <m:t>i</m:t>
                  </m:r>
                </m:sub>
              </m:sSub>
            </m:num>
            <m:den>
              <m:r>
                <w:rPr>
                  <w:rFonts w:ascii="Cambria Math" w:hAnsi="Cambria Math" w:cs="Times New Roman"/>
                  <w:sz w:val="24"/>
                  <w:szCs w:val="24"/>
                  <w:lang w:val="en-GB"/>
                </w:rPr>
                <m:t>3</m:t>
              </m:r>
            </m:den>
          </m:f>
          <m:r>
            <w:rPr>
              <w:rFonts w:ascii="Cambria Math" w:hAnsi="Cambria Math" w:cs="Times New Roman"/>
              <w:sz w:val="24"/>
              <w:szCs w:val="24"/>
              <w:lang w:val="en-GB"/>
            </w:rPr>
            <m:t xml:space="preserve"> </m:t>
          </m:r>
        </m:oMath>
      </m:oMathPara>
    </w:p>
    <w:p w14:paraId="77DC721F" w14:textId="056F600A" w:rsidR="00BA6B9B" w:rsidRPr="00CD7903" w:rsidRDefault="00BA6B9B" w:rsidP="00CD7903">
      <w:pPr>
        <w:spacing w:after="0" w:line="360" w:lineRule="auto"/>
        <w:ind w:firstLine="432"/>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Higher values of the index indicate more open academic systems characterized by greater researcher mobility, positive international flows and higher levels of international collaboration. Lower values indicate more closed systems, often associated with academic inbreeding and limited external circulation. </w:t>
      </w:r>
      <w:r w:rsidR="00CD7903" w:rsidRPr="00CD7903">
        <w:rPr>
          <w:rFonts w:ascii="Times New Roman" w:hAnsi="Times New Roman" w:cs="Times New Roman"/>
          <w:sz w:val="24"/>
          <w:szCs w:val="24"/>
          <w:lang w:val="en-GB"/>
        </w:rPr>
        <w:t>This measurement is important as in closed environments, institutional practices and epistemic frameworks are continuously reproduced, leading to scientific and academic stagnation and diminished adaptability in the face of global academic transformations (</w:t>
      </w:r>
      <w:r w:rsidR="00CD7903" w:rsidRPr="00CD7903">
        <w:rPr>
          <w:rFonts w:ascii="Times New Roman" w:hAnsi="Times New Roman" w:cs="Times New Roman"/>
          <w:i/>
          <w:iCs/>
          <w:sz w:val="24"/>
          <w:szCs w:val="24"/>
          <w:lang w:val="en-GB"/>
        </w:rPr>
        <w:t>Altbach, 2000; Yudkevich et al., 2015</w:t>
      </w:r>
      <w:r w:rsidR="00CD7903" w:rsidRPr="00CD7903">
        <w:rPr>
          <w:rFonts w:ascii="Times New Roman" w:hAnsi="Times New Roman" w:cs="Times New Roman"/>
          <w:sz w:val="24"/>
          <w:szCs w:val="24"/>
          <w:lang w:val="en-GB"/>
        </w:rPr>
        <w:t>). Comparative analyses indicate that universities with more open recruitment systems and higher levels of academic mobility tend to achieve “stronger research outcomes and greater international visibility” (</w:t>
      </w:r>
      <w:r w:rsidR="00CD7903" w:rsidRPr="00CD7903">
        <w:rPr>
          <w:rFonts w:ascii="Times New Roman" w:hAnsi="Times New Roman" w:cs="Times New Roman"/>
          <w:i/>
          <w:iCs/>
          <w:sz w:val="24"/>
          <w:szCs w:val="24"/>
          <w:lang w:val="en-GB"/>
        </w:rPr>
        <w:t>Aghion et al., 2010</w:t>
      </w:r>
      <w:r w:rsidR="00CD7903" w:rsidRPr="00CD7903">
        <w:rPr>
          <w:rFonts w:ascii="Times New Roman" w:hAnsi="Times New Roman" w:cs="Times New Roman"/>
          <w:sz w:val="24"/>
          <w:szCs w:val="24"/>
          <w:lang w:val="en-GB"/>
        </w:rPr>
        <w:t>). Consequently, addressing academic inbreeding is not merely a matter of human resource policy, but a fundamental challenge linked to the epistemic vitality and global competitiveness of contemporary universities.</w:t>
      </w:r>
    </w:p>
    <w:p w14:paraId="484EA539" w14:textId="0F2448E9" w:rsidR="00BA6B9B" w:rsidRPr="00CD7903" w:rsidRDefault="00BA6B9B" w:rsidP="00CD7903">
      <w:pPr>
        <w:pStyle w:val="ListParagraph"/>
        <w:numPr>
          <w:ilvl w:val="0"/>
          <w:numId w:val="1"/>
        </w:numPr>
        <w:spacing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 xml:space="preserve">Results </w:t>
      </w:r>
    </w:p>
    <w:p w14:paraId="0329B420" w14:textId="0D24D501" w:rsidR="00BA6B9B" w:rsidRDefault="00B0625D" w:rsidP="00CD7903">
      <w:pPr>
        <w:pStyle w:val="ListParagraph"/>
        <w:numPr>
          <w:ilvl w:val="0"/>
          <w:numId w:val="8"/>
        </w:numPr>
        <w:spacing w:line="360" w:lineRule="auto"/>
        <w:rPr>
          <w:rFonts w:ascii="Times New Roman" w:hAnsi="Times New Roman" w:cs="Times New Roman"/>
          <w:b/>
          <w:i/>
          <w:sz w:val="24"/>
          <w:szCs w:val="24"/>
          <w:lang w:val="en-GB"/>
        </w:rPr>
      </w:pPr>
      <w:r w:rsidRPr="00CD7903">
        <w:rPr>
          <w:rFonts w:ascii="Times New Roman" w:hAnsi="Times New Roman" w:cs="Times New Roman"/>
          <w:b/>
          <w:i/>
          <w:sz w:val="24"/>
          <w:szCs w:val="24"/>
          <w:lang w:val="en-GB"/>
        </w:rPr>
        <w:t xml:space="preserve">Academic inbreeding as market-based outcome </w:t>
      </w:r>
    </w:p>
    <w:p w14:paraId="2471C0D7" w14:textId="5AC3474B" w:rsidR="0037731E" w:rsidRPr="0037731E" w:rsidRDefault="0037731E" w:rsidP="0037731E">
      <w:pPr>
        <w:pStyle w:val="Caption"/>
        <w:keepNext/>
        <w:rPr>
          <w:rFonts w:ascii="Times New Roman" w:hAnsi="Times New Roman" w:cs="Times New Roman"/>
          <w:i w:val="0"/>
          <w:lang w:val="en-US"/>
        </w:rPr>
      </w:pPr>
      <w:r w:rsidRPr="0037731E">
        <w:rPr>
          <w:rFonts w:ascii="Times New Roman" w:hAnsi="Times New Roman" w:cs="Times New Roman"/>
          <w:i w:val="0"/>
        </w:rPr>
        <w:lastRenderedPageBreak/>
        <w:t xml:space="preserve">Figure </w:t>
      </w:r>
      <w:r w:rsidRPr="0037731E">
        <w:rPr>
          <w:rFonts w:ascii="Times New Roman" w:hAnsi="Times New Roman" w:cs="Times New Roman"/>
          <w:i w:val="0"/>
        </w:rPr>
        <w:fldChar w:fldCharType="begin"/>
      </w:r>
      <w:r w:rsidRPr="0037731E">
        <w:rPr>
          <w:rFonts w:ascii="Times New Roman" w:hAnsi="Times New Roman" w:cs="Times New Roman"/>
          <w:i w:val="0"/>
        </w:rPr>
        <w:instrText xml:space="preserve"> SEQ Figure \* ARABIC </w:instrText>
      </w:r>
      <w:r w:rsidRPr="0037731E">
        <w:rPr>
          <w:rFonts w:ascii="Times New Roman" w:hAnsi="Times New Roman" w:cs="Times New Roman"/>
          <w:i w:val="0"/>
        </w:rPr>
        <w:fldChar w:fldCharType="separate"/>
      </w:r>
      <w:r w:rsidR="00531000">
        <w:rPr>
          <w:rFonts w:ascii="Times New Roman" w:hAnsi="Times New Roman" w:cs="Times New Roman"/>
          <w:i w:val="0"/>
          <w:noProof/>
        </w:rPr>
        <w:t>1</w:t>
      </w:r>
      <w:r w:rsidRPr="0037731E">
        <w:rPr>
          <w:rFonts w:ascii="Times New Roman" w:hAnsi="Times New Roman" w:cs="Times New Roman"/>
          <w:i w:val="0"/>
        </w:rPr>
        <w:fldChar w:fldCharType="end"/>
      </w:r>
      <w:r w:rsidRPr="0037731E">
        <w:rPr>
          <w:rFonts w:ascii="Times New Roman" w:hAnsi="Times New Roman" w:cs="Times New Roman"/>
          <w:i w:val="0"/>
          <w:lang w:val="en-US"/>
        </w:rPr>
        <w:t>. Factors associated with inbred hiring at FEBA (N=81, consisting of all 4 active departments)</w:t>
      </w:r>
    </w:p>
    <w:p w14:paraId="203BF547" w14:textId="77777777" w:rsidR="00E70628" w:rsidRDefault="001F73A7" w:rsidP="00E70628">
      <w:pPr>
        <w:keepNext/>
        <w:spacing w:line="360" w:lineRule="auto"/>
        <w:jc w:val="center"/>
      </w:pPr>
      <w:r w:rsidRPr="001F73A7">
        <w:rPr>
          <w:rFonts w:ascii="Times New Roman" w:hAnsi="Times New Roman" w:cs="Times New Roman"/>
          <w:b/>
          <w:i/>
          <w:noProof/>
          <w:sz w:val="24"/>
          <w:szCs w:val="24"/>
          <w:lang w:val="en-GB"/>
        </w:rPr>
        <w:drawing>
          <wp:inline distT="0" distB="0" distL="0" distR="0" wp14:anchorId="19B63FD5" wp14:editId="2C12FB2E">
            <wp:extent cx="6035040" cy="363601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5040" cy="3636010"/>
                    </a:xfrm>
                    <a:prstGeom prst="rect">
                      <a:avLst/>
                    </a:prstGeom>
                  </pic:spPr>
                </pic:pic>
              </a:graphicData>
            </a:graphic>
          </wp:inline>
        </w:drawing>
      </w:r>
    </w:p>
    <w:p w14:paraId="41733A82" w14:textId="1C0DFEAB" w:rsidR="001F73A7" w:rsidRPr="0037731E" w:rsidRDefault="00E70628" w:rsidP="0037731E">
      <w:pPr>
        <w:pStyle w:val="Caption"/>
        <w:rPr>
          <w:rFonts w:ascii="Times New Roman" w:hAnsi="Times New Roman" w:cs="Times New Roman"/>
          <w:b/>
          <w:i w:val="0"/>
          <w:sz w:val="24"/>
          <w:szCs w:val="24"/>
          <w:lang w:val="en-GB"/>
        </w:rPr>
      </w:pPr>
      <w:r w:rsidRPr="0037731E">
        <w:rPr>
          <w:rFonts w:ascii="Times New Roman" w:hAnsi="Times New Roman" w:cs="Times New Roman"/>
          <w:i w:val="0"/>
          <w:lang w:val="en-GB"/>
        </w:rPr>
        <w:t>Note</w:t>
      </w:r>
      <w:r w:rsidR="0037731E">
        <w:rPr>
          <w:rFonts w:ascii="Times New Roman" w:hAnsi="Times New Roman" w:cs="Times New Roman"/>
          <w:i w:val="0"/>
          <w:lang w:val="en-GB"/>
        </w:rPr>
        <w:t>:</w:t>
      </w:r>
      <w:r w:rsidRPr="0037731E">
        <w:rPr>
          <w:rFonts w:ascii="Times New Roman" w:hAnsi="Times New Roman" w:cs="Times New Roman"/>
          <w:i w:val="0"/>
          <w:lang w:val="en-GB"/>
        </w:rPr>
        <w:t xml:space="preserve"> </w:t>
      </w:r>
      <w:r w:rsidR="0037731E" w:rsidRPr="0037731E">
        <w:rPr>
          <w:rFonts w:ascii="Times New Roman" w:hAnsi="Times New Roman" w:cs="Times New Roman"/>
          <w:i w:val="0"/>
          <w:lang w:val="en-GB"/>
        </w:rPr>
        <w:t>“Time from PhD to hiring” is defined as the difference between the PhD completion date and the first appointment at the institution. Positive values indicate hiring prior to PhD completion, while negative values indicate hiring after PhD completion. A binary indicator is constructed equal to 1 if the time difference is less than one year (in absolute terms), and 0 otherwise.</w:t>
      </w:r>
      <w:r w:rsidR="0037731E">
        <w:rPr>
          <w:rFonts w:ascii="Times New Roman" w:hAnsi="Times New Roman" w:cs="Times New Roman"/>
          <w:i w:val="0"/>
          <w:lang w:val="en-GB"/>
        </w:rPr>
        <w:t xml:space="preserve"> For assistants who haven’t yet obtained their PhDs the date of their hire was multiplied by 4*345 days, because by Bulgarian law they cannot hold this position for more than 5 years. </w:t>
      </w:r>
    </w:p>
    <w:p w14:paraId="00CE5C09" w14:textId="679BF8CE" w:rsidR="00E70628" w:rsidRDefault="00E70628" w:rsidP="00E70628">
      <w:pPr>
        <w:spacing w:after="0" w:line="360" w:lineRule="auto"/>
        <w:rPr>
          <w:rFonts w:ascii="Times New Roman" w:hAnsi="Times New Roman" w:cs="Times New Roman"/>
          <w:lang w:val="en-GB"/>
        </w:rPr>
      </w:pPr>
      <w:r w:rsidRPr="00E70628">
        <w:rPr>
          <w:rFonts w:ascii="Times New Roman" w:hAnsi="Times New Roman" w:cs="Times New Roman"/>
          <w:lang w:val="en-GB"/>
        </w:rPr>
        <w:t xml:space="preserve">The results for FEBA indicate that academic inbreeding is strongly associated with rapid entry into academic employment, suggesting that internal candidates are absorbed through non-competitive or weakly competitive channels. </w:t>
      </w:r>
      <w:r w:rsidR="00531000" w:rsidRPr="00531000">
        <w:rPr>
          <w:rFonts w:ascii="Times New Roman" w:hAnsi="Times New Roman" w:cs="Times New Roman"/>
          <w:lang w:val="en-GB"/>
        </w:rPr>
        <w:t xml:space="preserve">The coexistence of competitive and non-competitive hiring channels </w:t>
      </w:r>
      <w:r w:rsidR="00531000">
        <w:rPr>
          <w:rFonts w:ascii="Times New Roman" w:hAnsi="Times New Roman" w:cs="Times New Roman"/>
          <w:lang w:val="en-GB"/>
        </w:rPr>
        <w:t xml:space="preserve">(as discussed earlier) </w:t>
      </w:r>
      <w:r w:rsidR="00531000" w:rsidRPr="00531000">
        <w:rPr>
          <w:rFonts w:ascii="Times New Roman" w:hAnsi="Times New Roman" w:cs="Times New Roman"/>
          <w:lang w:val="en-GB"/>
        </w:rPr>
        <w:t>creates a structurally embedded pathway for internal candidates, reducing uncertainty for institutions while simultaneously limiting openness.</w:t>
      </w:r>
      <w:r w:rsidR="00531000">
        <w:rPr>
          <w:rFonts w:ascii="Times New Roman" w:hAnsi="Times New Roman" w:cs="Times New Roman"/>
          <w:lang w:val="en-GB"/>
        </w:rPr>
        <w:t xml:space="preserve"> </w:t>
      </w:r>
      <w:r w:rsidRPr="00E70628">
        <w:rPr>
          <w:rFonts w:ascii="Times New Roman" w:hAnsi="Times New Roman" w:cs="Times New Roman"/>
          <w:lang w:val="en-GB"/>
        </w:rPr>
        <w:t xml:space="preserve">At the same time, higher research productivity reduces the likelihood of inbreeding, consistent with a trade-off between expected output and hiring uncertainty. </w:t>
      </w:r>
      <w:r w:rsidR="00531000">
        <w:rPr>
          <w:rFonts w:ascii="Times New Roman" w:hAnsi="Times New Roman" w:cs="Times New Roman"/>
          <w:lang w:val="en-GB"/>
        </w:rPr>
        <w:t>The presented</w:t>
      </w:r>
      <w:r w:rsidRPr="00E70628">
        <w:rPr>
          <w:rFonts w:ascii="Times New Roman" w:hAnsi="Times New Roman" w:cs="Times New Roman"/>
          <w:lang w:val="en-GB"/>
        </w:rPr>
        <w:t xml:space="preserve"> findings support the interpretation of inbreeding as a cost-minimizing equilibrium in academic labor markets rather than purely a normative deviation.</w:t>
      </w:r>
    </w:p>
    <w:p w14:paraId="03C7F3F0" w14:textId="55AE88D2" w:rsidR="005C58D4" w:rsidRDefault="005C58D4" w:rsidP="00E70628">
      <w:pPr>
        <w:spacing w:after="0" w:line="360" w:lineRule="auto"/>
        <w:rPr>
          <w:rFonts w:ascii="Times New Roman" w:hAnsi="Times New Roman" w:cs="Times New Roman"/>
          <w:sz w:val="24"/>
          <w:szCs w:val="24"/>
          <w:lang w:val="en-GB"/>
        </w:rPr>
      </w:pPr>
    </w:p>
    <w:p w14:paraId="23C3C718" w14:textId="28B99F4A" w:rsidR="005C58D4" w:rsidRDefault="005C58D4" w:rsidP="00E70628">
      <w:pPr>
        <w:spacing w:after="0" w:line="360" w:lineRule="auto"/>
        <w:rPr>
          <w:rFonts w:ascii="Times New Roman" w:hAnsi="Times New Roman" w:cs="Times New Roman"/>
          <w:sz w:val="24"/>
          <w:szCs w:val="24"/>
          <w:lang w:val="en-GB"/>
        </w:rPr>
      </w:pPr>
    </w:p>
    <w:p w14:paraId="74209CDE" w14:textId="222ED953" w:rsidR="005C58D4" w:rsidRDefault="005C58D4" w:rsidP="00E70628">
      <w:pPr>
        <w:spacing w:after="0" w:line="360" w:lineRule="auto"/>
        <w:rPr>
          <w:rFonts w:ascii="Times New Roman" w:hAnsi="Times New Roman" w:cs="Times New Roman"/>
          <w:sz w:val="24"/>
          <w:szCs w:val="24"/>
          <w:lang w:val="en-GB"/>
        </w:rPr>
      </w:pPr>
    </w:p>
    <w:p w14:paraId="7A54158C" w14:textId="06CB983F" w:rsidR="005C58D4" w:rsidRDefault="005C58D4" w:rsidP="00E70628">
      <w:pPr>
        <w:spacing w:after="0" w:line="360" w:lineRule="auto"/>
        <w:rPr>
          <w:rFonts w:ascii="Times New Roman" w:hAnsi="Times New Roman" w:cs="Times New Roman"/>
          <w:sz w:val="24"/>
          <w:szCs w:val="24"/>
          <w:lang w:val="en-GB"/>
        </w:rPr>
      </w:pPr>
    </w:p>
    <w:p w14:paraId="4B9C4A14" w14:textId="45D2CD03" w:rsidR="005C58D4" w:rsidRDefault="005C58D4" w:rsidP="00E70628">
      <w:pPr>
        <w:spacing w:after="0" w:line="360" w:lineRule="auto"/>
        <w:rPr>
          <w:rFonts w:ascii="Times New Roman" w:hAnsi="Times New Roman" w:cs="Times New Roman"/>
          <w:sz w:val="24"/>
          <w:szCs w:val="24"/>
          <w:lang w:val="en-GB"/>
        </w:rPr>
      </w:pPr>
    </w:p>
    <w:p w14:paraId="430FCD92" w14:textId="504E3FF1" w:rsidR="005C58D4" w:rsidRDefault="005C58D4" w:rsidP="00E70628">
      <w:pPr>
        <w:spacing w:after="0" w:line="360" w:lineRule="auto"/>
        <w:rPr>
          <w:rFonts w:ascii="Times New Roman" w:hAnsi="Times New Roman" w:cs="Times New Roman"/>
          <w:sz w:val="24"/>
          <w:szCs w:val="24"/>
          <w:lang w:val="en-GB"/>
        </w:rPr>
      </w:pPr>
    </w:p>
    <w:p w14:paraId="64F7DB96" w14:textId="77777777" w:rsidR="005C58D4" w:rsidRPr="00E70628" w:rsidRDefault="005C58D4" w:rsidP="00E70628">
      <w:pPr>
        <w:spacing w:after="0" w:line="360" w:lineRule="auto"/>
        <w:rPr>
          <w:rFonts w:ascii="Times New Roman" w:hAnsi="Times New Roman" w:cs="Times New Roman"/>
          <w:sz w:val="24"/>
          <w:szCs w:val="24"/>
          <w:lang w:val="en-GB"/>
        </w:rPr>
      </w:pPr>
    </w:p>
    <w:p w14:paraId="692BC9A4" w14:textId="16BF41D9" w:rsidR="005C58D4" w:rsidRPr="005C58D4" w:rsidRDefault="005C58D4" w:rsidP="005C58D4">
      <w:pPr>
        <w:pStyle w:val="Caption"/>
        <w:keepNext/>
        <w:rPr>
          <w:rFonts w:ascii="Times New Roman" w:hAnsi="Times New Roman" w:cs="Times New Roman"/>
          <w:i w:val="0"/>
          <w:lang w:val="en-US"/>
        </w:rPr>
      </w:pPr>
      <w:r w:rsidRPr="005C58D4">
        <w:rPr>
          <w:rFonts w:ascii="Times New Roman" w:hAnsi="Times New Roman" w:cs="Times New Roman"/>
          <w:i w:val="0"/>
        </w:rPr>
        <w:t xml:space="preserve">Table </w:t>
      </w:r>
      <w:r w:rsidRPr="005C58D4">
        <w:rPr>
          <w:rFonts w:ascii="Times New Roman" w:hAnsi="Times New Roman" w:cs="Times New Roman"/>
          <w:i w:val="0"/>
        </w:rPr>
        <w:fldChar w:fldCharType="begin"/>
      </w:r>
      <w:r w:rsidRPr="005C58D4">
        <w:rPr>
          <w:rFonts w:ascii="Times New Roman" w:hAnsi="Times New Roman" w:cs="Times New Roman"/>
          <w:i w:val="0"/>
        </w:rPr>
        <w:instrText xml:space="preserve"> SEQ Table \* ARABIC </w:instrText>
      </w:r>
      <w:r w:rsidRPr="005C58D4">
        <w:rPr>
          <w:rFonts w:ascii="Times New Roman" w:hAnsi="Times New Roman" w:cs="Times New Roman"/>
          <w:i w:val="0"/>
        </w:rPr>
        <w:fldChar w:fldCharType="separate"/>
      </w:r>
      <w:r w:rsidR="00531000">
        <w:rPr>
          <w:rFonts w:ascii="Times New Roman" w:hAnsi="Times New Roman" w:cs="Times New Roman"/>
          <w:i w:val="0"/>
          <w:noProof/>
        </w:rPr>
        <w:t>1</w:t>
      </w:r>
      <w:r w:rsidRPr="005C58D4">
        <w:rPr>
          <w:rFonts w:ascii="Times New Roman" w:hAnsi="Times New Roman" w:cs="Times New Roman"/>
          <w:i w:val="0"/>
        </w:rPr>
        <w:fldChar w:fldCharType="end"/>
      </w:r>
      <w:r>
        <w:rPr>
          <w:rFonts w:ascii="Times New Roman" w:hAnsi="Times New Roman" w:cs="Times New Roman"/>
          <w:i w:val="0"/>
          <w:lang w:val="en-US"/>
        </w:rPr>
        <w:t xml:space="preserve">. Scopus output (2015-2022) per FORD discipline for Sofia University and New Bulgarian University. </w:t>
      </w:r>
    </w:p>
    <w:tbl>
      <w:tblPr>
        <w:tblW w:w="6076" w:type="dxa"/>
        <w:jc w:val="center"/>
        <w:tblLook w:val="04A0" w:firstRow="1" w:lastRow="0" w:firstColumn="1" w:lastColumn="0" w:noHBand="0" w:noVBand="1"/>
      </w:tblPr>
      <w:tblGrid>
        <w:gridCol w:w="1704"/>
        <w:gridCol w:w="999"/>
        <w:gridCol w:w="1182"/>
        <w:gridCol w:w="1231"/>
        <w:gridCol w:w="960"/>
      </w:tblGrid>
      <w:tr w:rsidR="005C58D4" w:rsidRPr="005C58D4" w14:paraId="239C8BFD" w14:textId="77777777" w:rsidTr="005C58D4">
        <w:trPr>
          <w:trHeight w:val="288"/>
          <w:jc w:val="center"/>
        </w:trPr>
        <w:tc>
          <w:tcPr>
            <w:tcW w:w="1704" w:type="dxa"/>
            <w:tcBorders>
              <w:top w:val="single" w:sz="4" w:space="0" w:color="auto"/>
              <w:left w:val="nil"/>
              <w:bottom w:val="single" w:sz="4" w:space="0" w:color="auto"/>
              <w:right w:val="nil"/>
            </w:tcBorders>
            <w:shd w:val="clear" w:color="auto" w:fill="auto"/>
            <w:noWrap/>
            <w:vAlign w:val="bottom"/>
            <w:hideMark/>
          </w:tcPr>
          <w:p w14:paraId="6EC79312"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w:t>
            </w:r>
          </w:p>
        </w:tc>
        <w:tc>
          <w:tcPr>
            <w:tcW w:w="3412" w:type="dxa"/>
            <w:gridSpan w:val="3"/>
            <w:tcBorders>
              <w:top w:val="single" w:sz="4" w:space="0" w:color="auto"/>
              <w:left w:val="nil"/>
              <w:bottom w:val="single" w:sz="4" w:space="0" w:color="auto"/>
              <w:right w:val="nil"/>
            </w:tcBorders>
            <w:shd w:val="clear" w:color="auto" w:fill="auto"/>
            <w:noWrap/>
            <w:vAlign w:val="center"/>
            <w:hideMark/>
          </w:tcPr>
          <w:p w14:paraId="796201C3" w14:textId="77777777" w:rsidR="005C58D4" w:rsidRPr="005C58D4" w:rsidRDefault="005C58D4" w:rsidP="005C58D4">
            <w:pPr>
              <w:spacing w:after="0" w:line="240" w:lineRule="auto"/>
              <w:jc w:val="center"/>
              <w:rPr>
                <w:rFonts w:ascii="Times New Roman" w:eastAsia="Times New Roman" w:hAnsi="Times New Roman" w:cs="Times New Roman"/>
                <w:b/>
                <w:bCs/>
                <w:color w:val="000000"/>
                <w:lang w:val="en-US"/>
                <w14:ligatures w14:val="none"/>
              </w:rPr>
            </w:pPr>
            <w:r w:rsidRPr="005C58D4">
              <w:rPr>
                <w:rFonts w:ascii="Times New Roman" w:eastAsia="Times New Roman" w:hAnsi="Times New Roman" w:cs="Times New Roman"/>
                <w:b/>
                <w:bCs/>
                <w:color w:val="000000"/>
                <w:lang w:val="en-US"/>
                <w14:ligatures w14:val="none"/>
              </w:rPr>
              <w:t xml:space="preserve">Sofia University </w:t>
            </w:r>
          </w:p>
        </w:tc>
        <w:tc>
          <w:tcPr>
            <w:tcW w:w="960" w:type="dxa"/>
            <w:tcBorders>
              <w:top w:val="single" w:sz="4" w:space="0" w:color="auto"/>
              <w:left w:val="nil"/>
              <w:bottom w:val="single" w:sz="4" w:space="0" w:color="auto"/>
              <w:right w:val="nil"/>
            </w:tcBorders>
            <w:shd w:val="clear" w:color="auto" w:fill="auto"/>
            <w:noWrap/>
            <w:vAlign w:val="center"/>
            <w:hideMark/>
          </w:tcPr>
          <w:p w14:paraId="3FEA8928" w14:textId="77777777" w:rsidR="005C58D4" w:rsidRPr="005C58D4" w:rsidRDefault="005C58D4" w:rsidP="005C58D4">
            <w:pPr>
              <w:spacing w:after="0" w:line="240" w:lineRule="auto"/>
              <w:jc w:val="center"/>
              <w:rPr>
                <w:rFonts w:ascii="Times New Roman" w:eastAsia="Times New Roman" w:hAnsi="Times New Roman" w:cs="Times New Roman"/>
                <w:b/>
                <w:bCs/>
                <w:color w:val="000000"/>
                <w:lang w:val="en-US"/>
                <w14:ligatures w14:val="none"/>
              </w:rPr>
            </w:pPr>
            <w:r w:rsidRPr="005C58D4">
              <w:rPr>
                <w:rFonts w:ascii="Times New Roman" w:eastAsia="Times New Roman" w:hAnsi="Times New Roman" w:cs="Times New Roman"/>
                <w:b/>
                <w:bCs/>
                <w:color w:val="000000"/>
                <w:lang w:val="en-US"/>
                <w14:ligatures w14:val="none"/>
              </w:rPr>
              <w:t>NBU</w:t>
            </w:r>
          </w:p>
        </w:tc>
      </w:tr>
      <w:tr w:rsidR="005C58D4" w:rsidRPr="005C58D4" w14:paraId="518872D7" w14:textId="77777777" w:rsidTr="005C58D4">
        <w:trPr>
          <w:trHeight w:val="426"/>
          <w:jc w:val="center"/>
        </w:trPr>
        <w:tc>
          <w:tcPr>
            <w:tcW w:w="1704" w:type="dxa"/>
            <w:tcBorders>
              <w:top w:val="nil"/>
              <w:left w:val="nil"/>
              <w:bottom w:val="double" w:sz="6" w:space="0" w:color="auto"/>
              <w:right w:val="single" w:sz="4" w:space="0" w:color="auto"/>
            </w:tcBorders>
            <w:shd w:val="clear" w:color="auto" w:fill="auto"/>
            <w:noWrap/>
            <w:vAlign w:val="bottom"/>
            <w:hideMark/>
          </w:tcPr>
          <w:p w14:paraId="47B33530"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w:t>
            </w:r>
          </w:p>
        </w:tc>
        <w:tc>
          <w:tcPr>
            <w:tcW w:w="999" w:type="dxa"/>
            <w:tcBorders>
              <w:top w:val="nil"/>
              <w:left w:val="nil"/>
              <w:bottom w:val="double" w:sz="6" w:space="0" w:color="auto"/>
              <w:right w:val="nil"/>
            </w:tcBorders>
            <w:shd w:val="clear" w:color="auto" w:fill="auto"/>
            <w:vAlign w:val="center"/>
            <w:hideMark/>
          </w:tcPr>
          <w:p w14:paraId="410C48D5" w14:textId="77777777" w:rsidR="005C58D4" w:rsidRPr="005C58D4" w:rsidRDefault="005C58D4" w:rsidP="005C58D4">
            <w:pPr>
              <w:spacing w:after="0" w:line="240" w:lineRule="auto"/>
              <w:jc w:val="center"/>
              <w:rPr>
                <w:rFonts w:ascii="Times New Roman" w:eastAsia="Times New Roman" w:hAnsi="Times New Roman" w:cs="Times New Roman"/>
                <w:b/>
                <w:bCs/>
                <w:i/>
                <w:color w:val="000000"/>
                <w:lang w:val="en-US"/>
                <w14:ligatures w14:val="none"/>
              </w:rPr>
            </w:pPr>
            <w:r w:rsidRPr="005C58D4">
              <w:rPr>
                <w:rFonts w:ascii="Times New Roman" w:eastAsia="Times New Roman" w:hAnsi="Times New Roman" w:cs="Times New Roman"/>
                <w:b/>
                <w:bCs/>
                <w:i/>
                <w:color w:val="000000"/>
                <w:lang w:val="en-US"/>
                <w14:ligatures w14:val="none"/>
              </w:rPr>
              <w:t>Physical science</w:t>
            </w:r>
          </w:p>
        </w:tc>
        <w:tc>
          <w:tcPr>
            <w:tcW w:w="1182" w:type="dxa"/>
            <w:tcBorders>
              <w:top w:val="nil"/>
              <w:left w:val="nil"/>
              <w:bottom w:val="double" w:sz="6" w:space="0" w:color="auto"/>
              <w:right w:val="nil"/>
            </w:tcBorders>
            <w:shd w:val="clear" w:color="auto" w:fill="auto"/>
            <w:noWrap/>
            <w:vAlign w:val="center"/>
            <w:hideMark/>
          </w:tcPr>
          <w:p w14:paraId="0F52D76B" w14:textId="77777777" w:rsidR="005C58D4" w:rsidRPr="005C58D4" w:rsidRDefault="005C58D4" w:rsidP="005C58D4">
            <w:pPr>
              <w:spacing w:after="0" w:line="240" w:lineRule="auto"/>
              <w:jc w:val="center"/>
              <w:rPr>
                <w:rFonts w:ascii="Times New Roman" w:eastAsia="Times New Roman" w:hAnsi="Times New Roman" w:cs="Times New Roman"/>
                <w:b/>
                <w:bCs/>
                <w:i/>
                <w:color w:val="000000"/>
                <w:lang w:val="en-US"/>
                <w14:ligatures w14:val="none"/>
              </w:rPr>
            </w:pPr>
            <w:r w:rsidRPr="005C58D4">
              <w:rPr>
                <w:rFonts w:ascii="Times New Roman" w:eastAsia="Times New Roman" w:hAnsi="Times New Roman" w:cs="Times New Roman"/>
                <w:b/>
                <w:bCs/>
                <w:i/>
                <w:color w:val="000000"/>
                <w:lang w:val="en-US"/>
                <w14:ligatures w14:val="none"/>
              </w:rPr>
              <w:t>Education</w:t>
            </w:r>
          </w:p>
        </w:tc>
        <w:tc>
          <w:tcPr>
            <w:tcW w:w="1231" w:type="dxa"/>
            <w:tcBorders>
              <w:top w:val="nil"/>
              <w:left w:val="nil"/>
              <w:bottom w:val="double" w:sz="6" w:space="0" w:color="auto"/>
              <w:right w:val="nil"/>
            </w:tcBorders>
            <w:shd w:val="clear" w:color="auto" w:fill="auto"/>
            <w:vAlign w:val="center"/>
            <w:hideMark/>
          </w:tcPr>
          <w:p w14:paraId="781ED4A5" w14:textId="77777777" w:rsidR="005C58D4" w:rsidRPr="005C58D4" w:rsidRDefault="005C58D4" w:rsidP="005C58D4">
            <w:pPr>
              <w:spacing w:after="0" w:line="240" w:lineRule="auto"/>
              <w:jc w:val="center"/>
              <w:rPr>
                <w:rFonts w:ascii="Times New Roman" w:eastAsia="Times New Roman" w:hAnsi="Times New Roman" w:cs="Times New Roman"/>
                <w:b/>
                <w:bCs/>
                <w:i/>
                <w:color w:val="000000"/>
                <w:lang w:val="en-US"/>
                <w14:ligatures w14:val="none"/>
              </w:rPr>
            </w:pPr>
            <w:r w:rsidRPr="005C58D4">
              <w:rPr>
                <w:rFonts w:ascii="Times New Roman" w:eastAsia="Times New Roman" w:hAnsi="Times New Roman" w:cs="Times New Roman"/>
                <w:b/>
                <w:bCs/>
                <w:i/>
                <w:color w:val="000000"/>
                <w:lang w:val="en-US"/>
                <w14:ligatures w14:val="none"/>
              </w:rPr>
              <w:t xml:space="preserve">Economics and business </w:t>
            </w:r>
          </w:p>
        </w:tc>
        <w:tc>
          <w:tcPr>
            <w:tcW w:w="960" w:type="dxa"/>
            <w:tcBorders>
              <w:top w:val="nil"/>
              <w:left w:val="nil"/>
              <w:bottom w:val="double" w:sz="6" w:space="0" w:color="auto"/>
              <w:right w:val="nil"/>
            </w:tcBorders>
            <w:shd w:val="clear" w:color="auto" w:fill="auto"/>
            <w:noWrap/>
            <w:vAlign w:val="center"/>
            <w:hideMark/>
          </w:tcPr>
          <w:p w14:paraId="51D0C7A9" w14:textId="77777777" w:rsidR="005C58D4" w:rsidRPr="005C58D4" w:rsidRDefault="005C58D4" w:rsidP="005C58D4">
            <w:pPr>
              <w:spacing w:after="0" w:line="240" w:lineRule="auto"/>
              <w:jc w:val="center"/>
              <w:rPr>
                <w:rFonts w:ascii="Times New Roman" w:eastAsia="Times New Roman" w:hAnsi="Times New Roman" w:cs="Times New Roman"/>
                <w:b/>
                <w:bCs/>
                <w:i/>
                <w:color w:val="000000"/>
                <w:lang w:val="en-US"/>
                <w14:ligatures w14:val="none"/>
              </w:rPr>
            </w:pPr>
            <w:r w:rsidRPr="005C58D4">
              <w:rPr>
                <w:rFonts w:ascii="Times New Roman" w:eastAsia="Times New Roman" w:hAnsi="Times New Roman" w:cs="Times New Roman"/>
                <w:b/>
                <w:bCs/>
                <w:i/>
                <w:color w:val="000000"/>
                <w:lang w:val="en-US"/>
                <w14:ligatures w14:val="none"/>
              </w:rPr>
              <w:t xml:space="preserve">All </w:t>
            </w:r>
          </w:p>
        </w:tc>
      </w:tr>
      <w:tr w:rsidR="005C58D4" w:rsidRPr="005C58D4" w14:paraId="1EC03515" w14:textId="77777777" w:rsidTr="005C58D4">
        <w:trPr>
          <w:trHeight w:val="300"/>
          <w:jc w:val="center"/>
        </w:trPr>
        <w:tc>
          <w:tcPr>
            <w:tcW w:w="1704" w:type="dxa"/>
            <w:tcBorders>
              <w:top w:val="nil"/>
              <w:left w:val="nil"/>
              <w:bottom w:val="nil"/>
              <w:right w:val="single" w:sz="4" w:space="0" w:color="auto"/>
            </w:tcBorders>
            <w:shd w:val="clear" w:color="auto" w:fill="auto"/>
            <w:vAlign w:val="bottom"/>
            <w:hideMark/>
          </w:tcPr>
          <w:p w14:paraId="7AAA70C7"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Total output</w:t>
            </w:r>
          </w:p>
        </w:tc>
        <w:tc>
          <w:tcPr>
            <w:tcW w:w="999" w:type="dxa"/>
            <w:tcBorders>
              <w:top w:val="nil"/>
              <w:left w:val="nil"/>
              <w:bottom w:val="nil"/>
              <w:right w:val="nil"/>
            </w:tcBorders>
            <w:shd w:val="clear" w:color="auto" w:fill="auto"/>
            <w:vAlign w:val="center"/>
            <w:hideMark/>
          </w:tcPr>
          <w:p w14:paraId="77B577DA"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3455</w:t>
            </w:r>
          </w:p>
        </w:tc>
        <w:tc>
          <w:tcPr>
            <w:tcW w:w="1182" w:type="dxa"/>
            <w:tcBorders>
              <w:top w:val="nil"/>
              <w:left w:val="nil"/>
              <w:bottom w:val="nil"/>
              <w:right w:val="nil"/>
            </w:tcBorders>
            <w:shd w:val="clear" w:color="auto" w:fill="auto"/>
            <w:vAlign w:val="center"/>
            <w:hideMark/>
          </w:tcPr>
          <w:p w14:paraId="07C3E640"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211</w:t>
            </w:r>
          </w:p>
        </w:tc>
        <w:tc>
          <w:tcPr>
            <w:tcW w:w="1231" w:type="dxa"/>
            <w:tcBorders>
              <w:top w:val="nil"/>
              <w:left w:val="nil"/>
              <w:bottom w:val="nil"/>
              <w:right w:val="nil"/>
            </w:tcBorders>
            <w:shd w:val="clear" w:color="auto" w:fill="auto"/>
            <w:vAlign w:val="center"/>
            <w:hideMark/>
          </w:tcPr>
          <w:p w14:paraId="0164E910"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303</w:t>
            </w:r>
          </w:p>
        </w:tc>
        <w:tc>
          <w:tcPr>
            <w:tcW w:w="960" w:type="dxa"/>
            <w:tcBorders>
              <w:top w:val="nil"/>
              <w:left w:val="nil"/>
              <w:bottom w:val="nil"/>
              <w:right w:val="nil"/>
            </w:tcBorders>
            <w:shd w:val="clear" w:color="auto" w:fill="auto"/>
            <w:vAlign w:val="center"/>
            <w:hideMark/>
          </w:tcPr>
          <w:p w14:paraId="174DCD0D"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825</w:t>
            </w:r>
          </w:p>
        </w:tc>
      </w:tr>
      <w:tr w:rsidR="005C58D4" w:rsidRPr="005C58D4" w14:paraId="2E10F792" w14:textId="77777777" w:rsidTr="005C58D4">
        <w:trPr>
          <w:trHeight w:val="300"/>
          <w:jc w:val="center"/>
        </w:trPr>
        <w:tc>
          <w:tcPr>
            <w:tcW w:w="1704" w:type="dxa"/>
            <w:tcBorders>
              <w:top w:val="nil"/>
              <w:left w:val="nil"/>
              <w:bottom w:val="nil"/>
              <w:right w:val="single" w:sz="4" w:space="0" w:color="auto"/>
            </w:tcBorders>
            <w:shd w:val="clear" w:color="auto" w:fill="auto"/>
            <w:vAlign w:val="bottom"/>
            <w:hideMark/>
          </w:tcPr>
          <w:p w14:paraId="4EC11EF0"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Authors</w:t>
            </w:r>
          </w:p>
        </w:tc>
        <w:tc>
          <w:tcPr>
            <w:tcW w:w="999" w:type="dxa"/>
            <w:tcBorders>
              <w:top w:val="nil"/>
              <w:left w:val="nil"/>
              <w:bottom w:val="nil"/>
              <w:right w:val="nil"/>
            </w:tcBorders>
            <w:shd w:val="clear" w:color="auto" w:fill="auto"/>
            <w:vAlign w:val="center"/>
            <w:hideMark/>
          </w:tcPr>
          <w:p w14:paraId="61CCB723"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943</w:t>
            </w:r>
          </w:p>
        </w:tc>
        <w:tc>
          <w:tcPr>
            <w:tcW w:w="1182" w:type="dxa"/>
            <w:tcBorders>
              <w:top w:val="nil"/>
              <w:left w:val="nil"/>
              <w:bottom w:val="nil"/>
              <w:right w:val="nil"/>
            </w:tcBorders>
            <w:shd w:val="clear" w:color="auto" w:fill="auto"/>
            <w:vAlign w:val="center"/>
            <w:hideMark/>
          </w:tcPr>
          <w:p w14:paraId="059AA910"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186</w:t>
            </w:r>
          </w:p>
        </w:tc>
        <w:tc>
          <w:tcPr>
            <w:tcW w:w="1231" w:type="dxa"/>
            <w:tcBorders>
              <w:top w:val="nil"/>
              <w:left w:val="nil"/>
              <w:bottom w:val="nil"/>
              <w:right w:val="nil"/>
            </w:tcBorders>
            <w:shd w:val="clear" w:color="auto" w:fill="auto"/>
            <w:vAlign w:val="center"/>
            <w:hideMark/>
          </w:tcPr>
          <w:p w14:paraId="19547B25"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240</w:t>
            </w:r>
          </w:p>
        </w:tc>
        <w:tc>
          <w:tcPr>
            <w:tcW w:w="960" w:type="dxa"/>
            <w:tcBorders>
              <w:top w:val="nil"/>
              <w:left w:val="nil"/>
              <w:bottom w:val="nil"/>
              <w:right w:val="nil"/>
            </w:tcBorders>
            <w:shd w:val="clear" w:color="auto" w:fill="auto"/>
            <w:vAlign w:val="center"/>
            <w:hideMark/>
          </w:tcPr>
          <w:p w14:paraId="5904F3FC"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284</w:t>
            </w:r>
          </w:p>
        </w:tc>
      </w:tr>
      <w:tr w:rsidR="005C58D4" w:rsidRPr="005C58D4" w14:paraId="0538ED75" w14:textId="77777777" w:rsidTr="00A63E80">
        <w:trPr>
          <w:trHeight w:val="157"/>
          <w:jc w:val="center"/>
        </w:trPr>
        <w:tc>
          <w:tcPr>
            <w:tcW w:w="1704" w:type="dxa"/>
            <w:tcBorders>
              <w:top w:val="nil"/>
              <w:left w:val="nil"/>
              <w:bottom w:val="single" w:sz="4" w:space="0" w:color="auto"/>
              <w:right w:val="single" w:sz="4" w:space="0" w:color="auto"/>
            </w:tcBorders>
            <w:shd w:val="clear" w:color="auto" w:fill="auto"/>
            <w:vAlign w:val="bottom"/>
            <w:hideMark/>
          </w:tcPr>
          <w:p w14:paraId="5BF65A87"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Papers per author</w:t>
            </w:r>
          </w:p>
        </w:tc>
        <w:tc>
          <w:tcPr>
            <w:tcW w:w="999" w:type="dxa"/>
            <w:tcBorders>
              <w:top w:val="nil"/>
              <w:left w:val="nil"/>
              <w:bottom w:val="nil"/>
              <w:right w:val="nil"/>
            </w:tcBorders>
            <w:shd w:val="clear" w:color="000000" w:fill="63BE7B"/>
            <w:vAlign w:val="center"/>
            <w:hideMark/>
          </w:tcPr>
          <w:p w14:paraId="14FBD99E"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3,66</w:t>
            </w:r>
          </w:p>
        </w:tc>
        <w:tc>
          <w:tcPr>
            <w:tcW w:w="1182" w:type="dxa"/>
            <w:tcBorders>
              <w:top w:val="nil"/>
              <w:left w:val="nil"/>
              <w:bottom w:val="nil"/>
              <w:right w:val="nil"/>
            </w:tcBorders>
            <w:shd w:val="clear" w:color="000000" w:fill="F8696B"/>
            <w:vAlign w:val="center"/>
            <w:hideMark/>
          </w:tcPr>
          <w:p w14:paraId="1CD83D72"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1,13</w:t>
            </w:r>
          </w:p>
        </w:tc>
        <w:tc>
          <w:tcPr>
            <w:tcW w:w="1231" w:type="dxa"/>
            <w:tcBorders>
              <w:top w:val="nil"/>
              <w:left w:val="nil"/>
              <w:bottom w:val="nil"/>
              <w:right w:val="nil"/>
            </w:tcBorders>
            <w:shd w:val="clear" w:color="000000" w:fill="F87A6E"/>
            <w:vAlign w:val="center"/>
            <w:hideMark/>
          </w:tcPr>
          <w:p w14:paraId="2EB9F6FC"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1,26</w:t>
            </w:r>
          </w:p>
        </w:tc>
        <w:tc>
          <w:tcPr>
            <w:tcW w:w="960" w:type="dxa"/>
            <w:tcBorders>
              <w:top w:val="nil"/>
              <w:left w:val="nil"/>
              <w:bottom w:val="nil"/>
              <w:right w:val="nil"/>
            </w:tcBorders>
            <w:shd w:val="clear" w:color="000000" w:fill="AED480"/>
            <w:vAlign w:val="center"/>
            <w:hideMark/>
          </w:tcPr>
          <w:p w14:paraId="2F4500B5"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2,90</w:t>
            </w:r>
          </w:p>
        </w:tc>
      </w:tr>
      <w:tr w:rsidR="005C58D4" w:rsidRPr="005C58D4" w14:paraId="67AEBAEE" w14:textId="77777777" w:rsidTr="005C58D4">
        <w:trPr>
          <w:trHeight w:val="288"/>
          <w:jc w:val="center"/>
        </w:trPr>
        <w:tc>
          <w:tcPr>
            <w:tcW w:w="6076" w:type="dxa"/>
            <w:gridSpan w:val="5"/>
            <w:tcBorders>
              <w:top w:val="single" w:sz="4" w:space="0" w:color="auto"/>
              <w:left w:val="nil"/>
              <w:bottom w:val="single" w:sz="4" w:space="0" w:color="auto"/>
              <w:right w:val="nil"/>
            </w:tcBorders>
            <w:shd w:val="clear" w:color="auto" w:fill="auto"/>
            <w:vAlign w:val="bottom"/>
            <w:hideMark/>
          </w:tcPr>
          <w:p w14:paraId="73FA62D7" w14:textId="77777777" w:rsidR="005C58D4" w:rsidRPr="005C58D4" w:rsidRDefault="005C58D4" w:rsidP="005C58D4">
            <w:pPr>
              <w:spacing w:after="0" w:line="240" w:lineRule="auto"/>
              <w:jc w:val="center"/>
              <w:rPr>
                <w:rFonts w:ascii="Times New Roman" w:eastAsia="Times New Roman" w:hAnsi="Times New Roman" w:cs="Times New Roman"/>
                <w:b/>
                <w:bCs/>
                <w:color w:val="000000"/>
                <w:lang w:val="en-US"/>
                <w14:ligatures w14:val="none"/>
              </w:rPr>
            </w:pPr>
            <w:r w:rsidRPr="005C58D4">
              <w:rPr>
                <w:rFonts w:ascii="Times New Roman" w:eastAsia="Times New Roman" w:hAnsi="Times New Roman" w:cs="Times New Roman"/>
                <w:b/>
                <w:bCs/>
                <w:color w:val="000000"/>
                <w:lang w:val="en-US"/>
                <w14:ligatures w14:val="none"/>
              </w:rPr>
              <w:t>% collaborations with external structures</w:t>
            </w:r>
          </w:p>
        </w:tc>
      </w:tr>
      <w:tr w:rsidR="005C58D4" w:rsidRPr="005C58D4" w14:paraId="54ECD4AD" w14:textId="77777777" w:rsidTr="005C58D4">
        <w:trPr>
          <w:trHeight w:val="69"/>
          <w:jc w:val="center"/>
        </w:trPr>
        <w:tc>
          <w:tcPr>
            <w:tcW w:w="1704" w:type="dxa"/>
            <w:tcBorders>
              <w:top w:val="nil"/>
              <w:left w:val="nil"/>
              <w:bottom w:val="nil"/>
              <w:right w:val="single" w:sz="4" w:space="0" w:color="auto"/>
            </w:tcBorders>
            <w:shd w:val="clear" w:color="auto" w:fill="auto"/>
            <w:vAlign w:val="bottom"/>
            <w:hideMark/>
          </w:tcPr>
          <w:p w14:paraId="35461ACC"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International collaboration</w:t>
            </w:r>
          </w:p>
        </w:tc>
        <w:tc>
          <w:tcPr>
            <w:tcW w:w="999" w:type="dxa"/>
            <w:tcBorders>
              <w:top w:val="nil"/>
              <w:left w:val="nil"/>
              <w:bottom w:val="nil"/>
              <w:right w:val="nil"/>
            </w:tcBorders>
            <w:shd w:val="clear" w:color="000000" w:fill="63BE7B"/>
            <w:vAlign w:val="center"/>
            <w:hideMark/>
          </w:tcPr>
          <w:p w14:paraId="5D7ED1E2"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71%</w:t>
            </w:r>
          </w:p>
        </w:tc>
        <w:tc>
          <w:tcPr>
            <w:tcW w:w="1182" w:type="dxa"/>
            <w:tcBorders>
              <w:top w:val="nil"/>
              <w:left w:val="nil"/>
              <w:bottom w:val="nil"/>
              <w:right w:val="nil"/>
            </w:tcBorders>
            <w:shd w:val="clear" w:color="000000" w:fill="FBEA84"/>
            <w:vAlign w:val="center"/>
            <w:hideMark/>
          </w:tcPr>
          <w:p w14:paraId="6546B9C5"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23%</w:t>
            </w:r>
          </w:p>
        </w:tc>
        <w:tc>
          <w:tcPr>
            <w:tcW w:w="1231" w:type="dxa"/>
            <w:tcBorders>
              <w:top w:val="nil"/>
              <w:left w:val="nil"/>
              <w:bottom w:val="nil"/>
              <w:right w:val="nil"/>
            </w:tcBorders>
            <w:shd w:val="clear" w:color="000000" w:fill="FCEB84"/>
            <w:vAlign w:val="center"/>
            <w:hideMark/>
          </w:tcPr>
          <w:p w14:paraId="65519F45"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23%</w:t>
            </w:r>
          </w:p>
        </w:tc>
        <w:tc>
          <w:tcPr>
            <w:tcW w:w="960" w:type="dxa"/>
            <w:tcBorders>
              <w:top w:val="nil"/>
              <w:left w:val="nil"/>
              <w:bottom w:val="nil"/>
              <w:right w:val="nil"/>
            </w:tcBorders>
            <w:shd w:val="clear" w:color="000000" w:fill="C4DA81"/>
            <w:vAlign w:val="center"/>
            <w:hideMark/>
          </w:tcPr>
          <w:p w14:paraId="0757F8B4"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41%</w:t>
            </w:r>
          </w:p>
        </w:tc>
      </w:tr>
      <w:tr w:rsidR="005C58D4" w:rsidRPr="005C58D4" w14:paraId="669D6C68" w14:textId="77777777" w:rsidTr="005C58D4">
        <w:trPr>
          <w:trHeight w:val="334"/>
          <w:jc w:val="center"/>
        </w:trPr>
        <w:tc>
          <w:tcPr>
            <w:tcW w:w="1704" w:type="dxa"/>
            <w:tcBorders>
              <w:top w:val="nil"/>
              <w:left w:val="nil"/>
              <w:bottom w:val="nil"/>
              <w:right w:val="single" w:sz="4" w:space="0" w:color="auto"/>
            </w:tcBorders>
            <w:shd w:val="clear" w:color="auto" w:fill="auto"/>
            <w:vAlign w:val="bottom"/>
            <w:hideMark/>
          </w:tcPr>
          <w:p w14:paraId="1CA7CF09"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Only national collaboration</w:t>
            </w:r>
          </w:p>
        </w:tc>
        <w:tc>
          <w:tcPr>
            <w:tcW w:w="999" w:type="dxa"/>
            <w:tcBorders>
              <w:top w:val="nil"/>
              <w:left w:val="nil"/>
              <w:bottom w:val="nil"/>
              <w:right w:val="nil"/>
            </w:tcBorders>
            <w:shd w:val="clear" w:color="000000" w:fill="FCB77A"/>
            <w:vAlign w:val="center"/>
            <w:hideMark/>
          </w:tcPr>
          <w:p w14:paraId="6CBE4C1B"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15%</w:t>
            </w:r>
          </w:p>
        </w:tc>
        <w:tc>
          <w:tcPr>
            <w:tcW w:w="1182" w:type="dxa"/>
            <w:tcBorders>
              <w:top w:val="nil"/>
              <w:left w:val="nil"/>
              <w:bottom w:val="nil"/>
              <w:right w:val="nil"/>
            </w:tcBorders>
            <w:shd w:val="clear" w:color="000000" w:fill="FEE382"/>
            <w:vAlign w:val="center"/>
            <w:hideMark/>
          </w:tcPr>
          <w:p w14:paraId="5B7A9EB8"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21%</w:t>
            </w:r>
          </w:p>
        </w:tc>
        <w:tc>
          <w:tcPr>
            <w:tcW w:w="1231" w:type="dxa"/>
            <w:tcBorders>
              <w:top w:val="nil"/>
              <w:left w:val="nil"/>
              <w:bottom w:val="nil"/>
              <w:right w:val="nil"/>
            </w:tcBorders>
            <w:shd w:val="clear" w:color="000000" w:fill="FDCB7E"/>
            <w:vAlign w:val="center"/>
            <w:hideMark/>
          </w:tcPr>
          <w:p w14:paraId="0A27DCE0"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18%</w:t>
            </w:r>
          </w:p>
        </w:tc>
        <w:tc>
          <w:tcPr>
            <w:tcW w:w="960" w:type="dxa"/>
            <w:tcBorders>
              <w:top w:val="nil"/>
              <w:left w:val="nil"/>
              <w:bottom w:val="nil"/>
              <w:right w:val="nil"/>
            </w:tcBorders>
            <w:shd w:val="clear" w:color="000000" w:fill="ECE683"/>
            <w:vAlign w:val="center"/>
            <w:hideMark/>
          </w:tcPr>
          <w:p w14:paraId="365143A9"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28%</w:t>
            </w:r>
          </w:p>
        </w:tc>
      </w:tr>
      <w:tr w:rsidR="005C58D4" w:rsidRPr="005C58D4" w14:paraId="4C0B00FD" w14:textId="77777777" w:rsidTr="005C58D4">
        <w:trPr>
          <w:trHeight w:val="398"/>
          <w:jc w:val="center"/>
        </w:trPr>
        <w:tc>
          <w:tcPr>
            <w:tcW w:w="1704" w:type="dxa"/>
            <w:tcBorders>
              <w:top w:val="nil"/>
              <w:left w:val="nil"/>
              <w:bottom w:val="nil"/>
              <w:right w:val="single" w:sz="4" w:space="0" w:color="auto"/>
            </w:tcBorders>
            <w:shd w:val="clear" w:color="auto" w:fill="auto"/>
            <w:vAlign w:val="bottom"/>
            <w:hideMark/>
          </w:tcPr>
          <w:p w14:paraId="4054AC98"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Only institutional collaboration</w:t>
            </w:r>
          </w:p>
        </w:tc>
        <w:tc>
          <w:tcPr>
            <w:tcW w:w="999" w:type="dxa"/>
            <w:tcBorders>
              <w:top w:val="nil"/>
              <w:left w:val="nil"/>
              <w:bottom w:val="nil"/>
              <w:right w:val="nil"/>
            </w:tcBorders>
            <w:shd w:val="clear" w:color="000000" w:fill="F98770"/>
            <w:vAlign w:val="center"/>
            <w:hideMark/>
          </w:tcPr>
          <w:p w14:paraId="0B6E22C1"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9%</w:t>
            </w:r>
          </w:p>
        </w:tc>
        <w:tc>
          <w:tcPr>
            <w:tcW w:w="1182" w:type="dxa"/>
            <w:tcBorders>
              <w:top w:val="nil"/>
              <w:left w:val="nil"/>
              <w:bottom w:val="nil"/>
              <w:right w:val="nil"/>
            </w:tcBorders>
            <w:shd w:val="clear" w:color="000000" w:fill="FCB479"/>
            <w:vAlign w:val="center"/>
            <w:hideMark/>
          </w:tcPr>
          <w:p w14:paraId="1B38104B"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15%</w:t>
            </w:r>
          </w:p>
        </w:tc>
        <w:tc>
          <w:tcPr>
            <w:tcW w:w="1231" w:type="dxa"/>
            <w:tcBorders>
              <w:top w:val="nil"/>
              <w:left w:val="nil"/>
              <w:bottom w:val="nil"/>
              <w:right w:val="nil"/>
            </w:tcBorders>
            <w:shd w:val="clear" w:color="000000" w:fill="FDCE7E"/>
            <w:vAlign w:val="center"/>
            <w:hideMark/>
          </w:tcPr>
          <w:p w14:paraId="50D5E057"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18%</w:t>
            </w:r>
          </w:p>
        </w:tc>
        <w:tc>
          <w:tcPr>
            <w:tcW w:w="960" w:type="dxa"/>
            <w:tcBorders>
              <w:top w:val="nil"/>
              <w:left w:val="nil"/>
              <w:bottom w:val="nil"/>
              <w:right w:val="nil"/>
            </w:tcBorders>
            <w:shd w:val="clear" w:color="000000" w:fill="F87B6E"/>
            <w:vAlign w:val="center"/>
            <w:hideMark/>
          </w:tcPr>
          <w:p w14:paraId="380C544E"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7%</w:t>
            </w:r>
          </w:p>
        </w:tc>
      </w:tr>
      <w:tr w:rsidR="005C58D4" w:rsidRPr="005C58D4" w14:paraId="2F8BBF54" w14:textId="77777777" w:rsidTr="005C58D4">
        <w:trPr>
          <w:trHeight w:val="564"/>
          <w:jc w:val="center"/>
        </w:trPr>
        <w:tc>
          <w:tcPr>
            <w:tcW w:w="1704" w:type="dxa"/>
            <w:tcBorders>
              <w:top w:val="nil"/>
              <w:left w:val="nil"/>
              <w:bottom w:val="single" w:sz="4" w:space="0" w:color="auto"/>
              <w:right w:val="single" w:sz="4" w:space="0" w:color="auto"/>
            </w:tcBorders>
            <w:shd w:val="clear" w:color="auto" w:fill="auto"/>
            <w:vAlign w:val="bottom"/>
            <w:hideMark/>
          </w:tcPr>
          <w:p w14:paraId="5D31BCC8" w14:textId="77777777" w:rsidR="005C58D4" w:rsidRPr="005C58D4" w:rsidRDefault="005C58D4" w:rsidP="005C58D4">
            <w:pPr>
              <w:spacing w:after="0" w:line="240" w:lineRule="auto"/>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 Single authorship</w:t>
            </w:r>
          </w:p>
        </w:tc>
        <w:tc>
          <w:tcPr>
            <w:tcW w:w="999" w:type="dxa"/>
            <w:tcBorders>
              <w:top w:val="nil"/>
              <w:left w:val="nil"/>
              <w:bottom w:val="nil"/>
              <w:right w:val="nil"/>
            </w:tcBorders>
            <w:shd w:val="clear" w:color="000000" w:fill="F8696B"/>
            <w:vAlign w:val="center"/>
            <w:hideMark/>
          </w:tcPr>
          <w:p w14:paraId="58241A73"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5%</w:t>
            </w:r>
          </w:p>
        </w:tc>
        <w:tc>
          <w:tcPr>
            <w:tcW w:w="1182" w:type="dxa"/>
            <w:tcBorders>
              <w:top w:val="nil"/>
              <w:left w:val="nil"/>
              <w:bottom w:val="nil"/>
              <w:right w:val="nil"/>
            </w:tcBorders>
            <w:shd w:val="clear" w:color="000000" w:fill="C2DA81"/>
            <w:vAlign w:val="center"/>
            <w:hideMark/>
          </w:tcPr>
          <w:p w14:paraId="7C1786CA"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41%</w:t>
            </w:r>
          </w:p>
        </w:tc>
        <w:tc>
          <w:tcPr>
            <w:tcW w:w="1231" w:type="dxa"/>
            <w:tcBorders>
              <w:top w:val="nil"/>
              <w:left w:val="nil"/>
              <w:bottom w:val="nil"/>
              <w:right w:val="nil"/>
            </w:tcBorders>
            <w:shd w:val="clear" w:color="000000" w:fill="C2DA81"/>
            <w:vAlign w:val="center"/>
            <w:hideMark/>
          </w:tcPr>
          <w:p w14:paraId="2D9AEB7F"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41%</w:t>
            </w:r>
          </w:p>
        </w:tc>
        <w:tc>
          <w:tcPr>
            <w:tcW w:w="960" w:type="dxa"/>
            <w:tcBorders>
              <w:top w:val="nil"/>
              <w:left w:val="nil"/>
              <w:bottom w:val="nil"/>
              <w:right w:val="nil"/>
            </w:tcBorders>
            <w:shd w:val="clear" w:color="000000" w:fill="F9EA84"/>
            <w:vAlign w:val="center"/>
            <w:hideMark/>
          </w:tcPr>
          <w:p w14:paraId="2B492135"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24%</w:t>
            </w:r>
          </w:p>
        </w:tc>
      </w:tr>
      <w:tr w:rsidR="005C58D4" w:rsidRPr="005C58D4" w14:paraId="3907FA83" w14:textId="77777777" w:rsidTr="005C58D4">
        <w:trPr>
          <w:trHeight w:val="288"/>
          <w:jc w:val="center"/>
        </w:trPr>
        <w:tc>
          <w:tcPr>
            <w:tcW w:w="6076" w:type="dxa"/>
            <w:gridSpan w:val="5"/>
            <w:tcBorders>
              <w:top w:val="single" w:sz="4" w:space="0" w:color="auto"/>
              <w:left w:val="nil"/>
              <w:bottom w:val="single" w:sz="4" w:space="0" w:color="auto"/>
              <w:right w:val="nil"/>
            </w:tcBorders>
            <w:shd w:val="clear" w:color="auto" w:fill="auto"/>
            <w:vAlign w:val="bottom"/>
            <w:hideMark/>
          </w:tcPr>
          <w:p w14:paraId="1F37C186" w14:textId="18998C78" w:rsidR="005C58D4" w:rsidRPr="005C58D4" w:rsidRDefault="005C58D4" w:rsidP="005C58D4">
            <w:pPr>
              <w:spacing w:after="0" w:line="240" w:lineRule="auto"/>
              <w:jc w:val="center"/>
              <w:rPr>
                <w:rFonts w:ascii="Times New Roman" w:eastAsia="Times New Roman" w:hAnsi="Times New Roman" w:cs="Times New Roman"/>
                <w:b/>
                <w:bCs/>
                <w:color w:val="000000"/>
                <w:lang w:val="en-US"/>
                <w14:ligatures w14:val="none"/>
              </w:rPr>
            </w:pPr>
            <w:r w:rsidRPr="005C58D4">
              <w:rPr>
                <w:rFonts w:ascii="Times New Roman" w:eastAsia="Times New Roman" w:hAnsi="Times New Roman" w:cs="Times New Roman"/>
                <w:b/>
                <w:bCs/>
                <w:color w:val="000000"/>
                <w:lang w:val="en-US"/>
                <w14:ligatures w14:val="none"/>
              </w:rPr>
              <w:t>Percentage of publications by quartiles</w:t>
            </w:r>
            <w:r>
              <w:rPr>
                <w:rFonts w:ascii="Times New Roman" w:eastAsia="Times New Roman" w:hAnsi="Times New Roman" w:cs="Times New Roman"/>
                <w:b/>
                <w:bCs/>
                <w:color w:val="000000"/>
                <w:lang w:val="en-US"/>
                <w14:ligatures w14:val="none"/>
              </w:rPr>
              <w:t xml:space="preserve"> (CiteScore)</w:t>
            </w:r>
          </w:p>
        </w:tc>
      </w:tr>
      <w:tr w:rsidR="005C58D4" w:rsidRPr="005C58D4" w14:paraId="5A1BD19B" w14:textId="77777777" w:rsidTr="005C58D4">
        <w:trPr>
          <w:trHeight w:val="288"/>
          <w:jc w:val="center"/>
        </w:trPr>
        <w:tc>
          <w:tcPr>
            <w:tcW w:w="1704" w:type="dxa"/>
            <w:tcBorders>
              <w:top w:val="nil"/>
              <w:left w:val="nil"/>
              <w:bottom w:val="nil"/>
              <w:right w:val="single" w:sz="4" w:space="0" w:color="auto"/>
            </w:tcBorders>
            <w:shd w:val="clear" w:color="auto" w:fill="auto"/>
            <w:vAlign w:val="bottom"/>
            <w:hideMark/>
          </w:tcPr>
          <w:p w14:paraId="02223C59"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Q1</w:t>
            </w:r>
          </w:p>
        </w:tc>
        <w:tc>
          <w:tcPr>
            <w:tcW w:w="999" w:type="dxa"/>
            <w:tcBorders>
              <w:top w:val="nil"/>
              <w:left w:val="nil"/>
              <w:bottom w:val="nil"/>
              <w:right w:val="nil"/>
            </w:tcBorders>
            <w:shd w:val="clear" w:color="000000" w:fill="63BE7B"/>
            <w:vAlign w:val="center"/>
            <w:hideMark/>
          </w:tcPr>
          <w:p w14:paraId="7671E41E"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62%</w:t>
            </w:r>
          </w:p>
        </w:tc>
        <w:tc>
          <w:tcPr>
            <w:tcW w:w="1182" w:type="dxa"/>
            <w:tcBorders>
              <w:top w:val="nil"/>
              <w:left w:val="nil"/>
              <w:bottom w:val="nil"/>
              <w:right w:val="nil"/>
            </w:tcBorders>
            <w:shd w:val="clear" w:color="000000" w:fill="FA9A74"/>
            <w:vAlign w:val="center"/>
            <w:hideMark/>
          </w:tcPr>
          <w:p w14:paraId="0A493F2D"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18%</w:t>
            </w:r>
          </w:p>
        </w:tc>
        <w:tc>
          <w:tcPr>
            <w:tcW w:w="1231" w:type="dxa"/>
            <w:tcBorders>
              <w:top w:val="nil"/>
              <w:left w:val="nil"/>
              <w:bottom w:val="nil"/>
              <w:right w:val="nil"/>
            </w:tcBorders>
            <w:shd w:val="clear" w:color="000000" w:fill="F8696B"/>
            <w:vAlign w:val="center"/>
            <w:hideMark/>
          </w:tcPr>
          <w:p w14:paraId="37095786"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13%</w:t>
            </w:r>
          </w:p>
        </w:tc>
        <w:tc>
          <w:tcPr>
            <w:tcW w:w="960" w:type="dxa"/>
            <w:tcBorders>
              <w:top w:val="nil"/>
              <w:left w:val="nil"/>
              <w:bottom w:val="nil"/>
              <w:right w:val="nil"/>
            </w:tcBorders>
            <w:shd w:val="clear" w:color="000000" w:fill="E3E383"/>
            <w:vAlign w:val="center"/>
            <w:hideMark/>
          </w:tcPr>
          <w:p w14:paraId="7C6F6FAA"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32%</w:t>
            </w:r>
          </w:p>
        </w:tc>
      </w:tr>
      <w:tr w:rsidR="005C58D4" w:rsidRPr="005C58D4" w14:paraId="2A4CCFC2" w14:textId="77777777" w:rsidTr="00A63E80">
        <w:trPr>
          <w:trHeight w:val="79"/>
          <w:jc w:val="center"/>
        </w:trPr>
        <w:tc>
          <w:tcPr>
            <w:tcW w:w="1704" w:type="dxa"/>
            <w:tcBorders>
              <w:top w:val="nil"/>
              <w:left w:val="nil"/>
              <w:bottom w:val="nil"/>
              <w:right w:val="single" w:sz="4" w:space="0" w:color="auto"/>
            </w:tcBorders>
            <w:shd w:val="clear" w:color="auto" w:fill="auto"/>
            <w:vAlign w:val="bottom"/>
            <w:hideMark/>
          </w:tcPr>
          <w:p w14:paraId="78450318"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Q2</w:t>
            </w:r>
          </w:p>
        </w:tc>
        <w:tc>
          <w:tcPr>
            <w:tcW w:w="999" w:type="dxa"/>
            <w:tcBorders>
              <w:top w:val="nil"/>
              <w:left w:val="nil"/>
              <w:bottom w:val="nil"/>
              <w:right w:val="nil"/>
            </w:tcBorders>
            <w:shd w:val="clear" w:color="000000" w:fill="FDC67D"/>
            <w:vAlign w:val="center"/>
            <w:hideMark/>
          </w:tcPr>
          <w:p w14:paraId="0A949D1E"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14%</w:t>
            </w:r>
          </w:p>
        </w:tc>
        <w:tc>
          <w:tcPr>
            <w:tcW w:w="1182" w:type="dxa"/>
            <w:tcBorders>
              <w:top w:val="nil"/>
              <w:left w:val="nil"/>
              <w:bottom w:val="nil"/>
              <w:right w:val="nil"/>
            </w:tcBorders>
            <w:shd w:val="clear" w:color="000000" w:fill="F8696B"/>
            <w:vAlign w:val="center"/>
            <w:hideMark/>
          </w:tcPr>
          <w:p w14:paraId="025C42DF"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9%</w:t>
            </w:r>
          </w:p>
        </w:tc>
        <w:tc>
          <w:tcPr>
            <w:tcW w:w="1231" w:type="dxa"/>
            <w:tcBorders>
              <w:top w:val="nil"/>
              <w:left w:val="nil"/>
              <w:bottom w:val="nil"/>
              <w:right w:val="nil"/>
            </w:tcBorders>
            <w:shd w:val="clear" w:color="000000" w:fill="BFD981"/>
            <w:vAlign w:val="center"/>
            <w:hideMark/>
          </w:tcPr>
          <w:p w14:paraId="287E169E"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18%</w:t>
            </w:r>
          </w:p>
        </w:tc>
        <w:tc>
          <w:tcPr>
            <w:tcW w:w="960" w:type="dxa"/>
            <w:tcBorders>
              <w:top w:val="nil"/>
              <w:left w:val="nil"/>
              <w:bottom w:val="nil"/>
              <w:right w:val="nil"/>
            </w:tcBorders>
            <w:shd w:val="clear" w:color="000000" w:fill="63BE7B"/>
            <w:vAlign w:val="center"/>
            <w:hideMark/>
          </w:tcPr>
          <w:p w14:paraId="08366852"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21%</w:t>
            </w:r>
          </w:p>
        </w:tc>
      </w:tr>
      <w:tr w:rsidR="005C58D4" w:rsidRPr="005C58D4" w14:paraId="2946A183" w14:textId="77777777" w:rsidTr="005C58D4">
        <w:trPr>
          <w:trHeight w:val="288"/>
          <w:jc w:val="center"/>
        </w:trPr>
        <w:tc>
          <w:tcPr>
            <w:tcW w:w="1704" w:type="dxa"/>
            <w:tcBorders>
              <w:top w:val="nil"/>
              <w:left w:val="nil"/>
              <w:bottom w:val="nil"/>
              <w:right w:val="single" w:sz="4" w:space="0" w:color="auto"/>
            </w:tcBorders>
            <w:shd w:val="clear" w:color="auto" w:fill="auto"/>
            <w:vAlign w:val="bottom"/>
            <w:hideMark/>
          </w:tcPr>
          <w:p w14:paraId="5FCB0145"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Q3</w:t>
            </w:r>
          </w:p>
        </w:tc>
        <w:tc>
          <w:tcPr>
            <w:tcW w:w="999" w:type="dxa"/>
            <w:tcBorders>
              <w:top w:val="nil"/>
              <w:left w:val="nil"/>
              <w:bottom w:val="nil"/>
              <w:right w:val="nil"/>
            </w:tcBorders>
            <w:shd w:val="clear" w:color="000000" w:fill="F8696B"/>
            <w:vAlign w:val="center"/>
            <w:hideMark/>
          </w:tcPr>
          <w:p w14:paraId="09FC8BF6"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10%</w:t>
            </w:r>
          </w:p>
        </w:tc>
        <w:tc>
          <w:tcPr>
            <w:tcW w:w="1182" w:type="dxa"/>
            <w:tcBorders>
              <w:top w:val="nil"/>
              <w:left w:val="nil"/>
              <w:bottom w:val="nil"/>
              <w:right w:val="nil"/>
            </w:tcBorders>
            <w:shd w:val="clear" w:color="000000" w:fill="A9D27F"/>
            <w:vAlign w:val="center"/>
            <w:hideMark/>
          </w:tcPr>
          <w:p w14:paraId="38921251" w14:textId="77777777" w:rsidR="005C58D4" w:rsidRPr="005C58D4" w:rsidRDefault="005C58D4" w:rsidP="005C58D4">
            <w:pPr>
              <w:spacing w:after="0" w:line="240" w:lineRule="auto"/>
              <w:jc w:val="center"/>
              <w:rPr>
                <w:rFonts w:ascii="Times New Roman" w:eastAsia="Times New Roman" w:hAnsi="Times New Roman" w:cs="Times New Roman"/>
                <w:color w:val="000000"/>
                <w:lang w:val="en-US"/>
                <w14:ligatures w14:val="none"/>
              </w:rPr>
            </w:pPr>
            <w:r w:rsidRPr="005C58D4">
              <w:rPr>
                <w:rFonts w:ascii="Times New Roman" w:eastAsia="Times New Roman" w:hAnsi="Times New Roman" w:cs="Times New Roman"/>
                <w:color w:val="000000"/>
                <w:lang w:val="en-US"/>
                <w14:ligatures w14:val="none"/>
              </w:rPr>
              <w:t>34%</w:t>
            </w:r>
          </w:p>
        </w:tc>
        <w:tc>
          <w:tcPr>
            <w:tcW w:w="1231" w:type="dxa"/>
            <w:tcBorders>
              <w:top w:val="nil"/>
              <w:left w:val="nil"/>
              <w:bottom w:val="nil"/>
              <w:right w:val="nil"/>
            </w:tcBorders>
            <w:shd w:val="clear" w:color="000000" w:fill="63BE7B"/>
            <w:vAlign w:val="center"/>
            <w:hideMark/>
          </w:tcPr>
          <w:p w14:paraId="56D57EDF"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40%</w:t>
            </w:r>
          </w:p>
        </w:tc>
        <w:tc>
          <w:tcPr>
            <w:tcW w:w="960" w:type="dxa"/>
            <w:tcBorders>
              <w:top w:val="nil"/>
              <w:left w:val="nil"/>
              <w:bottom w:val="nil"/>
              <w:right w:val="nil"/>
            </w:tcBorders>
            <w:shd w:val="clear" w:color="000000" w:fill="FBAD78"/>
            <w:vAlign w:val="center"/>
            <w:hideMark/>
          </w:tcPr>
          <w:p w14:paraId="57711BDC"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18%</w:t>
            </w:r>
          </w:p>
        </w:tc>
      </w:tr>
      <w:tr w:rsidR="005C58D4" w:rsidRPr="005C58D4" w14:paraId="2B02809E" w14:textId="77777777" w:rsidTr="005C58D4">
        <w:trPr>
          <w:trHeight w:val="288"/>
          <w:jc w:val="center"/>
        </w:trPr>
        <w:tc>
          <w:tcPr>
            <w:tcW w:w="1704" w:type="dxa"/>
            <w:tcBorders>
              <w:top w:val="nil"/>
              <w:left w:val="nil"/>
              <w:bottom w:val="nil"/>
              <w:right w:val="single" w:sz="4" w:space="0" w:color="auto"/>
            </w:tcBorders>
            <w:shd w:val="clear" w:color="auto" w:fill="auto"/>
            <w:vAlign w:val="bottom"/>
            <w:hideMark/>
          </w:tcPr>
          <w:p w14:paraId="15AEE939"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Q4</w:t>
            </w:r>
          </w:p>
        </w:tc>
        <w:tc>
          <w:tcPr>
            <w:tcW w:w="999" w:type="dxa"/>
            <w:tcBorders>
              <w:top w:val="nil"/>
              <w:left w:val="nil"/>
              <w:bottom w:val="nil"/>
              <w:right w:val="nil"/>
            </w:tcBorders>
            <w:shd w:val="clear" w:color="000000" w:fill="F8696B"/>
            <w:vAlign w:val="center"/>
            <w:hideMark/>
          </w:tcPr>
          <w:p w14:paraId="7235DFE2"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14%</w:t>
            </w:r>
          </w:p>
        </w:tc>
        <w:tc>
          <w:tcPr>
            <w:tcW w:w="1182" w:type="dxa"/>
            <w:tcBorders>
              <w:top w:val="nil"/>
              <w:left w:val="nil"/>
              <w:bottom w:val="nil"/>
              <w:right w:val="nil"/>
            </w:tcBorders>
            <w:shd w:val="clear" w:color="000000" w:fill="63BE7B"/>
            <w:vAlign w:val="center"/>
            <w:hideMark/>
          </w:tcPr>
          <w:p w14:paraId="17DAD970"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39%</w:t>
            </w:r>
          </w:p>
        </w:tc>
        <w:tc>
          <w:tcPr>
            <w:tcW w:w="1231" w:type="dxa"/>
            <w:tcBorders>
              <w:top w:val="nil"/>
              <w:left w:val="nil"/>
              <w:bottom w:val="nil"/>
              <w:right w:val="nil"/>
            </w:tcBorders>
            <w:shd w:val="clear" w:color="000000" w:fill="FEE783"/>
            <w:vAlign w:val="center"/>
            <w:hideMark/>
          </w:tcPr>
          <w:p w14:paraId="41D46CBD"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29%</w:t>
            </w:r>
          </w:p>
        </w:tc>
        <w:tc>
          <w:tcPr>
            <w:tcW w:w="960" w:type="dxa"/>
            <w:tcBorders>
              <w:top w:val="nil"/>
              <w:left w:val="nil"/>
              <w:bottom w:val="nil"/>
              <w:right w:val="nil"/>
            </w:tcBorders>
            <w:shd w:val="clear" w:color="000000" w:fill="F9EA84"/>
            <w:vAlign w:val="center"/>
            <w:hideMark/>
          </w:tcPr>
          <w:p w14:paraId="0D5C5A57" w14:textId="77777777" w:rsidR="005C58D4" w:rsidRPr="005C58D4" w:rsidRDefault="005C58D4" w:rsidP="005C58D4">
            <w:pPr>
              <w:spacing w:after="0" w:line="240" w:lineRule="auto"/>
              <w:jc w:val="center"/>
              <w:rPr>
                <w:rFonts w:ascii="Times New Roman" w:eastAsia="Times New Roman" w:hAnsi="Times New Roman" w:cs="Times New Roman"/>
                <w:color w:val="000000"/>
                <w:sz w:val="20"/>
                <w:szCs w:val="20"/>
                <w:lang w:val="en-US"/>
                <w14:ligatures w14:val="none"/>
              </w:rPr>
            </w:pPr>
            <w:r w:rsidRPr="005C58D4">
              <w:rPr>
                <w:rFonts w:ascii="Times New Roman" w:eastAsia="Times New Roman" w:hAnsi="Times New Roman" w:cs="Times New Roman"/>
                <w:color w:val="000000"/>
                <w:sz w:val="20"/>
                <w:szCs w:val="20"/>
                <w:lang w:val="en-US"/>
                <w14:ligatures w14:val="none"/>
              </w:rPr>
              <w:t>30%</w:t>
            </w:r>
          </w:p>
        </w:tc>
      </w:tr>
      <w:tr w:rsidR="005C58D4" w:rsidRPr="005C58D4" w14:paraId="28BE6939" w14:textId="77777777" w:rsidTr="005C58D4">
        <w:trPr>
          <w:trHeight w:val="197"/>
          <w:jc w:val="center"/>
        </w:trPr>
        <w:tc>
          <w:tcPr>
            <w:tcW w:w="1704" w:type="dxa"/>
            <w:tcBorders>
              <w:top w:val="single" w:sz="4" w:space="0" w:color="auto"/>
              <w:left w:val="nil"/>
              <w:bottom w:val="single" w:sz="4" w:space="0" w:color="auto"/>
              <w:right w:val="single" w:sz="4" w:space="0" w:color="auto"/>
            </w:tcBorders>
            <w:shd w:val="clear" w:color="auto" w:fill="auto"/>
            <w:vAlign w:val="bottom"/>
            <w:hideMark/>
          </w:tcPr>
          <w:p w14:paraId="1A0CEC0B" w14:textId="77777777" w:rsidR="005C58D4" w:rsidRPr="005C58D4" w:rsidRDefault="005C58D4" w:rsidP="005C58D4">
            <w:pPr>
              <w:spacing w:after="0" w:line="240" w:lineRule="auto"/>
              <w:rPr>
                <w:rFonts w:ascii="Times New Roman" w:eastAsia="Times New Roman" w:hAnsi="Times New Roman" w:cs="Times New Roman"/>
                <w:b/>
                <w:color w:val="000000"/>
                <w:lang w:val="en-US"/>
                <w14:ligatures w14:val="none"/>
              </w:rPr>
            </w:pPr>
            <w:r w:rsidRPr="005C58D4">
              <w:rPr>
                <w:rFonts w:ascii="Times New Roman" w:eastAsia="Times New Roman" w:hAnsi="Times New Roman" w:cs="Times New Roman"/>
                <w:b/>
                <w:color w:val="000000"/>
                <w:lang w:val="en-US"/>
                <w14:ligatures w14:val="none"/>
              </w:rPr>
              <w:t xml:space="preserve">Percentage inbreeding </w:t>
            </w:r>
          </w:p>
        </w:tc>
        <w:tc>
          <w:tcPr>
            <w:tcW w:w="999" w:type="dxa"/>
            <w:tcBorders>
              <w:top w:val="single" w:sz="4" w:space="0" w:color="auto"/>
              <w:left w:val="nil"/>
              <w:bottom w:val="single" w:sz="4" w:space="0" w:color="auto"/>
              <w:right w:val="nil"/>
            </w:tcBorders>
            <w:shd w:val="clear" w:color="000000" w:fill="D0DE82"/>
            <w:vAlign w:val="center"/>
            <w:hideMark/>
          </w:tcPr>
          <w:p w14:paraId="7CC80FC6" w14:textId="6C96389B" w:rsidR="005C58D4" w:rsidRPr="005C58D4" w:rsidRDefault="005C58D4" w:rsidP="005C58D4">
            <w:pPr>
              <w:spacing w:after="0" w:line="240" w:lineRule="auto"/>
              <w:jc w:val="center"/>
              <w:rPr>
                <w:rFonts w:ascii="Times New Roman" w:eastAsia="Times New Roman" w:hAnsi="Times New Roman" w:cs="Times New Roman"/>
                <w:b/>
                <w:color w:val="000000"/>
                <w:lang w:val="en-US"/>
                <w14:ligatures w14:val="none"/>
              </w:rPr>
            </w:pPr>
            <w:r w:rsidRPr="005C58D4">
              <w:rPr>
                <w:rFonts w:ascii="Times New Roman" w:eastAsia="Times New Roman" w:hAnsi="Times New Roman" w:cs="Times New Roman"/>
                <w:b/>
                <w:color w:val="000000"/>
                <w:lang w:val="en-US"/>
                <w14:ligatures w14:val="none"/>
              </w:rPr>
              <w:t>76,6%</w:t>
            </w:r>
          </w:p>
        </w:tc>
        <w:tc>
          <w:tcPr>
            <w:tcW w:w="1182" w:type="dxa"/>
            <w:tcBorders>
              <w:top w:val="single" w:sz="4" w:space="0" w:color="auto"/>
              <w:left w:val="nil"/>
              <w:bottom w:val="single" w:sz="4" w:space="0" w:color="auto"/>
              <w:right w:val="nil"/>
            </w:tcBorders>
            <w:shd w:val="clear" w:color="000000" w:fill="63BE7B"/>
            <w:vAlign w:val="center"/>
            <w:hideMark/>
          </w:tcPr>
          <w:p w14:paraId="22121E76" w14:textId="77777777" w:rsidR="005C58D4" w:rsidRPr="005C58D4" w:rsidRDefault="005C58D4" w:rsidP="005C58D4">
            <w:pPr>
              <w:spacing w:after="0" w:line="240" w:lineRule="auto"/>
              <w:jc w:val="center"/>
              <w:rPr>
                <w:rFonts w:ascii="Times New Roman" w:eastAsia="Times New Roman" w:hAnsi="Times New Roman" w:cs="Times New Roman"/>
                <w:b/>
                <w:color w:val="000000"/>
                <w:lang w:val="en-US"/>
                <w14:ligatures w14:val="none"/>
              </w:rPr>
            </w:pPr>
            <w:r w:rsidRPr="005C58D4">
              <w:rPr>
                <w:rFonts w:ascii="Times New Roman" w:eastAsia="Times New Roman" w:hAnsi="Times New Roman" w:cs="Times New Roman"/>
                <w:b/>
                <w:color w:val="000000"/>
                <w:lang w:val="en-US"/>
                <w14:ligatures w14:val="none"/>
              </w:rPr>
              <w:t>98%</w:t>
            </w:r>
          </w:p>
        </w:tc>
        <w:tc>
          <w:tcPr>
            <w:tcW w:w="1231" w:type="dxa"/>
            <w:tcBorders>
              <w:top w:val="single" w:sz="4" w:space="0" w:color="auto"/>
              <w:left w:val="nil"/>
              <w:bottom w:val="single" w:sz="4" w:space="0" w:color="auto"/>
              <w:right w:val="nil"/>
            </w:tcBorders>
            <w:shd w:val="clear" w:color="000000" w:fill="FCB97A"/>
            <w:vAlign w:val="center"/>
            <w:hideMark/>
          </w:tcPr>
          <w:p w14:paraId="2C274E57" w14:textId="77777777" w:rsidR="005C58D4" w:rsidRPr="005C58D4" w:rsidRDefault="005C58D4" w:rsidP="005C58D4">
            <w:pPr>
              <w:spacing w:after="0" w:line="240" w:lineRule="auto"/>
              <w:jc w:val="center"/>
              <w:rPr>
                <w:rFonts w:ascii="Times New Roman" w:eastAsia="Times New Roman" w:hAnsi="Times New Roman" w:cs="Times New Roman"/>
                <w:b/>
                <w:color w:val="000000"/>
                <w:lang w:val="en-US"/>
                <w14:ligatures w14:val="none"/>
              </w:rPr>
            </w:pPr>
            <w:r w:rsidRPr="005C58D4">
              <w:rPr>
                <w:rFonts w:ascii="Times New Roman" w:eastAsia="Times New Roman" w:hAnsi="Times New Roman" w:cs="Times New Roman"/>
                <w:b/>
                <w:color w:val="000000"/>
                <w:lang w:val="en-US"/>
                <w14:ligatures w14:val="none"/>
              </w:rPr>
              <w:t>58%</w:t>
            </w:r>
          </w:p>
        </w:tc>
        <w:tc>
          <w:tcPr>
            <w:tcW w:w="960" w:type="dxa"/>
            <w:tcBorders>
              <w:top w:val="single" w:sz="4" w:space="0" w:color="auto"/>
              <w:left w:val="nil"/>
              <w:bottom w:val="single" w:sz="4" w:space="0" w:color="auto"/>
              <w:right w:val="nil"/>
            </w:tcBorders>
            <w:shd w:val="clear" w:color="000000" w:fill="F8696B"/>
            <w:vAlign w:val="center"/>
            <w:hideMark/>
          </w:tcPr>
          <w:p w14:paraId="7AF51F4B" w14:textId="77777777" w:rsidR="005C58D4" w:rsidRPr="005C58D4" w:rsidRDefault="005C58D4" w:rsidP="005C58D4">
            <w:pPr>
              <w:spacing w:after="0" w:line="240" w:lineRule="auto"/>
              <w:jc w:val="center"/>
              <w:rPr>
                <w:rFonts w:ascii="Times New Roman" w:eastAsia="Times New Roman" w:hAnsi="Times New Roman" w:cs="Times New Roman"/>
                <w:b/>
                <w:color w:val="000000"/>
                <w:lang w:val="en-US"/>
                <w14:ligatures w14:val="none"/>
              </w:rPr>
            </w:pPr>
            <w:r w:rsidRPr="005C58D4">
              <w:rPr>
                <w:rFonts w:ascii="Times New Roman" w:eastAsia="Times New Roman" w:hAnsi="Times New Roman" w:cs="Times New Roman"/>
                <w:b/>
                <w:color w:val="000000"/>
                <w:lang w:val="en-US"/>
                <w14:ligatures w14:val="none"/>
              </w:rPr>
              <w:t>43%</w:t>
            </w:r>
          </w:p>
        </w:tc>
      </w:tr>
    </w:tbl>
    <w:p w14:paraId="1955859C" w14:textId="5A0692CF" w:rsidR="001F73A7" w:rsidRDefault="005C58D4" w:rsidP="005C58D4">
      <w:pPr>
        <w:pStyle w:val="Caption"/>
        <w:rPr>
          <w:rFonts w:ascii="Times New Roman" w:hAnsi="Times New Roman" w:cs="Times New Roman"/>
          <w:i w:val="0"/>
          <w:lang w:val="en-GB"/>
        </w:rPr>
      </w:pPr>
      <w:r w:rsidRPr="005C58D4">
        <w:rPr>
          <w:rFonts w:ascii="Times New Roman" w:hAnsi="Times New Roman" w:cs="Times New Roman"/>
          <w:i w:val="0"/>
          <w:lang w:val="en-GB"/>
        </w:rPr>
        <w:t>Note: The table reports research output, collaboration patterns, publication quality (CiteScore quartiles), and academic inbreeding across disciplines classified according to the Fields of Research and Development (FORD) taxonomy using SciVal data. Output is based on Scopus-indexed publications. Collaboration indicators refer to the share of publications co-authored with international, national, or institutional partners.</w:t>
      </w:r>
    </w:p>
    <w:p w14:paraId="493AFCD2" w14:textId="1D466258" w:rsidR="005C58D4" w:rsidRPr="005C58D4" w:rsidRDefault="00531000" w:rsidP="005C58D4">
      <w:pPr>
        <w:spacing w:line="360" w:lineRule="auto"/>
        <w:ind w:firstLine="360"/>
        <w:rPr>
          <w:rFonts w:ascii="Times New Roman" w:hAnsi="Times New Roman" w:cs="Times New Roman"/>
          <w:lang w:val="en-GB"/>
        </w:rPr>
      </w:pPr>
      <w:r>
        <w:rPr>
          <w:rFonts w:ascii="Times New Roman" w:hAnsi="Times New Roman" w:cs="Times New Roman"/>
          <w:lang w:val="en-GB"/>
        </w:rPr>
        <w:t>Table 1</w:t>
      </w:r>
      <w:r w:rsidR="005C58D4" w:rsidRPr="005C58D4">
        <w:rPr>
          <w:rFonts w:ascii="Times New Roman" w:hAnsi="Times New Roman" w:cs="Times New Roman"/>
          <w:lang w:val="en-GB"/>
        </w:rPr>
        <w:t xml:space="preserve"> reveal</w:t>
      </w:r>
      <w:r>
        <w:rPr>
          <w:rFonts w:ascii="Times New Roman" w:hAnsi="Times New Roman" w:cs="Times New Roman"/>
          <w:lang w:val="en-GB"/>
        </w:rPr>
        <w:t>s</w:t>
      </w:r>
      <w:r w:rsidR="005C58D4" w:rsidRPr="005C58D4">
        <w:rPr>
          <w:rFonts w:ascii="Times New Roman" w:hAnsi="Times New Roman" w:cs="Times New Roman"/>
          <w:lang w:val="en-GB"/>
        </w:rPr>
        <w:t xml:space="preserve"> substantial variation across disciplines, indicating that the relationship between academic inbreeding and research performance is strongly field-dependent. In physical sciences, high levels of inbreeding coexist with strong research performance, reflecting high levels of international collaboration and integration into global research networks. In contrast, education exhibits both extreme inbreeding and weak research performance, accompanied by low international collaboration and high levels of single authorship, consistent with a closed and locally embedded knowledge system. Economics and business display a similar pattern of moderate inbreeding combined with limited international integration and weak performance. By contrast, the reference case of NBU, characterized by lower inbreeding and greater openness, demonstrates stronger research outcomes. These findings suggest that </w:t>
      </w:r>
      <w:r w:rsidR="005C58D4" w:rsidRPr="005C58D4">
        <w:rPr>
          <w:rFonts w:ascii="Times New Roman" w:hAnsi="Times New Roman" w:cs="Times New Roman"/>
          <w:lang w:val="en-GB"/>
        </w:rPr>
        <w:lastRenderedPageBreak/>
        <w:t>the negative effects of academic inbreeding are not inherent but emerge primarily in closed systems with limited external engagement.</w:t>
      </w:r>
      <w:bookmarkStart w:id="0" w:name="_GoBack"/>
      <w:bookmarkEnd w:id="0"/>
    </w:p>
    <w:p w14:paraId="29961E22" w14:textId="72D15C5E" w:rsidR="0037731E" w:rsidRPr="005C58D4" w:rsidRDefault="00EF4CBE" w:rsidP="0037731E">
      <w:pPr>
        <w:pStyle w:val="ListParagraph"/>
        <w:numPr>
          <w:ilvl w:val="0"/>
          <w:numId w:val="8"/>
        </w:numPr>
        <w:spacing w:line="360" w:lineRule="auto"/>
        <w:rPr>
          <w:rFonts w:ascii="Times New Roman" w:hAnsi="Times New Roman" w:cs="Times New Roman"/>
          <w:b/>
          <w:i/>
          <w:sz w:val="24"/>
          <w:szCs w:val="24"/>
          <w:lang w:val="en-GB"/>
        </w:rPr>
      </w:pPr>
      <w:r w:rsidRPr="00E70628">
        <w:rPr>
          <w:rFonts w:ascii="Times New Roman" w:hAnsi="Times New Roman" w:cs="Times New Roman"/>
          <w:b/>
          <w:i/>
          <w:sz w:val="24"/>
          <w:szCs w:val="24"/>
          <w:lang w:val="en-GB"/>
        </w:rPr>
        <w:t>The Academic openness index</w:t>
      </w:r>
    </w:p>
    <w:p w14:paraId="7640F036" w14:textId="05B19539" w:rsidR="0037731E" w:rsidRPr="0037731E" w:rsidRDefault="0037731E" w:rsidP="0037731E">
      <w:pPr>
        <w:pStyle w:val="Caption"/>
        <w:keepNext/>
        <w:rPr>
          <w:rFonts w:ascii="Times New Roman" w:hAnsi="Times New Roman" w:cs="Times New Roman"/>
          <w:i w:val="0"/>
          <w:lang w:val="en-US"/>
        </w:rPr>
      </w:pPr>
      <w:r w:rsidRPr="0037731E">
        <w:rPr>
          <w:rFonts w:ascii="Times New Roman" w:hAnsi="Times New Roman" w:cs="Times New Roman"/>
          <w:b/>
          <w:i w:val="0"/>
        </w:rPr>
        <w:t xml:space="preserve">Figure </w:t>
      </w:r>
      <w:r w:rsidRPr="0037731E">
        <w:rPr>
          <w:rFonts w:ascii="Times New Roman" w:hAnsi="Times New Roman" w:cs="Times New Roman"/>
          <w:b/>
          <w:i w:val="0"/>
          <w:lang w:val="en-US"/>
        </w:rPr>
        <w:t>2.</w:t>
      </w:r>
      <w:r w:rsidRPr="0037731E">
        <w:rPr>
          <w:rFonts w:ascii="Times New Roman" w:hAnsi="Times New Roman" w:cs="Times New Roman"/>
          <w:i w:val="0"/>
          <w:lang w:val="en-US"/>
        </w:rPr>
        <w:t xml:space="preserve"> </w:t>
      </w:r>
      <w:r>
        <w:rPr>
          <w:rFonts w:ascii="Times New Roman" w:hAnsi="Times New Roman" w:cs="Times New Roman"/>
          <w:i w:val="0"/>
          <w:lang w:val="en-US"/>
        </w:rPr>
        <w:t xml:space="preserve">Academic openness index by Country. </w:t>
      </w:r>
    </w:p>
    <w:p w14:paraId="357BA119" w14:textId="5FEF94BA" w:rsidR="00F36566" w:rsidRDefault="00EF4CBE" w:rsidP="00E70628">
      <w:pPr>
        <w:spacing w:after="0" w:line="360" w:lineRule="auto"/>
        <w:ind w:firstLine="432"/>
        <w:rPr>
          <w:rFonts w:ascii="Times New Roman" w:hAnsi="Times New Roman" w:cs="Times New Roman"/>
          <w:sz w:val="24"/>
          <w:szCs w:val="24"/>
          <w:lang w:val="en-GB"/>
        </w:rPr>
      </w:pPr>
      <w:r w:rsidRPr="00E70628">
        <w:rPr>
          <w:rFonts w:ascii="Times New Roman" w:hAnsi="Times New Roman" w:cs="Times New Roman"/>
          <w:noProof/>
          <w:sz w:val="24"/>
          <w:szCs w:val="24"/>
          <w:lang w:val="en-GB"/>
        </w:rPr>
        <w:drawing>
          <wp:inline distT="0" distB="0" distL="0" distR="0" wp14:anchorId="70273F7A" wp14:editId="0D62D49D">
            <wp:extent cx="5943600" cy="3667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67125"/>
                    </a:xfrm>
                    <a:prstGeom prst="rect">
                      <a:avLst/>
                    </a:prstGeom>
                  </pic:spPr>
                </pic:pic>
              </a:graphicData>
            </a:graphic>
          </wp:inline>
        </w:drawing>
      </w:r>
    </w:p>
    <w:p w14:paraId="05297CAA" w14:textId="67832CF3" w:rsidR="0037731E" w:rsidRPr="0037731E" w:rsidRDefault="0037731E" w:rsidP="0037731E">
      <w:pPr>
        <w:pStyle w:val="Caption"/>
        <w:rPr>
          <w:rFonts w:ascii="Times New Roman" w:hAnsi="Times New Roman" w:cs="Times New Roman"/>
          <w:i w:val="0"/>
          <w:lang w:val="en-GB"/>
        </w:rPr>
      </w:pPr>
      <w:r w:rsidRPr="0037731E">
        <w:rPr>
          <w:rFonts w:ascii="Times New Roman" w:hAnsi="Times New Roman" w:cs="Times New Roman"/>
          <w:b/>
          <w:bCs/>
          <w:i w:val="0"/>
          <w:lang w:val="en-GB"/>
        </w:rPr>
        <w:t>Note:</w:t>
      </w:r>
      <w:r w:rsidRPr="0037731E">
        <w:rPr>
          <w:rFonts w:ascii="Times New Roman" w:hAnsi="Times New Roman" w:cs="Times New Roman"/>
          <w:i w:val="0"/>
          <w:lang w:val="en-GB"/>
        </w:rPr>
        <w:t xml:space="preserve"> The Academic Openness Index is constructed as the average of standardized indicators capturing researcher mobility, international scientific collaboration, and net flows of scientific authors. Higher values indicate more open academic systems, while lower values indicate more closed systems characterized by limited mobility and stronger internal reproduction. Bulgaria is highlighted for reference.</w:t>
      </w:r>
    </w:p>
    <w:p w14:paraId="24A1BA21" w14:textId="2035BC83" w:rsidR="0037731E" w:rsidRPr="005C58D4" w:rsidRDefault="00E70628" w:rsidP="005C58D4">
      <w:pPr>
        <w:spacing w:after="0" w:line="360" w:lineRule="auto"/>
        <w:ind w:firstLine="432"/>
        <w:rPr>
          <w:rFonts w:ascii="Times New Roman" w:hAnsi="Times New Roman" w:cs="Times New Roman"/>
          <w:lang w:val="en-GB"/>
        </w:rPr>
      </w:pPr>
      <w:r w:rsidRPr="00E70628">
        <w:rPr>
          <w:rFonts w:ascii="Times New Roman" w:hAnsi="Times New Roman" w:cs="Times New Roman"/>
          <w:lang w:val="en-GB"/>
        </w:rPr>
        <w:t>The distribution of the Academic Openness Index reveals a clear regional pattern, with Central and Eastern European countries consistently occupying the lower end of the openness spectrum. Bulgaria is positioned firmly within this cluster, alongside countries such as Romania and Poland, indicating that low academic openness is not an isolated national feature but part of a broader regional equilibrium. In contrast, Western and Northern European countries exhibit substantially higher levels of openness, reflecting greater researcher mobility, stronger international collaboration, and more permeable academic labor markets.</w:t>
      </w:r>
    </w:p>
    <w:p w14:paraId="17BA4CCC" w14:textId="6C3F52CF" w:rsidR="0037731E" w:rsidRPr="0037731E" w:rsidRDefault="0037731E" w:rsidP="0037731E">
      <w:pPr>
        <w:pStyle w:val="Caption"/>
        <w:keepNext/>
        <w:rPr>
          <w:rFonts w:ascii="Times New Roman" w:hAnsi="Times New Roman" w:cs="Times New Roman"/>
          <w:i w:val="0"/>
          <w:lang w:val="en-US"/>
        </w:rPr>
      </w:pPr>
      <w:r w:rsidRPr="0037731E">
        <w:rPr>
          <w:rFonts w:ascii="Times New Roman" w:hAnsi="Times New Roman" w:cs="Times New Roman"/>
          <w:b/>
          <w:i w:val="0"/>
        </w:rPr>
        <w:lastRenderedPageBreak/>
        <w:t xml:space="preserve">Figure </w:t>
      </w:r>
      <w:r>
        <w:rPr>
          <w:rFonts w:ascii="Times New Roman" w:hAnsi="Times New Roman" w:cs="Times New Roman"/>
          <w:b/>
          <w:i w:val="0"/>
          <w:lang w:val="en-US"/>
        </w:rPr>
        <w:t>3</w:t>
      </w:r>
      <w:r w:rsidRPr="0037731E">
        <w:rPr>
          <w:rFonts w:ascii="Times New Roman" w:hAnsi="Times New Roman" w:cs="Times New Roman"/>
          <w:b/>
          <w:i w:val="0"/>
          <w:lang w:val="en-US"/>
        </w:rPr>
        <w:t>.</w:t>
      </w:r>
      <w:r w:rsidRPr="0037731E">
        <w:rPr>
          <w:rFonts w:ascii="Times New Roman" w:hAnsi="Times New Roman" w:cs="Times New Roman"/>
          <w:i w:val="0"/>
          <w:lang w:val="en-US"/>
        </w:rPr>
        <w:t xml:space="preserve"> </w:t>
      </w:r>
      <w:r>
        <w:rPr>
          <w:rFonts w:ascii="Times New Roman" w:hAnsi="Times New Roman" w:cs="Times New Roman"/>
          <w:i w:val="0"/>
          <w:lang w:val="en-US"/>
        </w:rPr>
        <w:t xml:space="preserve">Academic openness index by Country. </w:t>
      </w:r>
    </w:p>
    <w:p w14:paraId="6F9DE34E" w14:textId="3F9AB7F0" w:rsidR="00F36566" w:rsidRPr="00E70628" w:rsidRDefault="00290925" w:rsidP="00E70628">
      <w:pPr>
        <w:spacing w:after="0" w:line="360" w:lineRule="auto"/>
        <w:rPr>
          <w:rFonts w:ascii="Times New Roman" w:hAnsi="Times New Roman" w:cs="Times New Roman"/>
          <w:sz w:val="24"/>
          <w:szCs w:val="24"/>
          <w:lang w:val="en-GB"/>
        </w:rPr>
      </w:pPr>
      <w:r w:rsidRPr="00E70628">
        <w:rPr>
          <w:rFonts w:ascii="Times New Roman" w:hAnsi="Times New Roman" w:cs="Times New Roman"/>
          <w:noProof/>
          <w:lang w:val="en-GB"/>
        </w:rPr>
        <w:drawing>
          <wp:inline distT="0" distB="0" distL="0" distR="0" wp14:anchorId="2D8F36AC" wp14:editId="734E729A">
            <wp:extent cx="5943600" cy="3694430"/>
            <wp:effectExtent l="0" t="0" r="0" b="1270"/>
            <wp:docPr id="2" name="Chart 2">
              <a:extLst xmlns:a="http://schemas.openxmlformats.org/drawingml/2006/main">
                <a:ext uri="{FF2B5EF4-FFF2-40B4-BE49-F238E27FC236}">
                  <a16:creationId xmlns:a16="http://schemas.microsoft.com/office/drawing/2014/main" id="{F7A5C501-642D-4922-84B6-D60ACFDBDE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B4F4755" w14:textId="22EF8E46" w:rsidR="00F36566" w:rsidRPr="0037731E" w:rsidRDefault="0037731E" w:rsidP="0037731E">
      <w:pPr>
        <w:pStyle w:val="Caption"/>
        <w:rPr>
          <w:rFonts w:ascii="Times New Roman" w:hAnsi="Times New Roman" w:cs="Times New Roman"/>
          <w:bCs/>
          <w:i w:val="0"/>
          <w:lang w:val="en-GB"/>
        </w:rPr>
      </w:pPr>
      <w:r w:rsidRPr="0037731E">
        <w:rPr>
          <w:rFonts w:ascii="Times New Roman" w:hAnsi="Times New Roman" w:cs="Times New Roman"/>
          <w:b/>
          <w:i w:val="0"/>
          <w:lang w:val="en-GB"/>
        </w:rPr>
        <w:t>Note:</w:t>
      </w:r>
      <w:r w:rsidRPr="0037731E">
        <w:rPr>
          <w:rFonts w:ascii="Times New Roman" w:hAnsi="Times New Roman" w:cs="Times New Roman"/>
          <w:bCs/>
          <w:i w:val="0"/>
          <w:lang w:val="en-GB"/>
        </w:rPr>
        <w:t xml:space="preserve"> The Academic Openness Index measures the degree of mobility, international collaboration, and cross-border flows of researchers in national academic systems. Innovation performance is proxied by the WIPO Global Innovation Index rank (lower values indicate better performance). The dashed line represents the fitted linear relationship between academic openness and innovation rank.</w:t>
      </w:r>
    </w:p>
    <w:p w14:paraId="64F865C0" w14:textId="3BC6EFE4" w:rsidR="00E70628" w:rsidRPr="00E70628" w:rsidRDefault="0037731E" w:rsidP="0037731E">
      <w:pPr>
        <w:pStyle w:val="NormalWeb"/>
        <w:spacing w:line="360" w:lineRule="auto"/>
        <w:ind w:firstLine="708"/>
        <w:rPr>
          <w:lang w:val="en-GB"/>
        </w:rPr>
      </w:pPr>
      <w:r>
        <w:rPr>
          <w:lang w:val="en-GB"/>
        </w:rPr>
        <w:t xml:space="preserve">Figure 3 </w:t>
      </w:r>
      <w:r w:rsidR="00E70628" w:rsidRPr="00E70628">
        <w:rPr>
          <w:lang w:val="en-GB"/>
        </w:rPr>
        <w:t>reveal</w:t>
      </w:r>
      <w:r>
        <w:rPr>
          <w:lang w:val="en-GB"/>
        </w:rPr>
        <w:t>s</w:t>
      </w:r>
      <w:r w:rsidR="00E70628" w:rsidRPr="00E70628">
        <w:rPr>
          <w:lang w:val="en-GB"/>
        </w:rPr>
        <w:t xml:space="preserve"> a clear negative relationship between academic openness and innovation rank, indicating that more open academic systems tend to achieve substantially stronger innovation outcomes. Countries in Central and Eastern Europe cluster in the low-openness, low-performance region of the distribution, while highly open systems such as those in Northern and Western Europe consistently exhibit superior innovation performance. Although some outliers exist, the overall pattern supports the interpretation that academic openness constitutes an important structural determinant of national innovation capacity.</w:t>
      </w:r>
    </w:p>
    <w:p w14:paraId="403F4E94"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p>
    <w:p w14:paraId="09433FB8"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p>
    <w:p w14:paraId="5EE126CC" w14:textId="786F2017" w:rsidR="00F36566" w:rsidRDefault="00F36566" w:rsidP="00CD7903">
      <w:pPr>
        <w:spacing w:after="0" w:line="360" w:lineRule="auto"/>
        <w:ind w:firstLine="432"/>
        <w:jc w:val="both"/>
        <w:rPr>
          <w:rFonts w:ascii="Times New Roman" w:hAnsi="Times New Roman" w:cs="Times New Roman"/>
          <w:sz w:val="24"/>
          <w:szCs w:val="24"/>
          <w:lang w:val="en-GB"/>
        </w:rPr>
      </w:pPr>
    </w:p>
    <w:p w14:paraId="5A2F164E" w14:textId="5B77833A" w:rsidR="00E70628" w:rsidRDefault="00E70628" w:rsidP="00CD7903">
      <w:pPr>
        <w:spacing w:after="0" w:line="360" w:lineRule="auto"/>
        <w:ind w:firstLine="432"/>
        <w:jc w:val="both"/>
        <w:rPr>
          <w:rFonts w:ascii="Times New Roman" w:hAnsi="Times New Roman" w:cs="Times New Roman"/>
          <w:sz w:val="24"/>
          <w:szCs w:val="24"/>
          <w:lang w:val="en-GB"/>
        </w:rPr>
      </w:pPr>
    </w:p>
    <w:p w14:paraId="6088E747" w14:textId="15B68EDC" w:rsidR="00E70628" w:rsidRDefault="00E70628" w:rsidP="0037731E">
      <w:pPr>
        <w:spacing w:after="0" w:line="360" w:lineRule="auto"/>
        <w:jc w:val="both"/>
        <w:rPr>
          <w:rFonts w:ascii="Times New Roman" w:hAnsi="Times New Roman" w:cs="Times New Roman"/>
          <w:sz w:val="24"/>
          <w:szCs w:val="24"/>
          <w:lang w:val="en-GB"/>
        </w:rPr>
      </w:pPr>
    </w:p>
    <w:p w14:paraId="17935B53" w14:textId="583C52E5" w:rsidR="0037731E" w:rsidRPr="0037731E" w:rsidRDefault="0037731E" w:rsidP="0037731E">
      <w:pPr>
        <w:spacing w:after="0" w:line="360" w:lineRule="auto"/>
        <w:jc w:val="both"/>
        <w:rPr>
          <w:rFonts w:ascii="Times New Roman" w:hAnsi="Times New Roman" w:cs="Times New Roman"/>
          <w:b/>
          <w:sz w:val="24"/>
          <w:szCs w:val="24"/>
          <w:lang w:val="en-GB"/>
        </w:rPr>
      </w:pPr>
      <w:r w:rsidRPr="0037731E">
        <w:rPr>
          <w:rFonts w:ascii="Times New Roman" w:hAnsi="Times New Roman" w:cs="Times New Roman"/>
          <w:b/>
          <w:sz w:val="24"/>
          <w:szCs w:val="24"/>
          <w:lang w:val="en-GB"/>
        </w:rPr>
        <w:lastRenderedPageBreak/>
        <w:t>References</w:t>
      </w:r>
    </w:p>
    <w:p w14:paraId="25DC652E" w14:textId="77777777" w:rsidR="00E70628" w:rsidRPr="00CD7903" w:rsidRDefault="00E70628" w:rsidP="00CD7903">
      <w:pPr>
        <w:spacing w:after="0" w:line="360" w:lineRule="auto"/>
        <w:ind w:firstLine="432"/>
        <w:jc w:val="both"/>
        <w:rPr>
          <w:rFonts w:ascii="Times New Roman" w:hAnsi="Times New Roman" w:cs="Times New Roman"/>
          <w:sz w:val="24"/>
          <w:szCs w:val="24"/>
          <w:lang w:val="en-GB"/>
        </w:rPr>
      </w:pPr>
    </w:p>
    <w:p w14:paraId="207FEFC8" w14:textId="1F2CFBBB" w:rsidR="00F36566" w:rsidRPr="00CD7903" w:rsidRDefault="00B6111E" w:rsidP="00E70628">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rPr>
        <w:t>Padilla, L. E. (2008). How have Mexican faculty been trained? A national perspective and a case study. Higher Education, 56, 167–183. Pelz, D. C., &amp; Andrews, F. M. (1966). Scientists in organizations. New York: Wiley.</w:t>
      </w:r>
    </w:p>
    <w:p w14:paraId="0CDFC912" w14:textId="77777777" w:rsidR="00BE4AEC" w:rsidRPr="00CD7903" w:rsidRDefault="00BE4AEC"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Dietz, J. S., &amp; Bozeman, B. (2005). Academic careers, patents, and productivity: Industry experience as scientific and technical human capital. Research Policy, 34, 349–367.</w:t>
      </w:r>
    </w:p>
    <w:p w14:paraId="2062E8A4" w14:textId="0D839B0C" w:rsidR="00BE4AEC" w:rsidRPr="00CD7903" w:rsidRDefault="00BE4AEC"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 xml:space="preserve"> Dillon, N. (2003). The postdoctoral system under the spotlight: A European Union Directive regulating fixed-term contracts has focused attention on scientific career structures and could have long-term effects on European science. EMBO Reports, 4(1), 2–4. </w:t>
      </w:r>
    </w:p>
    <w:p w14:paraId="1D1072B3" w14:textId="7E807058" w:rsidR="00F36566" w:rsidRPr="00CD7903" w:rsidRDefault="00BE4AEC"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rPr>
        <w:t>Dutton, J. E. (1980). The impact of inbreeding and immobility on the professional role and scholarly performance of academic scientists. Paper presented at the annual meeting of the American Educational Research Association, Boston, pp 7–11, April 1980.</w:t>
      </w:r>
    </w:p>
    <w:p w14:paraId="5D8F92B6" w14:textId="286D3253" w:rsidR="00F36566" w:rsidRPr="00CD7903" w:rsidRDefault="004637EF"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Berelson, B. (1960). Graduate education in the United States. New York: McGraw-Hill.</w:t>
      </w:r>
    </w:p>
    <w:p w14:paraId="60AD03A9" w14:textId="7C491FB6" w:rsidR="00C81090" w:rsidRPr="00CD7903" w:rsidRDefault="00C81090"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Caplow, T., &amp; McGee, R. (1958). The academic marketplace. New York: Doubleday</w:t>
      </w:r>
    </w:p>
    <w:p w14:paraId="72B661E9" w14:textId="47F1609E" w:rsidR="00C540A6" w:rsidRPr="00CD7903" w:rsidRDefault="00C540A6"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McGee, R. (1960). The function of institutional inbreeding. The American Journal of Sociology, 65(5), 483–488.</w:t>
      </w:r>
    </w:p>
    <w:p w14:paraId="4F20F77A" w14:textId="2A8D2583" w:rsidR="00944CA3" w:rsidRPr="00CD7903" w:rsidRDefault="00944CA3"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rPr>
        <w:t>Hargens, L. L., &amp; Farr, G. M. (1973). An examination of recent hypotheses about Institutional Inbreeding. The American Journal of Sociology, 78(6), 1381–1402.</w:t>
      </w:r>
    </w:p>
    <w:p w14:paraId="729C1BC5"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Altbach, P. G. (2000). The changing academic workplace: Comparative perspectives. </w:t>
      </w:r>
      <w:r w:rsidRPr="00CD7903">
        <w:rPr>
          <w:rFonts w:ascii="Times New Roman" w:hAnsi="Times New Roman" w:cs="Times New Roman"/>
          <w:i/>
          <w:iCs/>
          <w:sz w:val="24"/>
          <w:szCs w:val="24"/>
          <w:lang w:val="en-GB"/>
        </w:rPr>
        <w:t>Boston College Center for International Higher Education</w:t>
      </w:r>
      <w:r w:rsidRPr="00CD7903">
        <w:rPr>
          <w:rFonts w:ascii="Times New Roman" w:hAnsi="Times New Roman" w:cs="Times New Roman"/>
          <w:sz w:val="24"/>
          <w:szCs w:val="24"/>
          <w:lang w:val="en-GB"/>
        </w:rPr>
        <w:t>.</w:t>
      </w:r>
    </w:p>
    <w:p w14:paraId="69E24508" w14:textId="50618425" w:rsidR="00F36566" w:rsidRPr="00CD7903" w:rsidRDefault="00F36566"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Aghion, P., Dewatripont, M., Hoxby, C., Mas-Colell, A., &amp; Sapir, A. (2010). The governance and performance of universities: Evidence from Europe and the U.S. </w:t>
      </w:r>
      <w:r w:rsidRPr="00CD7903">
        <w:rPr>
          <w:rFonts w:ascii="Times New Roman" w:hAnsi="Times New Roman" w:cs="Times New Roman"/>
          <w:i/>
          <w:iCs/>
          <w:sz w:val="24"/>
          <w:szCs w:val="24"/>
          <w:lang w:val="en-GB"/>
        </w:rPr>
        <w:t>Economic Policy, 25</w:t>
      </w:r>
      <w:r w:rsidRPr="00CD7903">
        <w:rPr>
          <w:rFonts w:ascii="Times New Roman" w:hAnsi="Times New Roman" w:cs="Times New Roman"/>
          <w:sz w:val="24"/>
          <w:szCs w:val="24"/>
          <w:lang w:val="en-GB"/>
        </w:rPr>
        <w:t xml:space="preserve">(61), 7–59. </w:t>
      </w:r>
      <w:hyperlink r:id="rId9" w:history="1">
        <w:r w:rsidR="004F4A59" w:rsidRPr="00CD7903">
          <w:rPr>
            <w:rStyle w:val="Hyperlink"/>
            <w:rFonts w:ascii="Times New Roman" w:hAnsi="Times New Roman" w:cs="Times New Roman"/>
            <w:sz w:val="24"/>
            <w:szCs w:val="24"/>
            <w:lang w:val="en-GB"/>
          </w:rPr>
          <w:t>https://doi.org/10.1111/j.1468-0327.2009.00238.x</w:t>
        </w:r>
      </w:hyperlink>
      <w:r w:rsidR="004F4A59" w:rsidRPr="00CD7903">
        <w:rPr>
          <w:rFonts w:ascii="Times New Roman" w:hAnsi="Times New Roman" w:cs="Times New Roman"/>
          <w:sz w:val="24"/>
          <w:szCs w:val="24"/>
          <w:lang w:val="en-GB"/>
        </w:rPr>
        <w:t xml:space="preserve"> </w:t>
      </w:r>
    </w:p>
    <w:p w14:paraId="287F3679" w14:textId="44611032" w:rsidR="00F36566" w:rsidRPr="00CD7903" w:rsidRDefault="00F36566"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Cruz-Castro, L., &amp; Sanz-Menéndez, L. (2010). Mobility versus job stability: Assessing tenure and productivity in Spain. </w:t>
      </w:r>
      <w:r w:rsidRPr="00CD7903">
        <w:rPr>
          <w:rFonts w:ascii="Times New Roman" w:hAnsi="Times New Roman" w:cs="Times New Roman"/>
          <w:i/>
          <w:iCs/>
          <w:sz w:val="24"/>
          <w:szCs w:val="24"/>
          <w:lang w:val="en-GB"/>
        </w:rPr>
        <w:t>Research Policy, 39</w:t>
      </w:r>
      <w:r w:rsidRPr="00CD7903">
        <w:rPr>
          <w:rFonts w:ascii="Times New Roman" w:hAnsi="Times New Roman" w:cs="Times New Roman"/>
          <w:sz w:val="24"/>
          <w:szCs w:val="24"/>
          <w:lang w:val="en-GB"/>
        </w:rPr>
        <w:t xml:space="preserve">(1), 27–38. </w:t>
      </w:r>
      <w:hyperlink r:id="rId10" w:history="1">
        <w:r w:rsidR="00456CC0" w:rsidRPr="00CD7903">
          <w:rPr>
            <w:rStyle w:val="Hyperlink"/>
            <w:rFonts w:ascii="Times New Roman" w:hAnsi="Times New Roman" w:cs="Times New Roman"/>
            <w:sz w:val="24"/>
            <w:szCs w:val="24"/>
            <w:lang w:val="en-GB"/>
          </w:rPr>
          <w:t>https://doi.org/10.1016/j.respol.2009.11.008</w:t>
        </w:r>
      </w:hyperlink>
      <w:r w:rsidR="00456CC0" w:rsidRPr="00CD7903">
        <w:rPr>
          <w:rFonts w:ascii="Times New Roman" w:hAnsi="Times New Roman" w:cs="Times New Roman"/>
          <w:sz w:val="24"/>
          <w:szCs w:val="24"/>
          <w:lang w:val="en-GB"/>
        </w:rPr>
        <w:t xml:space="preserve"> </w:t>
      </w:r>
    </w:p>
    <w:p w14:paraId="33598F62" w14:textId="47EAA268" w:rsidR="00F36566" w:rsidRPr="00CD7903" w:rsidRDefault="00F36566" w:rsidP="00CD7903">
      <w:pPr>
        <w:spacing w:after="0" w:line="360" w:lineRule="auto"/>
        <w:ind w:firstLine="432"/>
        <w:jc w:val="both"/>
        <w:rPr>
          <w:rFonts w:ascii="Times New Roman" w:hAnsi="Times New Roman" w:cs="Times New Roman"/>
          <w:sz w:val="24"/>
          <w:szCs w:val="24"/>
          <w:lang w:val="en-US"/>
        </w:rPr>
      </w:pPr>
      <w:r w:rsidRPr="00CD7903">
        <w:rPr>
          <w:rFonts w:ascii="Times New Roman" w:hAnsi="Times New Roman" w:cs="Times New Roman"/>
          <w:sz w:val="24"/>
          <w:szCs w:val="24"/>
          <w:lang w:val="en-GB"/>
        </w:rPr>
        <w:t xml:space="preserve">Horta, H. (2013). Deepening our understanding of academic inbreeding effects on research information exchange and scientific output. </w:t>
      </w:r>
      <w:r w:rsidRPr="00CD7903">
        <w:rPr>
          <w:rFonts w:ascii="Times New Roman" w:hAnsi="Times New Roman" w:cs="Times New Roman"/>
          <w:i/>
          <w:iCs/>
          <w:sz w:val="24"/>
          <w:szCs w:val="24"/>
          <w:lang w:val="en-GB"/>
        </w:rPr>
        <w:t>Higher Education, 66</w:t>
      </w:r>
      <w:r w:rsidRPr="00CD7903">
        <w:rPr>
          <w:rFonts w:ascii="Times New Roman" w:hAnsi="Times New Roman" w:cs="Times New Roman"/>
          <w:sz w:val="24"/>
          <w:szCs w:val="24"/>
          <w:lang w:val="en-GB"/>
        </w:rPr>
        <w:t xml:space="preserve">(4), 487–510. </w:t>
      </w:r>
      <w:r w:rsidR="00990609" w:rsidRPr="00CD7903">
        <w:rPr>
          <w:rFonts w:ascii="Times New Roman" w:hAnsi="Times New Roman" w:cs="Times New Roman"/>
          <w:sz w:val="24"/>
          <w:szCs w:val="24"/>
        </w:rPr>
        <w:t>DOI 10.1007/s10734-012-9559-7</w:t>
      </w:r>
      <w:r w:rsidR="00990609" w:rsidRPr="00CD7903">
        <w:rPr>
          <w:rFonts w:ascii="Times New Roman" w:hAnsi="Times New Roman" w:cs="Times New Roman"/>
          <w:sz w:val="24"/>
          <w:szCs w:val="24"/>
          <w:lang w:val="en-US"/>
        </w:rPr>
        <w:t xml:space="preserve"> </w:t>
      </w:r>
    </w:p>
    <w:p w14:paraId="0DDE6AC3" w14:textId="67F95385" w:rsidR="00F36566" w:rsidRPr="00CD7903" w:rsidRDefault="00F36566"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lang w:val="en-GB"/>
        </w:rPr>
        <w:lastRenderedPageBreak/>
        <w:t xml:space="preserve">Horta, H., Veloso, F., &amp; Grediaga, R. (2010). Navel gazing: Academic inbreeding and scientific productivity. </w:t>
      </w:r>
      <w:r w:rsidRPr="00CD7903">
        <w:rPr>
          <w:rFonts w:ascii="Times New Roman" w:hAnsi="Times New Roman" w:cs="Times New Roman"/>
          <w:i/>
          <w:iCs/>
          <w:sz w:val="24"/>
          <w:szCs w:val="24"/>
          <w:lang w:val="en-GB"/>
        </w:rPr>
        <w:t>Management Science, 56</w:t>
      </w:r>
      <w:r w:rsidRPr="00CD7903">
        <w:rPr>
          <w:rFonts w:ascii="Times New Roman" w:hAnsi="Times New Roman" w:cs="Times New Roman"/>
          <w:sz w:val="24"/>
          <w:szCs w:val="24"/>
          <w:lang w:val="en-GB"/>
        </w:rPr>
        <w:t>(3), 414–429</w:t>
      </w:r>
    </w:p>
    <w:p w14:paraId="28B26B3F"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r w:rsidRPr="00CD7903">
        <w:rPr>
          <w:rFonts w:ascii="Times New Roman" w:hAnsi="Times New Roman" w:cs="Times New Roman"/>
          <w:sz w:val="24"/>
          <w:szCs w:val="24"/>
          <w:lang w:val="en-GB"/>
        </w:rPr>
        <w:t xml:space="preserve">Yudkevich, M., Altbach, P. G., &amp; Rumbley, L. E. (Eds.). (2015). </w:t>
      </w:r>
      <w:r w:rsidRPr="00CD7903">
        <w:rPr>
          <w:rFonts w:ascii="Times New Roman" w:hAnsi="Times New Roman" w:cs="Times New Roman"/>
          <w:i/>
          <w:iCs/>
          <w:sz w:val="24"/>
          <w:szCs w:val="24"/>
          <w:lang w:val="en-GB"/>
        </w:rPr>
        <w:t>Academic inbreeding and mobility in higher education: Global perspectives</w:t>
      </w:r>
      <w:r w:rsidRPr="00CD7903">
        <w:rPr>
          <w:rFonts w:ascii="Times New Roman" w:hAnsi="Times New Roman" w:cs="Times New Roman"/>
          <w:sz w:val="24"/>
          <w:szCs w:val="24"/>
          <w:lang w:val="en-GB"/>
        </w:rPr>
        <w:t>. Palgrave Macmillan.</w:t>
      </w:r>
    </w:p>
    <w:p w14:paraId="51387E49"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p>
    <w:p w14:paraId="7849BD83" w14:textId="77777777" w:rsidR="00F36566" w:rsidRPr="00CD7903" w:rsidRDefault="00F36566" w:rsidP="00CD7903">
      <w:pPr>
        <w:spacing w:after="0" w:line="360" w:lineRule="auto"/>
        <w:ind w:firstLine="432"/>
        <w:jc w:val="both"/>
        <w:rPr>
          <w:rFonts w:ascii="Times New Roman" w:hAnsi="Times New Roman" w:cs="Times New Roman"/>
          <w:sz w:val="24"/>
          <w:szCs w:val="24"/>
          <w:lang w:val="en-GB"/>
        </w:rPr>
      </w:pPr>
    </w:p>
    <w:sectPr w:rsidR="00F36566" w:rsidRPr="00CD7903" w:rsidSect="00890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2FF9"/>
    <w:multiLevelType w:val="hybridMultilevel"/>
    <w:tmpl w:val="50D20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327FA"/>
    <w:multiLevelType w:val="hybridMultilevel"/>
    <w:tmpl w:val="DA2A00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F32855"/>
    <w:multiLevelType w:val="hybridMultilevel"/>
    <w:tmpl w:val="C958D3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662A00"/>
    <w:multiLevelType w:val="hybridMultilevel"/>
    <w:tmpl w:val="0D9C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42AAC"/>
    <w:multiLevelType w:val="hybridMultilevel"/>
    <w:tmpl w:val="692C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61FE8"/>
    <w:multiLevelType w:val="hybridMultilevel"/>
    <w:tmpl w:val="8562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B45BB"/>
    <w:multiLevelType w:val="hybridMultilevel"/>
    <w:tmpl w:val="A53EA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636A42"/>
    <w:multiLevelType w:val="hybridMultilevel"/>
    <w:tmpl w:val="86B8A80E"/>
    <w:lvl w:ilvl="0" w:tplc="784ECE28">
      <w:start w:val="1"/>
      <w:numFmt w:val="lowerLetter"/>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4"/>
  </w:num>
  <w:num w:numId="4">
    <w:abstractNumId w:val="2"/>
  </w:num>
  <w:num w:numId="5">
    <w:abstractNumId w:val="7"/>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894"/>
    <w:rsid w:val="00027E5B"/>
    <w:rsid w:val="00033FE0"/>
    <w:rsid w:val="00067575"/>
    <w:rsid w:val="000926A0"/>
    <w:rsid w:val="000A2554"/>
    <w:rsid w:val="000B78E5"/>
    <w:rsid w:val="000D6519"/>
    <w:rsid w:val="000F4E0A"/>
    <w:rsid w:val="00135888"/>
    <w:rsid w:val="00157911"/>
    <w:rsid w:val="001A5581"/>
    <w:rsid w:val="001F73A7"/>
    <w:rsid w:val="002001E9"/>
    <w:rsid w:val="0020316E"/>
    <w:rsid w:val="00236F64"/>
    <w:rsid w:val="002437F7"/>
    <w:rsid w:val="0027570B"/>
    <w:rsid w:val="0027782A"/>
    <w:rsid w:val="002861E3"/>
    <w:rsid w:val="002904B8"/>
    <w:rsid w:val="00290925"/>
    <w:rsid w:val="002D5394"/>
    <w:rsid w:val="002F6CD0"/>
    <w:rsid w:val="002F6CDA"/>
    <w:rsid w:val="0032298B"/>
    <w:rsid w:val="0037731E"/>
    <w:rsid w:val="003A4177"/>
    <w:rsid w:val="003E57D9"/>
    <w:rsid w:val="003F2894"/>
    <w:rsid w:val="003F3DB7"/>
    <w:rsid w:val="00437F05"/>
    <w:rsid w:val="00456CC0"/>
    <w:rsid w:val="004637EF"/>
    <w:rsid w:val="004669DF"/>
    <w:rsid w:val="004E596A"/>
    <w:rsid w:val="004F4A59"/>
    <w:rsid w:val="00504365"/>
    <w:rsid w:val="00506D0E"/>
    <w:rsid w:val="00531000"/>
    <w:rsid w:val="00575ADF"/>
    <w:rsid w:val="005B1C93"/>
    <w:rsid w:val="005B5925"/>
    <w:rsid w:val="005C58D4"/>
    <w:rsid w:val="005D428C"/>
    <w:rsid w:val="00662838"/>
    <w:rsid w:val="00672A8C"/>
    <w:rsid w:val="00692F53"/>
    <w:rsid w:val="006C50B7"/>
    <w:rsid w:val="006D04BF"/>
    <w:rsid w:val="006F2A0E"/>
    <w:rsid w:val="006F7A78"/>
    <w:rsid w:val="00710995"/>
    <w:rsid w:val="00751628"/>
    <w:rsid w:val="00777A3A"/>
    <w:rsid w:val="007A53D2"/>
    <w:rsid w:val="0080793F"/>
    <w:rsid w:val="008156E1"/>
    <w:rsid w:val="0085156E"/>
    <w:rsid w:val="008839EB"/>
    <w:rsid w:val="008905BF"/>
    <w:rsid w:val="00892A99"/>
    <w:rsid w:val="008A2C80"/>
    <w:rsid w:val="00906F09"/>
    <w:rsid w:val="009216D0"/>
    <w:rsid w:val="00935553"/>
    <w:rsid w:val="00944CA3"/>
    <w:rsid w:val="00946700"/>
    <w:rsid w:val="009738DA"/>
    <w:rsid w:val="00990609"/>
    <w:rsid w:val="00993770"/>
    <w:rsid w:val="009E5F13"/>
    <w:rsid w:val="009E725B"/>
    <w:rsid w:val="009F749D"/>
    <w:rsid w:val="00A00817"/>
    <w:rsid w:val="00A01DAE"/>
    <w:rsid w:val="00A21EC2"/>
    <w:rsid w:val="00A41DD4"/>
    <w:rsid w:val="00A52C7B"/>
    <w:rsid w:val="00A63E80"/>
    <w:rsid w:val="00A951A7"/>
    <w:rsid w:val="00AB7A6B"/>
    <w:rsid w:val="00B0625D"/>
    <w:rsid w:val="00B210C8"/>
    <w:rsid w:val="00B25FFD"/>
    <w:rsid w:val="00B34487"/>
    <w:rsid w:val="00B6111E"/>
    <w:rsid w:val="00B81856"/>
    <w:rsid w:val="00B90665"/>
    <w:rsid w:val="00B97345"/>
    <w:rsid w:val="00BA6B9B"/>
    <w:rsid w:val="00BC2DC3"/>
    <w:rsid w:val="00BE4AEC"/>
    <w:rsid w:val="00BE68A5"/>
    <w:rsid w:val="00BE7529"/>
    <w:rsid w:val="00BF5A95"/>
    <w:rsid w:val="00C063D2"/>
    <w:rsid w:val="00C20128"/>
    <w:rsid w:val="00C45436"/>
    <w:rsid w:val="00C501B7"/>
    <w:rsid w:val="00C52D16"/>
    <w:rsid w:val="00C540A6"/>
    <w:rsid w:val="00C6772A"/>
    <w:rsid w:val="00C81090"/>
    <w:rsid w:val="00CB7214"/>
    <w:rsid w:val="00CC3CC3"/>
    <w:rsid w:val="00CD7903"/>
    <w:rsid w:val="00D20331"/>
    <w:rsid w:val="00E1771A"/>
    <w:rsid w:val="00E354BA"/>
    <w:rsid w:val="00E56DBF"/>
    <w:rsid w:val="00E66841"/>
    <w:rsid w:val="00E70628"/>
    <w:rsid w:val="00E71B25"/>
    <w:rsid w:val="00E851E4"/>
    <w:rsid w:val="00E9046B"/>
    <w:rsid w:val="00EB428E"/>
    <w:rsid w:val="00EF4CBE"/>
    <w:rsid w:val="00F0770A"/>
    <w:rsid w:val="00F1587E"/>
    <w:rsid w:val="00F36566"/>
    <w:rsid w:val="00F80A53"/>
    <w:rsid w:val="00F96F1E"/>
    <w:rsid w:val="00FB63AF"/>
    <w:rsid w:val="00FF5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5F5"/>
  <w15:chartTrackingRefBased/>
  <w15:docId w15:val="{C07472BC-78D4-4A9B-B637-788A5500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rsid w:val="00AB7A6B"/>
    <w:pPr>
      <w:spacing w:before="144" w:after="72" w:line="240" w:lineRule="auto"/>
      <w:outlineLvl w:val="0"/>
    </w:pPr>
    <w:rPr>
      <w:rFonts w:ascii="Times New Roman" w:eastAsia="Times New Roman" w:hAnsi="Times New Roman" w:cs="Times New Roman"/>
      <w:b/>
      <w:sz w:val="24"/>
      <w:szCs w:val="32"/>
      <w:lang w:val="en"/>
      <w14:ligatures w14:val="none"/>
    </w:rPr>
  </w:style>
  <w:style w:type="paragraph" w:styleId="Heading2">
    <w:name w:val="heading 2"/>
    <w:basedOn w:val="Normal"/>
    <w:next w:val="Normal"/>
    <w:link w:val="Heading2Char"/>
    <w:uiPriority w:val="9"/>
    <w:semiHidden/>
    <w:unhideWhenUsed/>
    <w:qFormat/>
    <w:rsid w:val="003F289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F28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F28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F28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6B"/>
    <w:rPr>
      <w:rFonts w:ascii="Times New Roman" w:eastAsia="Times New Roman" w:hAnsi="Times New Roman" w:cs="Times New Roman"/>
      <w:b/>
      <w:kern w:val="0"/>
      <w:sz w:val="24"/>
      <w:szCs w:val="32"/>
      <w:lang w:val="en"/>
      <w14:ligatures w14:val="none"/>
    </w:rPr>
  </w:style>
  <w:style w:type="character" w:customStyle="1" w:styleId="Heading2Char">
    <w:name w:val="Heading 2 Char"/>
    <w:basedOn w:val="DefaultParagraphFont"/>
    <w:link w:val="Heading2"/>
    <w:uiPriority w:val="9"/>
    <w:semiHidden/>
    <w:rsid w:val="003F28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F28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F28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F28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894"/>
    <w:rPr>
      <w:rFonts w:eastAsiaTheme="majorEastAsia" w:cstheme="majorBidi"/>
      <w:color w:val="272727" w:themeColor="text1" w:themeTint="D8"/>
    </w:rPr>
  </w:style>
  <w:style w:type="paragraph" w:styleId="Title">
    <w:name w:val="Title"/>
    <w:basedOn w:val="Normal"/>
    <w:next w:val="Normal"/>
    <w:link w:val="TitleChar"/>
    <w:uiPriority w:val="10"/>
    <w:qFormat/>
    <w:rsid w:val="003F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894"/>
    <w:pPr>
      <w:spacing w:before="160"/>
      <w:jc w:val="center"/>
    </w:pPr>
    <w:rPr>
      <w:i/>
      <w:iCs/>
      <w:color w:val="404040" w:themeColor="text1" w:themeTint="BF"/>
    </w:rPr>
  </w:style>
  <w:style w:type="character" w:customStyle="1" w:styleId="QuoteChar">
    <w:name w:val="Quote Char"/>
    <w:basedOn w:val="DefaultParagraphFont"/>
    <w:link w:val="Quote"/>
    <w:uiPriority w:val="29"/>
    <w:rsid w:val="003F2894"/>
    <w:rPr>
      <w:i/>
      <w:iCs/>
      <w:color w:val="404040" w:themeColor="text1" w:themeTint="BF"/>
    </w:rPr>
  </w:style>
  <w:style w:type="paragraph" w:styleId="ListParagraph">
    <w:name w:val="List Paragraph"/>
    <w:basedOn w:val="Normal"/>
    <w:uiPriority w:val="34"/>
    <w:qFormat/>
    <w:rsid w:val="003F2894"/>
    <w:pPr>
      <w:ind w:left="720"/>
      <w:contextualSpacing/>
    </w:pPr>
  </w:style>
  <w:style w:type="character" w:styleId="IntenseEmphasis">
    <w:name w:val="Intense Emphasis"/>
    <w:basedOn w:val="DefaultParagraphFont"/>
    <w:uiPriority w:val="21"/>
    <w:qFormat/>
    <w:rsid w:val="003F2894"/>
    <w:rPr>
      <w:i/>
      <w:iCs/>
      <w:color w:val="2E74B5" w:themeColor="accent1" w:themeShade="BF"/>
    </w:rPr>
  </w:style>
  <w:style w:type="paragraph" w:styleId="IntenseQuote">
    <w:name w:val="Intense Quote"/>
    <w:basedOn w:val="Normal"/>
    <w:next w:val="Normal"/>
    <w:link w:val="IntenseQuoteChar"/>
    <w:uiPriority w:val="30"/>
    <w:qFormat/>
    <w:rsid w:val="003F2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894"/>
    <w:rPr>
      <w:i/>
      <w:iCs/>
      <w:color w:val="2E74B5" w:themeColor="accent1" w:themeShade="BF"/>
    </w:rPr>
  </w:style>
  <w:style w:type="character" w:styleId="IntenseReference">
    <w:name w:val="Intense Reference"/>
    <w:basedOn w:val="DefaultParagraphFont"/>
    <w:uiPriority w:val="32"/>
    <w:qFormat/>
    <w:rsid w:val="003F2894"/>
    <w:rPr>
      <w:b/>
      <w:bCs/>
      <w:smallCaps/>
      <w:color w:val="2E74B5" w:themeColor="accent1" w:themeShade="BF"/>
      <w:spacing w:val="5"/>
    </w:rPr>
  </w:style>
  <w:style w:type="character" w:styleId="Hyperlink">
    <w:name w:val="Hyperlink"/>
    <w:basedOn w:val="DefaultParagraphFont"/>
    <w:uiPriority w:val="99"/>
    <w:unhideWhenUsed/>
    <w:rsid w:val="00B81856"/>
    <w:rPr>
      <w:color w:val="0563C1" w:themeColor="hyperlink"/>
      <w:u w:val="single"/>
    </w:rPr>
  </w:style>
  <w:style w:type="character" w:styleId="UnresolvedMention">
    <w:name w:val="Unresolved Mention"/>
    <w:basedOn w:val="DefaultParagraphFont"/>
    <w:uiPriority w:val="99"/>
    <w:semiHidden/>
    <w:unhideWhenUsed/>
    <w:rsid w:val="00B81856"/>
    <w:rPr>
      <w:color w:val="605E5C"/>
      <w:shd w:val="clear" w:color="auto" w:fill="E1DFDD"/>
    </w:rPr>
  </w:style>
  <w:style w:type="character" w:styleId="FollowedHyperlink">
    <w:name w:val="FollowedHyperlink"/>
    <w:basedOn w:val="DefaultParagraphFont"/>
    <w:uiPriority w:val="99"/>
    <w:semiHidden/>
    <w:unhideWhenUsed/>
    <w:rsid w:val="00B81856"/>
    <w:rPr>
      <w:color w:val="954F72" w:themeColor="followedHyperlink"/>
      <w:u w:val="single"/>
    </w:rPr>
  </w:style>
  <w:style w:type="character" w:styleId="Emphasis">
    <w:name w:val="Emphasis"/>
    <w:basedOn w:val="DefaultParagraphFont"/>
    <w:uiPriority w:val="20"/>
    <w:qFormat/>
    <w:rsid w:val="00033FE0"/>
    <w:rPr>
      <w:i/>
      <w:iCs/>
    </w:rPr>
  </w:style>
  <w:style w:type="character" w:styleId="PlaceholderText">
    <w:name w:val="Placeholder Text"/>
    <w:basedOn w:val="DefaultParagraphFont"/>
    <w:uiPriority w:val="99"/>
    <w:semiHidden/>
    <w:rsid w:val="00033FE0"/>
    <w:rPr>
      <w:color w:val="808080"/>
    </w:rPr>
  </w:style>
  <w:style w:type="paragraph" w:styleId="BalloonText">
    <w:name w:val="Balloon Text"/>
    <w:basedOn w:val="Normal"/>
    <w:link w:val="BalloonTextChar"/>
    <w:uiPriority w:val="99"/>
    <w:semiHidden/>
    <w:unhideWhenUsed/>
    <w:rsid w:val="00CD79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903"/>
    <w:rPr>
      <w:rFonts w:ascii="Segoe UI" w:hAnsi="Segoe UI" w:cs="Segoe UI"/>
      <w:sz w:val="18"/>
      <w:szCs w:val="18"/>
    </w:rPr>
  </w:style>
  <w:style w:type="paragraph" w:styleId="NormalWeb">
    <w:name w:val="Normal (Web)"/>
    <w:basedOn w:val="Normal"/>
    <w:uiPriority w:val="99"/>
    <w:semiHidden/>
    <w:unhideWhenUsed/>
    <w:rsid w:val="00E70628"/>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paragraph" w:styleId="Caption">
    <w:name w:val="caption"/>
    <w:basedOn w:val="Normal"/>
    <w:next w:val="Normal"/>
    <w:uiPriority w:val="35"/>
    <w:unhideWhenUsed/>
    <w:qFormat/>
    <w:rsid w:val="00E70628"/>
    <w:pPr>
      <w:spacing w:after="200" w:line="240" w:lineRule="auto"/>
    </w:pPr>
    <w:rPr>
      <w:i/>
      <w:iCs/>
      <w:color w:val="44546A" w:themeColor="text2"/>
      <w:sz w:val="18"/>
      <w:szCs w:val="18"/>
    </w:rPr>
  </w:style>
  <w:style w:type="character" w:styleId="Strong">
    <w:name w:val="Strong"/>
    <w:basedOn w:val="DefaultParagraphFont"/>
    <w:uiPriority w:val="22"/>
    <w:qFormat/>
    <w:rsid w:val="00377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63935">
      <w:bodyDiv w:val="1"/>
      <w:marLeft w:val="0"/>
      <w:marRight w:val="0"/>
      <w:marTop w:val="0"/>
      <w:marBottom w:val="0"/>
      <w:divBdr>
        <w:top w:val="none" w:sz="0" w:space="0" w:color="auto"/>
        <w:left w:val="none" w:sz="0" w:space="0" w:color="auto"/>
        <w:bottom w:val="none" w:sz="0" w:space="0" w:color="auto"/>
        <w:right w:val="none" w:sz="0" w:space="0" w:color="auto"/>
      </w:divBdr>
    </w:div>
    <w:div w:id="1145590217">
      <w:bodyDiv w:val="1"/>
      <w:marLeft w:val="0"/>
      <w:marRight w:val="0"/>
      <w:marTop w:val="0"/>
      <w:marBottom w:val="0"/>
      <w:divBdr>
        <w:top w:val="none" w:sz="0" w:space="0" w:color="auto"/>
        <w:left w:val="none" w:sz="0" w:space="0" w:color="auto"/>
        <w:bottom w:val="none" w:sz="0" w:space="0" w:color="auto"/>
        <w:right w:val="none" w:sz="0" w:space="0" w:color="auto"/>
      </w:divBdr>
    </w:div>
    <w:div w:id="1219777650">
      <w:bodyDiv w:val="1"/>
      <w:marLeft w:val="0"/>
      <w:marRight w:val="0"/>
      <w:marTop w:val="0"/>
      <w:marBottom w:val="0"/>
      <w:divBdr>
        <w:top w:val="none" w:sz="0" w:space="0" w:color="auto"/>
        <w:left w:val="none" w:sz="0" w:space="0" w:color="auto"/>
        <w:bottom w:val="none" w:sz="0" w:space="0" w:color="auto"/>
        <w:right w:val="none" w:sz="0" w:space="0" w:color="auto"/>
      </w:divBdr>
    </w:div>
    <w:div w:id="1792749185">
      <w:bodyDiv w:val="1"/>
      <w:marLeft w:val="0"/>
      <w:marRight w:val="0"/>
      <w:marTop w:val="0"/>
      <w:marBottom w:val="0"/>
      <w:divBdr>
        <w:top w:val="none" w:sz="0" w:space="0" w:color="auto"/>
        <w:left w:val="none" w:sz="0" w:space="0" w:color="auto"/>
        <w:bottom w:val="none" w:sz="0" w:space="0" w:color="auto"/>
        <w:right w:val="none" w:sz="0" w:space="0" w:color="auto"/>
      </w:divBdr>
    </w:div>
    <w:div w:id="2028671861">
      <w:bodyDiv w:val="1"/>
      <w:marLeft w:val="0"/>
      <w:marRight w:val="0"/>
      <w:marTop w:val="0"/>
      <w:marBottom w:val="0"/>
      <w:divBdr>
        <w:top w:val="none" w:sz="0" w:space="0" w:color="auto"/>
        <w:left w:val="none" w:sz="0" w:space="0" w:color="auto"/>
        <w:bottom w:val="none" w:sz="0" w:space="0" w:color="auto"/>
        <w:right w:val="none" w:sz="0" w:space="0" w:color="auto"/>
      </w:divBdr>
      <w:divsChild>
        <w:div w:id="1973166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j.respol.2009.11.008" TargetMode="External"/><Relationship Id="rId4" Type="http://schemas.openxmlformats.org/officeDocument/2006/relationships/settings" Target="settings.xml"/><Relationship Id="rId9" Type="http://schemas.openxmlformats.org/officeDocument/2006/relationships/hyperlink" Target="https://doi.org/10.1111/j.1468-0327.2009.00238.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toycho.rusinov\Desktop\inbreeding\Academic_openness_index\inde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711948218212767E-2"/>
          <c:y val="2.9962546816479401E-2"/>
          <c:w val="0.9080245996504106"/>
          <c:h val="0.86065528325813201"/>
        </c:manualLayout>
      </c:layout>
      <c:scatterChart>
        <c:scatterStyle val="lineMarker"/>
        <c:varyColors val="0"/>
        <c:ser>
          <c:idx val="0"/>
          <c:order val="0"/>
          <c:tx>
            <c:strRef>
              <c:f>index!$L$1</c:f>
              <c:strCache>
                <c:ptCount val="1"/>
                <c:pt idx="0">
                  <c:v>Innovation rank</c:v>
                </c:pt>
              </c:strCache>
            </c:strRef>
          </c:tx>
          <c:spPr>
            <a:ln w="25400" cap="rnd">
              <a:noFill/>
              <a:round/>
            </a:ln>
            <a:effectLst/>
          </c:spPr>
          <c:marker>
            <c:symbol val="diamond"/>
            <c:size val="6"/>
            <c:spPr>
              <a:solidFill>
                <a:schemeClr val="accent1"/>
              </a:solidFill>
              <a:ln w="9525">
                <a:solidFill>
                  <a:schemeClr val="accent1"/>
                </a:solidFill>
                <a:round/>
              </a:ln>
              <a:effectLst/>
            </c:spPr>
          </c:marker>
          <c:dLbls>
            <c:dLbl>
              <c:idx val="0"/>
              <c:layout>
                <c:manualLayout>
                  <c:x val="0"/>
                  <c:y val="-9.46969696969697E-3"/>
                </c:manualLayout>
              </c:layout>
              <c:tx>
                <c:rich>
                  <a:bodyPr/>
                  <a:lstStyle/>
                  <a:p>
                    <a:fld id="{61BFC070-3AA6-49C0-A166-26CEF6F50D7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FA3F-4ECF-BEF4-278D600EC8F6}"/>
                </c:ext>
              </c:extLst>
            </c:dLbl>
            <c:dLbl>
              <c:idx val="1"/>
              <c:tx>
                <c:rich>
                  <a:bodyPr/>
                  <a:lstStyle/>
                  <a:p>
                    <a:fld id="{619DE2B7-C5A4-4C2F-AEC9-CDD17ACE234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FA3F-4ECF-BEF4-278D600EC8F6}"/>
                </c:ext>
              </c:extLst>
            </c:dLbl>
            <c:dLbl>
              <c:idx val="2"/>
              <c:tx>
                <c:rich>
                  <a:bodyPr/>
                  <a:lstStyle/>
                  <a:p>
                    <a:fld id="{696A2923-97D5-4B5F-80BE-69225C7DBEB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FA3F-4ECF-BEF4-278D600EC8F6}"/>
                </c:ext>
              </c:extLst>
            </c:dLbl>
            <c:dLbl>
              <c:idx val="3"/>
              <c:layout>
                <c:manualLayout>
                  <c:x val="-6.0820090249166209E-2"/>
                  <c:y val="-3.4722222222222224E-2"/>
                </c:manualLayout>
              </c:layout>
              <c:tx>
                <c:rich>
                  <a:bodyPr/>
                  <a:lstStyle/>
                  <a:p>
                    <a:fld id="{E61B0B39-D9A4-4E50-9D50-5E5EF356543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FA3F-4ECF-BEF4-278D600EC8F6}"/>
                </c:ext>
              </c:extLst>
            </c:dLbl>
            <c:dLbl>
              <c:idx val="4"/>
              <c:tx>
                <c:rich>
                  <a:bodyPr/>
                  <a:lstStyle/>
                  <a:p>
                    <a:fld id="{BBB77A85-A2A2-48B4-B953-CE5D8872F7A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FA3F-4ECF-BEF4-278D600EC8F6}"/>
                </c:ext>
              </c:extLst>
            </c:dLbl>
            <c:dLbl>
              <c:idx val="5"/>
              <c:tx>
                <c:rich>
                  <a:bodyPr/>
                  <a:lstStyle/>
                  <a:p>
                    <a:fld id="{FE6FC335-B044-4233-8D20-E38B465CF07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FA3F-4ECF-BEF4-278D600EC8F6}"/>
                </c:ext>
              </c:extLst>
            </c:dLbl>
            <c:dLbl>
              <c:idx val="6"/>
              <c:tx>
                <c:rich>
                  <a:bodyPr/>
                  <a:lstStyle/>
                  <a:p>
                    <a:fld id="{980245D3-A3C4-48B7-AB45-299AB8535A2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FA3F-4ECF-BEF4-278D600EC8F6}"/>
                </c:ext>
              </c:extLst>
            </c:dLbl>
            <c:dLbl>
              <c:idx val="7"/>
              <c:delete val="1"/>
              <c:extLst>
                <c:ext xmlns:c15="http://schemas.microsoft.com/office/drawing/2012/chart" uri="{CE6537A1-D6FC-4f65-9D91-7224C49458BB}"/>
                <c:ext xmlns:c16="http://schemas.microsoft.com/office/drawing/2014/chart" uri="{C3380CC4-5D6E-409C-BE32-E72D297353CC}">
                  <c16:uniqueId val="{00000007-FA3F-4ECF-BEF4-278D600EC8F6}"/>
                </c:ext>
              </c:extLst>
            </c:dLbl>
            <c:dLbl>
              <c:idx val="8"/>
              <c:layout>
                <c:manualLayout>
                  <c:x val="-0.10005885815185403"/>
                  <c:y val="6.313131313131313E-3"/>
                </c:manualLayout>
              </c:layout>
              <c:tx>
                <c:rich>
                  <a:bodyPr/>
                  <a:lstStyle/>
                  <a:p>
                    <a:fld id="{A22A82BD-66FC-48C3-B99F-71CAC731E26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FA3F-4ECF-BEF4-278D600EC8F6}"/>
                </c:ext>
              </c:extLst>
            </c:dLbl>
            <c:dLbl>
              <c:idx val="9"/>
              <c:tx>
                <c:rich>
                  <a:bodyPr/>
                  <a:lstStyle/>
                  <a:p>
                    <a:fld id="{047AAE61-B3B3-421D-AD44-AB39679A0F6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FA3F-4ECF-BEF4-278D600EC8F6}"/>
                </c:ext>
              </c:extLst>
            </c:dLbl>
            <c:dLbl>
              <c:idx val="10"/>
              <c:tx>
                <c:rich>
                  <a:bodyPr/>
                  <a:lstStyle/>
                  <a:p>
                    <a:fld id="{5DB2B152-70AA-4568-ADDD-BF32A5BC929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FA3F-4ECF-BEF4-278D600EC8F6}"/>
                </c:ext>
              </c:extLst>
            </c:dLbl>
            <c:dLbl>
              <c:idx val="11"/>
              <c:tx>
                <c:rich>
                  <a:bodyPr/>
                  <a:lstStyle/>
                  <a:p>
                    <a:fld id="{46D599D9-58DD-4F87-8231-418232FCFF9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FA3F-4ECF-BEF4-278D600EC8F6}"/>
                </c:ext>
              </c:extLst>
            </c:dLbl>
            <c:dLbl>
              <c:idx val="12"/>
              <c:tx>
                <c:rich>
                  <a:bodyPr/>
                  <a:lstStyle/>
                  <a:p>
                    <a:fld id="{1E118B21-38F2-4FC4-BCC6-14B1FD7E797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FA3F-4ECF-BEF4-278D600EC8F6}"/>
                </c:ext>
              </c:extLst>
            </c:dLbl>
            <c:dLbl>
              <c:idx val="13"/>
              <c:tx>
                <c:rich>
                  <a:bodyPr/>
                  <a:lstStyle/>
                  <a:p>
                    <a:fld id="{77431559-B941-4327-8837-CFF922B209D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D-FA3F-4ECF-BEF4-278D600EC8F6}"/>
                </c:ext>
              </c:extLst>
            </c:dLbl>
            <c:dLbl>
              <c:idx val="14"/>
              <c:tx>
                <c:rich>
                  <a:bodyPr/>
                  <a:lstStyle/>
                  <a:p>
                    <a:fld id="{E623BF3E-A424-40C6-AAC6-1895E62F615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FA3F-4ECF-BEF4-278D600EC8F6}"/>
                </c:ext>
              </c:extLst>
            </c:dLbl>
            <c:dLbl>
              <c:idx val="15"/>
              <c:delete val="1"/>
              <c:extLst>
                <c:ext xmlns:c15="http://schemas.microsoft.com/office/drawing/2012/chart" uri="{CE6537A1-D6FC-4f65-9D91-7224C49458BB}"/>
                <c:ext xmlns:c16="http://schemas.microsoft.com/office/drawing/2014/chart" uri="{C3380CC4-5D6E-409C-BE32-E72D297353CC}">
                  <c16:uniqueId val="{0000000F-FA3F-4ECF-BEF4-278D600EC8F6}"/>
                </c:ext>
              </c:extLst>
            </c:dLbl>
            <c:dLbl>
              <c:idx val="16"/>
              <c:tx>
                <c:rich>
                  <a:bodyPr/>
                  <a:lstStyle/>
                  <a:p>
                    <a:fld id="{79BFE92E-4E38-4A1B-81E4-8E075B319D0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FA3F-4ECF-BEF4-278D600EC8F6}"/>
                </c:ext>
              </c:extLst>
            </c:dLbl>
            <c:dLbl>
              <c:idx val="17"/>
              <c:tx>
                <c:rich>
                  <a:bodyPr/>
                  <a:lstStyle/>
                  <a:p>
                    <a:fld id="{5DB3904A-76EC-4DC7-BCAC-9628CD27F52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FA3F-4ECF-BEF4-278D600EC8F6}"/>
                </c:ext>
              </c:extLst>
            </c:dLbl>
            <c:dLbl>
              <c:idx val="18"/>
              <c:tx>
                <c:rich>
                  <a:bodyPr/>
                  <a:lstStyle/>
                  <a:p>
                    <a:fld id="{71A27C20-73D3-404D-9B22-7645FA18BD5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FA3F-4ECF-BEF4-278D600EC8F6}"/>
                </c:ext>
              </c:extLst>
            </c:dLbl>
            <c:dLbl>
              <c:idx val="19"/>
              <c:layout>
                <c:manualLayout>
                  <c:x val="5.885815185403178E-3"/>
                  <c:y val="-3.1565656565656565E-3"/>
                </c:manualLayout>
              </c:layout>
              <c:tx>
                <c:rich>
                  <a:bodyPr/>
                  <a:lstStyle/>
                  <a:p>
                    <a:fld id="{F931A602-3E15-4725-B16B-D2B7845EC09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FA3F-4ECF-BEF4-278D600EC8F6}"/>
                </c:ext>
              </c:extLst>
            </c:dLbl>
            <c:dLbl>
              <c:idx val="20"/>
              <c:tx>
                <c:rich>
                  <a:bodyPr/>
                  <a:lstStyle/>
                  <a:p>
                    <a:fld id="{A78D8E09-99ED-4722-BCF4-DE327261BEB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FA3F-4ECF-BEF4-278D600EC8F6}"/>
                </c:ext>
              </c:extLst>
            </c:dLbl>
            <c:dLbl>
              <c:idx val="21"/>
              <c:tx>
                <c:rich>
                  <a:bodyPr/>
                  <a:lstStyle/>
                  <a:p>
                    <a:fld id="{470FB52C-9855-4D6E-A9C0-7A4C3FDC5B5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FA3F-4ECF-BEF4-278D600EC8F6}"/>
                </c:ext>
              </c:extLst>
            </c:dLbl>
            <c:dLbl>
              <c:idx val="22"/>
              <c:delete val="1"/>
              <c:extLst>
                <c:ext xmlns:c15="http://schemas.microsoft.com/office/drawing/2012/chart" uri="{CE6537A1-D6FC-4f65-9D91-7224C49458BB}"/>
                <c:ext xmlns:c16="http://schemas.microsoft.com/office/drawing/2014/chart" uri="{C3380CC4-5D6E-409C-BE32-E72D297353CC}">
                  <c16:uniqueId val="{00000016-FA3F-4ECF-BEF4-278D600EC8F6}"/>
                </c:ext>
              </c:extLst>
            </c:dLbl>
            <c:dLbl>
              <c:idx val="23"/>
              <c:tx>
                <c:rich>
                  <a:bodyPr/>
                  <a:lstStyle/>
                  <a:p>
                    <a:fld id="{196E2C7D-29A0-45E8-8EE6-4FE035FB024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FA3F-4ECF-BEF4-278D600EC8F6}"/>
                </c:ext>
              </c:extLst>
            </c:dLbl>
            <c:dLbl>
              <c:idx val="24"/>
              <c:tx>
                <c:rich>
                  <a:bodyPr/>
                  <a:lstStyle/>
                  <a:p>
                    <a:fld id="{8F7B796C-34DD-4A42-B024-BEB2B4E237D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FA3F-4ECF-BEF4-278D600EC8F6}"/>
                </c:ext>
              </c:extLst>
            </c:dLbl>
            <c:dLbl>
              <c:idx val="25"/>
              <c:tx>
                <c:rich>
                  <a:bodyPr/>
                  <a:lstStyle/>
                  <a:p>
                    <a:fld id="{AD31E598-3B24-4438-9AFA-D7AD9F2E494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9-FA3F-4ECF-BEF4-278D600EC8F6}"/>
                </c:ext>
              </c:extLst>
            </c:dLbl>
            <c:dLbl>
              <c:idx val="26"/>
              <c:delete val="1"/>
              <c:extLst>
                <c:ext xmlns:c15="http://schemas.microsoft.com/office/drawing/2012/chart" uri="{CE6537A1-D6FC-4f65-9D91-7224C49458BB}"/>
                <c:ext xmlns:c16="http://schemas.microsoft.com/office/drawing/2014/chart" uri="{C3380CC4-5D6E-409C-BE32-E72D297353CC}">
                  <c16:uniqueId val="{0000001A-FA3F-4ECF-BEF4-278D600EC8F6}"/>
                </c:ext>
              </c:extLst>
            </c:dLbl>
            <c:dLbl>
              <c:idx val="27"/>
              <c:tx>
                <c:rich>
                  <a:bodyPr/>
                  <a:lstStyle/>
                  <a:p>
                    <a:fld id="{F8A15705-136C-459A-8D21-4CF2CCB7D4D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B-FA3F-4ECF-BEF4-278D600EC8F6}"/>
                </c:ext>
              </c:extLst>
            </c:dLbl>
            <c:dLbl>
              <c:idx val="28"/>
              <c:tx>
                <c:rich>
                  <a:bodyPr/>
                  <a:lstStyle/>
                  <a:p>
                    <a:fld id="{22B9F2C6-36D9-4E41-858B-7E05B0D35A6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C-FA3F-4ECF-BEF4-278D600EC8F6}"/>
                </c:ext>
              </c:extLst>
            </c:dLbl>
            <c:dLbl>
              <c:idx val="29"/>
              <c:tx>
                <c:rich>
                  <a:bodyPr/>
                  <a:lstStyle/>
                  <a:p>
                    <a:fld id="{69D70F86-2A19-4C82-B4C8-93FFCE3A78F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D-FA3F-4ECF-BEF4-278D600EC8F6}"/>
                </c:ext>
              </c:extLst>
            </c:dLbl>
            <c:dLbl>
              <c:idx val="30"/>
              <c:tx>
                <c:rich>
                  <a:bodyPr/>
                  <a:lstStyle/>
                  <a:p>
                    <a:fld id="{AADC452D-1CCB-423E-949A-6A4AB705519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E-FA3F-4ECF-BEF4-278D600EC8F6}"/>
                </c:ext>
              </c:extLst>
            </c:dLbl>
            <c:dLbl>
              <c:idx val="31"/>
              <c:tx>
                <c:rich>
                  <a:bodyPr/>
                  <a:lstStyle/>
                  <a:p>
                    <a:fld id="{54F88B38-05D1-451F-B558-1E90C0404CE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F-FA3F-4ECF-BEF4-278D600EC8F6}"/>
                </c:ext>
              </c:extLst>
            </c:dLbl>
            <c:dLbl>
              <c:idx val="32"/>
              <c:tx>
                <c:rich>
                  <a:bodyPr/>
                  <a:lstStyle/>
                  <a:p>
                    <a:fld id="{04286EF8-12E2-4BC4-9B5C-1F34FFBEAA2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0-FA3F-4ECF-BEF4-278D600EC8F6}"/>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trendline>
            <c:spPr>
              <a:ln w="25400" cap="rnd" cmpd="thickThin">
                <a:solidFill>
                  <a:schemeClr val="accent1"/>
                </a:solidFill>
                <a:prstDash val="dash"/>
              </a:ln>
              <a:effectLst/>
            </c:spPr>
            <c:trendlineType val="linear"/>
            <c:dispRSqr val="1"/>
            <c:dispEq val="1"/>
            <c:trendlineLbl>
              <c:layout>
                <c:manualLayout>
                  <c:x val="0.10940278286285433"/>
                  <c:y val="-0.70739431718762424"/>
                </c:manualLayout>
              </c:layout>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 Innovations rank=25,7 - 9,64*Academic opennes</a:t>
                    </a:r>
                    <a:br>
                      <a:rPr lang="en-US"/>
                    </a:br>
                    <a:r>
                      <a:rPr lang="en-US"/>
                      <a:t>	R² = 0,32</a:t>
                    </a:r>
                  </a:p>
                </c:rich>
              </c:tx>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index!$K$2:$K$34</c:f>
              <c:numCache>
                <c:formatCode>General</c:formatCode>
                <c:ptCount val="33"/>
                <c:pt idx="0">
                  <c:v>-0.73770139731046203</c:v>
                </c:pt>
                <c:pt idx="1">
                  <c:v>-0.58261358734480539</c:v>
                </c:pt>
                <c:pt idx="2">
                  <c:v>0.86006721827033095</c:v>
                </c:pt>
                <c:pt idx="3">
                  <c:v>-0.79448548503095218</c:v>
                </c:pt>
                <c:pt idx="4">
                  <c:v>-0.7448582672797498</c:v>
                </c:pt>
                <c:pt idx="5">
                  <c:v>-0.21742048031843611</c:v>
                </c:pt>
                <c:pt idx="6">
                  <c:v>-0.63282393580027707</c:v>
                </c:pt>
                <c:pt idx="7">
                  <c:v>0.20544620380032849</c:v>
                </c:pt>
                <c:pt idx="8">
                  <c:v>-0.78215981131330337</c:v>
                </c:pt>
                <c:pt idx="9">
                  <c:v>-0.43509204205928559</c:v>
                </c:pt>
                <c:pt idx="10">
                  <c:v>-0.89819717803737353</c:v>
                </c:pt>
                <c:pt idx="11">
                  <c:v>3.4866479790598111</c:v>
                </c:pt>
                <c:pt idx="12">
                  <c:v>9.0874084702932345E-2</c:v>
                </c:pt>
                <c:pt idx="13">
                  <c:v>-0.44190490579950331</c:v>
                </c:pt>
                <c:pt idx="14">
                  <c:v>0.38114040209381339</c:v>
                </c:pt>
                <c:pt idx="15">
                  <c:v>-0.21442947507149551</c:v>
                </c:pt>
                <c:pt idx="16">
                  <c:v>0.16909655718766789</c:v>
                </c:pt>
                <c:pt idx="17">
                  <c:v>0.2213471207354698</c:v>
                </c:pt>
                <c:pt idx="18">
                  <c:v>-0.35746388942701662</c:v>
                </c:pt>
                <c:pt idx="19">
                  <c:v>-0.53751157540406636</c:v>
                </c:pt>
                <c:pt idx="20">
                  <c:v>0.51389281505272677</c:v>
                </c:pt>
                <c:pt idx="21">
                  <c:v>-1.0979408544067839</c:v>
                </c:pt>
                <c:pt idx="22">
                  <c:v>0.3449782832945742</c:v>
                </c:pt>
                <c:pt idx="23">
                  <c:v>0.52964478936760784</c:v>
                </c:pt>
                <c:pt idx="24">
                  <c:v>0.36136653494264231</c:v>
                </c:pt>
                <c:pt idx="25">
                  <c:v>0.58272470411958832</c:v>
                </c:pt>
                <c:pt idx="26">
                  <c:v>-0.2212278515105664</c:v>
                </c:pt>
                <c:pt idx="27">
                  <c:v>0.58403892756910591</c:v>
                </c:pt>
                <c:pt idx="28">
                  <c:v>2.139169834382864</c:v>
                </c:pt>
                <c:pt idx="29">
                  <c:v>-0.75442915879931682</c:v>
                </c:pt>
                <c:pt idx="30">
                  <c:v>-0.86152896602845042</c:v>
                </c:pt>
                <c:pt idx="31">
                  <c:v>-4.0363575250692403E-2</c:v>
                </c:pt>
                <c:pt idx="32">
                  <c:v>-0.1182830183869264</c:v>
                </c:pt>
              </c:numCache>
            </c:numRef>
          </c:xVal>
          <c:yVal>
            <c:numRef>
              <c:f>index!$L$2:$L$34</c:f>
              <c:numCache>
                <c:formatCode>General</c:formatCode>
                <c:ptCount val="33"/>
                <c:pt idx="0">
                  <c:v>36</c:v>
                </c:pt>
                <c:pt idx="1">
                  <c:v>40</c:v>
                </c:pt>
                <c:pt idx="2">
                  <c:v>11</c:v>
                </c:pt>
                <c:pt idx="3">
                  <c:v>43</c:v>
                </c:pt>
                <c:pt idx="4">
                  <c:v>63</c:v>
                </c:pt>
                <c:pt idx="5">
                  <c:v>30</c:v>
                </c:pt>
                <c:pt idx="6">
                  <c:v>44</c:v>
                </c:pt>
                <c:pt idx="7">
                  <c:v>23</c:v>
                </c:pt>
                <c:pt idx="8">
                  <c:v>42</c:v>
                </c:pt>
                <c:pt idx="9">
                  <c:v>46</c:v>
                </c:pt>
                <c:pt idx="10">
                  <c:v>50</c:v>
                </c:pt>
                <c:pt idx="11">
                  <c:v>17</c:v>
                </c:pt>
                <c:pt idx="12">
                  <c:v>38</c:v>
                </c:pt>
                <c:pt idx="13">
                  <c:v>25</c:v>
                </c:pt>
                <c:pt idx="14">
                  <c:v>18</c:v>
                </c:pt>
                <c:pt idx="15">
                  <c:v>30</c:v>
                </c:pt>
                <c:pt idx="16">
                  <c:v>13</c:v>
                </c:pt>
                <c:pt idx="17">
                  <c:v>5</c:v>
                </c:pt>
                <c:pt idx="18">
                  <c:v>33</c:v>
                </c:pt>
                <c:pt idx="19">
                  <c:v>35</c:v>
                </c:pt>
                <c:pt idx="20">
                  <c:v>6</c:v>
                </c:pt>
                <c:pt idx="21">
                  <c:v>37</c:v>
                </c:pt>
                <c:pt idx="22">
                  <c:v>19</c:v>
                </c:pt>
                <c:pt idx="23">
                  <c:v>15</c:v>
                </c:pt>
                <c:pt idx="24">
                  <c:v>2</c:v>
                </c:pt>
                <c:pt idx="25">
                  <c:v>24</c:v>
                </c:pt>
                <c:pt idx="26">
                  <c:v>32</c:v>
                </c:pt>
                <c:pt idx="27">
                  <c:v>9</c:v>
                </c:pt>
                <c:pt idx="28">
                  <c:v>1</c:v>
                </c:pt>
                <c:pt idx="29">
                  <c:v>6</c:v>
                </c:pt>
                <c:pt idx="30">
                  <c:v>20</c:v>
                </c:pt>
                <c:pt idx="31">
                  <c:v>22</c:v>
                </c:pt>
                <c:pt idx="32">
                  <c:v>12</c:v>
                </c:pt>
              </c:numCache>
            </c:numRef>
          </c:yVal>
          <c:smooth val="0"/>
          <c:extLst>
            <c:ext xmlns:c15="http://schemas.microsoft.com/office/drawing/2012/chart" uri="{02D57815-91ED-43cb-92C2-25804820EDAC}">
              <c15:datalabelsRange>
                <c15:f>index!$A$2:$A$34</c15:f>
                <c15:dlblRangeCache>
                  <c:ptCount val="33"/>
                  <c:pt idx="0">
                    <c:v>Latvia</c:v>
                  </c:pt>
                  <c:pt idx="1">
                    <c:v>Lithuania</c:v>
                  </c:pt>
                  <c:pt idx="2">
                    <c:v>Iceland</c:v>
                  </c:pt>
                  <c:pt idx="3">
                    <c:v>Poland</c:v>
                  </c:pt>
                  <c:pt idx="4">
                    <c:v>Greece</c:v>
                  </c:pt>
                  <c:pt idx="5">
                    <c:v>Slovenia</c:v>
                  </c:pt>
                  <c:pt idx="6">
                    <c:v>Croatia</c:v>
                  </c:pt>
                  <c:pt idx="7">
                    <c:v>Estonia</c:v>
                  </c:pt>
                  <c:pt idx="8">
                    <c:v>Bulgaria</c:v>
                  </c:pt>
                  <c:pt idx="9">
                    <c:v>Slovak Republic</c:v>
                  </c:pt>
                  <c:pt idx="10">
                    <c:v>Romania</c:v>
                  </c:pt>
                  <c:pt idx="11">
                    <c:v>Luxembourg</c:v>
                  </c:pt>
                  <c:pt idx="12">
                    <c:v>Chile</c:v>
                  </c:pt>
                  <c:pt idx="13">
                    <c:v>Hungary</c:v>
                  </c:pt>
                  <c:pt idx="14">
                    <c:v>Norway</c:v>
                  </c:pt>
                  <c:pt idx="15">
                    <c:v>Czechia</c:v>
                  </c:pt>
                  <c:pt idx="16">
                    <c:v>Ireland</c:v>
                  </c:pt>
                  <c:pt idx="17">
                    <c:v>Finland</c:v>
                  </c:pt>
                  <c:pt idx="18">
                    <c:v>Portugal</c:v>
                  </c:pt>
                  <c:pt idx="19">
                    <c:v>Italy</c:v>
                  </c:pt>
                  <c:pt idx="20">
                    <c:v>Denmark</c:v>
                  </c:pt>
                  <c:pt idx="21">
                    <c:v>Türkiye</c:v>
                  </c:pt>
                  <c:pt idx="22">
                    <c:v>Austria</c:v>
                  </c:pt>
                  <c:pt idx="23">
                    <c:v>New Zealand</c:v>
                  </c:pt>
                  <c:pt idx="24">
                    <c:v>Sweden</c:v>
                  </c:pt>
                  <c:pt idx="25">
                    <c:v>Belgium</c:v>
                  </c:pt>
                  <c:pt idx="26">
                    <c:v>Spain</c:v>
                  </c:pt>
                  <c:pt idx="27">
                    <c:v>Netherlands</c:v>
                  </c:pt>
                  <c:pt idx="28">
                    <c:v>Switzerland</c:v>
                  </c:pt>
                  <c:pt idx="29">
                    <c:v>Korea</c:v>
                  </c:pt>
                  <c:pt idx="30">
                    <c:v>Japan</c:v>
                  </c:pt>
                  <c:pt idx="31">
                    <c:v>France</c:v>
                  </c:pt>
                  <c:pt idx="32">
                    <c:v>Germany</c:v>
                  </c:pt>
                </c15:dlblRangeCache>
              </c15:datalabelsRange>
            </c:ext>
            <c:ext xmlns:c16="http://schemas.microsoft.com/office/drawing/2014/chart" uri="{C3380CC4-5D6E-409C-BE32-E72D297353CC}">
              <c16:uniqueId val="{00000022-FA3F-4ECF-BEF4-278D600EC8F6}"/>
            </c:ext>
          </c:extLst>
        </c:ser>
        <c:dLbls>
          <c:showLegendKey val="0"/>
          <c:showVal val="0"/>
          <c:showCatName val="0"/>
          <c:showSerName val="0"/>
          <c:showPercent val="0"/>
          <c:showBubbleSize val="0"/>
        </c:dLbls>
        <c:axId val="963972400"/>
        <c:axId val="792482176"/>
      </c:scatterChart>
      <c:valAx>
        <c:axId val="963972400"/>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Academic opennes index</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92482176"/>
        <c:crosses val="autoZero"/>
        <c:crossBetween val="midCat"/>
      </c:valAx>
      <c:valAx>
        <c:axId val="792482176"/>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Innovation Rank </a:t>
                </a:r>
                <a:r>
                  <a:rPr lang="bg-BG" b="1"/>
                  <a:t>(</a:t>
                </a:r>
                <a:r>
                  <a:rPr lang="en-US" b="1"/>
                  <a:t>WIPO</a:t>
                </a:r>
                <a:r>
                  <a:rPr lang="bg-BG" b="1"/>
                  <a:t>)</a:t>
                </a:r>
                <a:endParaRPr lang="en-US" b="1"/>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96397240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9E375-E4A6-4F8B-8E02-ADD0CE28A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Vasilidis</dc:creator>
  <cp:keywords/>
  <dc:description/>
  <cp:lastModifiedBy>Stoycho Rusinov</cp:lastModifiedBy>
  <cp:revision>107</cp:revision>
  <cp:lastPrinted>2026-03-30T13:58:00Z</cp:lastPrinted>
  <dcterms:created xsi:type="dcterms:W3CDTF">2026-03-23T07:44:00Z</dcterms:created>
  <dcterms:modified xsi:type="dcterms:W3CDTF">2026-03-30T13:58:00Z</dcterms:modified>
</cp:coreProperties>
</file>