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A40F" w14:textId="77777777" w:rsidR="00BC3C05" w:rsidRPr="00BC3C05" w:rsidRDefault="00BC3C05" w:rsidP="00BC3C0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bookmarkStart w:id="0" w:name="X06623678e4ae73c3f8866bbeacc0ba14b9d114b"/>
      <w:r w:rsidRPr="00BC3C05">
        <w:rPr>
          <w:rFonts w:ascii="Times New Roman" w:eastAsia="Times New Roman" w:hAnsi="Times New Roman" w:cs="Times New Roman"/>
          <w:b/>
          <w:bCs/>
          <w:kern w:val="36"/>
          <w:sz w:val="48"/>
          <w:szCs w:val="48"/>
          <w:lang w:eastAsia="en-GB"/>
        </w:rPr>
        <w:t>The Brexit Tuition Shock and the Price Elasticity of International Students: Evidence from a Natural Experiment</w:t>
      </w:r>
    </w:p>
    <w:p w14:paraId="38F5A1C0" w14:textId="77777777" w:rsidR="00BC3C05" w:rsidRPr="00BC3C05" w:rsidRDefault="00BC3C05" w:rsidP="00BC3C05">
      <w:pPr>
        <w:spacing w:after="0" w:line="24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Stoycho Rusinov</w:t>
      </w:r>
      <w:r w:rsidRPr="00BC3C05">
        <w:rPr>
          <w:rFonts w:ascii="Times New Roman" w:hAnsi="Times New Roman" w:cs="Times New Roman"/>
          <w:kern w:val="2"/>
          <w:sz w:val="24"/>
          <w:szCs w:val="24"/>
          <w:vertAlign w:val="superscript"/>
          <w14:ligatures w14:val="standardContextual"/>
        </w:rPr>
        <w:t>*</w:t>
      </w:r>
    </w:p>
    <w:p w14:paraId="424B1579" w14:textId="77777777" w:rsidR="00BC3C05" w:rsidRDefault="00BC3C05" w:rsidP="00BC3C05">
      <w:pPr>
        <w:spacing w:after="0" w:line="240" w:lineRule="auto"/>
        <w:jc w:val="center"/>
        <w:rPr>
          <w:rFonts w:ascii="Times New Roman" w:hAnsi="Times New Roman" w:cs="Times New Roman"/>
          <w:kern w:val="2"/>
          <w:sz w:val="24"/>
          <w:szCs w:val="24"/>
          <w:vertAlign w:val="superscript"/>
          <w14:ligatures w14:val="standardContextual"/>
        </w:rPr>
      </w:pPr>
      <w:r w:rsidRPr="00BC3C05">
        <w:rPr>
          <w:rFonts w:ascii="Times New Roman" w:hAnsi="Times New Roman" w:cs="Times New Roman"/>
          <w:kern w:val="2"/>
          <w:sz w:val="24"/>
          <w:szCs w:val="24"/>
          <w14:ligatures w14:val="standardContextual"/>
        </w:rPr>
        <w:t>James Rafiki Aketch</w:t>
      </w:r>
      <w:r w:rsidRPr="00BC3C05">
        <w:rPr>
          <w:rFonts w:ascii="Times New Roman" w:hAnsi="Times New Roman" w:cs="Times New Roman"/>
          <w:kern w:val="2"/>
          <w:sz w:val="24"/>
          <w:szCs w:val="24"/>
          <w:vertAlign w:val="superscript"/>
          <w14:ligatures w14:val="standardContextual"/>
        </w:rPr>
        <w:t>**</w:t>
      </w:r>
    </w:p>
    <w:p w14:paraId="55838AD0" w14:textId="77777777" w:rsidR="00BC3C05" w:rsidRPr="00BC3C05" w:rsidRDefault="00BC3C05" w:rsidP="00BC3C05">
      <w:pPr>
        <w:spacing w:after="0" w:line="240" w:lineRule="auto"/>
        <w:jc w:val="center"/>
        <w:rPr>
          <w:rFonts w:ascii="Times New Roman" w:hAnsi="Times New Roman" w:cs="Times New Roman"/>
          <w:kern w:val="2"/>
          <w:sz w:val="24"/>
          <w:szCs w:val="24"/>
          <w14:ligatures w14:val="standardContextual"/>
        </w:rPr>
      </w:pPr>
    </w:p>
    <w:p w14:paraId="32712ED2" w14:textId="77777777" w:rsidR="00BC3C05" w:rsidRPr="00BC3C05" w:rsidRDefault="00BC3C05" w:rsidP="00BC3C05">
      <w:pPr>
        <w:spacing w:after="0" w:line="24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w:t>
      </w:r>
      <w:r w:rsidRPr="00BC3C05">
        <w:rPr>
          <w:rFonts w:ascii="Times New Roman" w:hAnsi="Times New Roman" w:cs="Times New Roman"/>
          <w:i/>
          <w:iCs/>
          <w:kern w:val="2"/>
          <w:sz w:val="24"/>
          <w:szCs w:val="24"/>
          <w14:ligatures w14:val="standardContextual"/>
        </w:rPr>
        <w:t>Center for the Study of Democracy, Sofia</w:t>
      </w:r>
    </w:p>
    <w:p w14:paraId="3B1DFF4A" w14:textId="77777777" w:rsidR="00BC3C05" w:rsidRPr="00BC3C05" w:rsidRDefault="00BC3C05" w:rsidP="00BC3C05">
      <w:pPr>
        <w:spacing w:after="0" w:line="240" w:lineRule="auto"/>
        <w:jc w:val="center"/>
        <w:rPr>
          <w:rFonts w:ascii="Times New Roman" w:hAnsi="Times New Roman" w:cs="Times New Roman"/>
          <w:kern w:val="2"/>
          <w:sz w:val="24"/>
          <w:szCs w:val="24"/>
          <w14:ligatures w14:val="standardContextual"/>
        </w:rPr>
      </w:pPr>
      <w:r>
        <w:rPr>
          <w:rFonts w:ascii="Times New Roman" w:hAnsi="Times New Roman" w:cs="Times New Roman"/>
          <w:i/>
          <w:iCs/>
          <w:kern w:val="2"/>
          <w:sz w:val="24"/>
          <w:szCs w:val="24"/>
          <w14:ligatures w14:val="standardContextual"/>
        </w:rPr>
        <w:t>University of Mannheim</w:t>
      </w:r>
      <w:r w:rsidRPr="00BC3C05">
        <w:rPr>
          <w:rFonts w:ascii="Times New Roman" w:hAnsi="Times New Roman" w:cs="Times New Roman"/>
          <w:i/>
          <w:iCs/>
          <w:kern w:val="2"/>
          <w:sz w:val="24"/>
          <w:szCs w:val="24"/>
          <w14:ligatures w14:val="standardContextual"/>
        </w:rPr>
        <w:t xml:space="preserve">, </w:t>
      </w:r>
      <w:r>
        <w:rPr>
          <w:rFonts w:ascii="Times New Roman" w:hAnsi="Times New Roman" w:cs="Times New Roman"/>
          <w:i/>
          <w:iCs/>
          <w:kern w:val="2"/>
          <w:sz w:val="24"/>
          <w:szCs w:val="24"/>
          <w14:ligatures w14:val="standardContextual"/>
        </w:rPr>
        <w:t>Germany</w:t>
      </w:r>
    </w:p>
    <w:p w14:paraId="08D77AED" w14:textId="77777777" w:rsidR="00BC3C05" w:rsidRPr="00BC3C05" w:rsidRDefault="00BC3C05" w:rsidP="00BC3C05">
      <w:pPr>
        <w:spacing w:after="0" w:line="240" w:lineRule="auto"/>
        <w:jc w:val="center"/>
        <w:rPr>
          <w:rFonts w:ascii="Times New Roman" w:hAnsi="Times New Roman" w:cs="Times New Roman"/>
          <w:color w:val="0563C1" w:themeColor="hyperlink"/>
          <w:kern w:val="2"/>
          <w:sz w:val="24"/>
          <w:szCs w:val="24"/>
          <w:u w:val="single"/>
          <w14:ligatures w14:val="standardContextual"/>
        </w:rPr>
      </w:pPr>
      <w:r w:rsidRPr="00BC3C05">
        <w:rPr>
          <w:rFonts w:ascii="Times New Roman" w:hAnsi="Times New Roman" w:cs="Times New Roman"/>
          <w:kern w:val="2"/>
          <w:sz w:val="24"/>
          <w:szCs w:val="24"/>
          <w14:ligatures w14:val="standardContextual"/>
        </w:rPr>
        <w:t xml:space="preserve">email: </w:t>
      </w:r>
      <w:hyperlink r:id="rId8">
        <w:r w:rsidRPr="00BC3C05">
          <w:rPr>
            <w:rFonts w:ascii="Times New Roman" w:hAnsi="Times New Roman" w:cs="Times New Roman"/>
            <w:color w:val="0563C1" w:themeColor="hyperlink"/>
            <w:kern w:val="2"/>
            <w:sz w:val="24"/>
            <w:szCs w:val="24"/>
            <w:u w:val="single"/>
            <w14:ligatures w14:val="standardContextual"/>
          </w:rPr>
          <w:t>stoycho.rusinov@csd.eu</w:t>
        </w:r>
      </w:hyperlink>
    </w:p>
    <w:p w14:paraId="4D937CAF" w14:textId="77777777" w:rsidR="00BC3C05" w:rsidRPr="00BC3C05" w:rsidRDefault="00BC3C05" w:rsidP="00BC3C05">
      <w:pPr>
        <w:spacing w:after="0" w:line="240" w:lineRule="auto"/>
        <w:jc w:val="center"/>
        <w:rPr>
          <w:rFonts w:ascii="Times New Roman" w:hAnsi="Times New Roman" w:cs="Times New Roman"/>
          <w:kern w:val="2"/>
          <w:sz w:val="24"/>
          <w:szCs w:val="24"/>
          <w14:ligatures w14:val="standardContextual"/>
        </w:rPr>
      </w:pPr>
    </w:p>
    <w:p w14:paraId="2E233452" w14:textId="77777777" w:rsidR="00BC3C05" w:rsidRPr="00BC3C05" w:rsidRDefault="00BC3C05" w:rsidP="00BC3C05">
      <w:pPr>
        <w:spacing w:after="0" w:line="360" w:lineRule="auto"/>
        <w:jc w:val="center"/>
        <w:rPr>
          <w:rFonts w:ascii="Times New Roman" w:hAnsi="Times New Roman" w:cs="Times New Roman"/>
          <w:i/>
          <w:iCs/>
          <w:kern w:val="2"/>
          <w:sz w:val="24"/>
          <w:szCs w:val="24"/>
          <w14:ligatures w14:val="standardContextual"/>
        </w:rPr>
      </w:pPr>
      <w:r w:rsidRPr="00BC3C05">
        <w:rPr>
          <w:rFonts w:ascii="Times New Roman" w:hAnsi="Times New Roman" w:cs="Times New Roman"/>
          <w:kern w:val="2"/>
          <w:sz w:val="24"/>
          <w:szCs w:val="24"/>
          <w14:ligatures w14:val="standardContextual"/>
        </w:rPr>
        <w:t>**</w:t>
      </w:r>
      <w:r w:rsidRPr="00BC3C05">
        <w:rPr>
          <w:rFonts w:ascii="Times New Roman" w:hAnsi="Times New Roman" w:cs="Times New Roman"/>
          <w:i/>
          <w:iCs/>
          <w:kern w:val="2"/>
          <w:sz w:val="24"/>
          <w:szCs w:val="24"/>
          <w14:ligatures w14:val="standardContextual"/>
        </w:rPr>
        <w:t>School of Economics, University College Dublin</w:t>
      </w:r>
    </w:p>
    <w:p w14:paraId="179AF31A"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p>
    <w:p w14:paraId="2E6CE099"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u w:val="single"/>
          <w14:ligatures w14:val="standardContextual"/>
        </w:rPr>
        <w:t>ABSTRACT</w:t>
      </w:r>
    </w:p>
    <w:p w14:paraId="21F1113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253A5A">
        <w:rPr>
          <w:rFonts w:ascii="Times New Roman" w:hAnsi="Times New Roman" w:cs="Times New Roman"/>
          <w:kern w:val="2"/>
          <w:sz w:val="24"/>
          <w:szCs w:val="24"/>
          <w:highlight w:val="red"/>
          <w14:ligatures w14:val="standardContextual"/>
        </w:rPr>
        <w:t>This paper estimates the price elasticity of EU demand for UK higher education using the Brexit-induced loss of Home Fee status and student-loan access as a quasi-experimental tuition shock. Unlike standard demand studies that rely on enrollment outcomes, the analysis uses UCAS application data, so demand is observed before universities ration admissions. We derive country specific elasticities ranging from 0.40 to about 2.5 for some countries and argue that previous estimates are insufficient to explain what happened after the fee hikes in 2021. The average post-Brexit treatment effect implies a roughly 67 percent decline in applicant numbers, with substantial variation across EU origin countries. Under a common price shock, applicants from lower-income member states appear more responsive. Once the same treatment effects and corresponding demand elasticities are rescaled using country-specific effective price shocks that account for the removal of income-contingent loans, the income gradient becomes statistically indistinguishable from zero. We demonstrate that much of the apparent cross-country heterogeneity in country-specific elasticities  is therefore consistent with heterogeneous treatment intensity. The UK student-loan system functioned as an equalizing institution for European educational mobility, and its removal turned a nominally uniform reform into an uneven economic shock. Exploratory bivariate results also associate loan-adjusted elasticities with education spending, with higher spending linked to greater residual price responsiveness, suggesting stronger domestic substitution opportunities and greater educational sovereignty.</w:t>
      </w:r>
      <w:r w:rsidRPr="00BC3C05">
        <w:rPr>
          <w:rFonts w:ascii="Times New Roman" w:hAnsi="Times New Roman" w:cs="Times New Roman"/>
          <w:kern w:val="2"/>
          <w:sz w:val="24"/>
          <w:szCs w:val="24"/>
          <w14:ligatures w14:val="standardContextual"/>
        </w:rPr>
        <w:t xml:space="preserve"> </w:t>
      </w:r>
    </w:p>
    <w:p w14:paraId="382F523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0A70CD0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JEL codes</w:t>
      </w:r>
      <w:r w:rsidRPr="00BC3C05">
        <w:rPr>
          <w:rFonts w:ascii="Times New Roman" w:hAnsi="Times New Roman" w:cs="Times New Roman"/>
          <w:kern w:val="2"/>
          <w:sz w:val="24"/>
          <w:szCs w:val="24"/>
          <w14:ligatures w14:val="standardContextual"/>
        </w:rPr>
        <w:t>: I22; I23; F22; J61; D12; C23</w:t>
      </w:r>
    </w:p>
    <w:p w14:paraId="2476A4B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lastRenderedPageBreak/>
        <w:t>Keywords:</w:t>
      </w:r>
      <w:r w:rsidRPr="00BC3C05">
        <w:rPr>
          <w:rFonts w:ascii="Times New Roman" w:hAnsi="Times New Roman" w:cs="Times New Roman"/>
          <w:kern w:val="2"/>
          <w:sz w:val="24"/>
          <w:szCs w:val="24"/>
          <w14:ligatures w14:val="standardContextual"/>
        </w:rPr>
        <w:t xml:space="preserve"> Brexit; international student mobility; higher education demand; tuition fees; price elasticity; EU students; UCAS applicants; difference-in-differences; synthetic control; income-contingent loans; educational mobility; heterogeneous treatment effects.</w:t>
      </w:r>
    </w:p>
    <w:p w14:paraId="7698ECA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63BB67AE" w14:textId="77777777" w:rsidR="00BC3C05" w:rsidRPr="00BC3C05" w:rsidRDefault="00BC3C05" w:rsidP="00BC3C05">
      <w:pPr>
        <w:numPr>
          <w:ilvl w:val="0"/>
          <w:numId w:val="1"/>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Introduction</w:t>
      </w:r>
    </w:p>
    <w:p w14:paraId="27857413" w14:textId="77777777" w:rsidR="00BC3C05" w:rsidRPr="00253A5A" w:rsidRDefault="00BC3C05" w:rsidP="00BC3C05">
      <w:pPr>
        <w:spacing w:after="0" w:line="360" w:lineRule="auto"/>
        <w:rPr>
          <w:rFonts w:ascii="Times New Roman" w:hAnsi="Times New Roman" w:cs="Times New Roman"/>
          <w:kern w:val="2"/>
          <w:sz w:val="24"/>
          <w:szCs w:val="24"/>
          <w:highlight w:val="red"/>
          <w14:ligatures w14:val="standardContextual"/>
        </w:rPr>
      </w:pPr>
      <w:r w:rsidRPr="00253A5A">
        <w:rPr>
          <w:rFonts w:ascii="Times New Roman" w:hAnsi="Times New Roman" w:cs="Times New Roman"/>
          <w:kern w:val="2"/>
          <w:sz w:val="24"/>
          <w:szCs w:val="24"/>
          <w:highlight w:val="red"/>
          <w14:ligatures w14:val="standardContextual"/>
        </w:rPr>
        <w:t xml:space="preserve">International higher-education demand studies struggle to isolate own-price elasticity because elasticity calculations typically rely on enrollment changes in response to price shifts, lack sufficient exogenous price variation to isolate the coefficient or suffer both problems at once. 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127). Standard demand models using enrollment data therefore conflate the desire to attend with the university’s choice to admit. Similar problems have proliferated across studies such as </w:t>
      </w:r>
      <w:proofErr w:type="spellStart"/>
      <w:r w:rsidRPr="00253A5A">
        <w:rPr>
          <w:rFonts w:ascii="Times New Roman" w:hAnsi="Times New Roman" w:cs="Times New Roman"/>
          <w:kern w:val="2"/>
          <w:sz w:val="24"/>
          <w:szCs w:val="24"/>
          <w:highlight w:val="red"/>
          <w14:ligatures w14:val="standardContextual"/>
        </w:rPr>
        <w:t>McQuone</w:t>
      </w:r>
      <w:proofErr w:type="spellEnd"/>
      <w:r w:rsidRPr="00253A5A">
        <w:rPr>
          <w:rFonts w:ascii="Times New Roman" w:hAnsi="Times New Roman" w:cs="Times New Roman"/>
          <w:kern w:val="2"/>
          <w:sz w:val="24"/>
          <w:szCs w:val="24"/>
          <w:highlight w:val="red"/>
          <w14:ligatures w14:val="standardContextual"/>
        </w:rPr>
        <w:t xml:space="preserve"> and Simons (2025), which extend Conlon et al. (2021) and produce elasticities too small to explain the collapse in EU applicant numbers after the 2021 Brexit-related tuition hikes in the United Kingdom.</w:t>
      </w:r>
    </w:p>
    <w:p w14:paraId="45C2CC07" w14:textId="77777777" w:rsidR="00BC3C05" w:rsidRPr="00253A5A" w:rsidRDefault="00BC3C05" w:rsidP="00BC3C05">
      <w:pPr>
        <w:spacing w:after="0" w:line="360" w:lineRule="auto"/>
        <w:ind w:firstLine="240"/>
        <w:rPr>
          <w:rFonts w:ascii="Times New Roman" w:hAnsi="Times New Roman" w:cs="Times New Roman"/>
          <w:kern w:val="2"/>
          <w:sz w:val="24"/>
          <w:szCs w:val="24"/>
          <w:highlight w:val="red"/>
          <w14:ligatures w14:val="standardContextual"/>
        </w:rPr>
      </w:pPr>
      <w:r w:rsidRPr="00253A5A">
        <w:rPr>
          <w:rFonts w:ascii="Times New Roman" w:hAnsi="Times New Roman" w:cs="Times New Roman"/>
          <w:kern w:val="2"/>
          <w:sz w:val="24"/>
          <w:szCs w:val="24"/>
          <w:highlight w:val="red"/>
          <w14:ligatures w14:val="standardContextual"/>
        </w:rPr>
        <w:t>To address the lack of exogenous tuition variation and the limitations of enrollment as a demand proxy, we treat the number of Universities and Colleges Admissions Service (UCAS) applicants from each domicile as expressed origin-country demand before universities ration places. Applicant counts are observed before admission decisions, offers, acceptances, and enrollment. Identification comes from within-country changes over time around the externally imposed loss of Home Fee status and loan access. Because the financial consequences varied across origin countries, the design also permits country-specific treatment effects that can be mapped to constant-elasticity demand responses under the maintained price-shock assumptions.</w:t>
      </w:r>
    </w:p>
    <w:p w14:paraId="5D19FB30" w14:textId="77777777" w:rsidR="00BC3C05" w:rsidRPr="00BC3C05" w:rsidRDefault="00BC3C05" w:rsidP="00BC3C05">
      <w:pPr>
        <w:spacing w:after="0" w:line="360" w:lineRule="auto"/>
        <w:ind w:firstLine="240"/>
        <w:rPr>
          <w:rFonts w:ascii="Times New Roman" w:hAnsi="Times New Roman" w:cs="Times New Roman"/>
          <w:kern w:val="2"/>
          <w:sz w:val="24"/>
          <w:szCs w:val="24"/>
          <w14:ligatures w14:val="standardContextual"/>
        </w:rPr>
      </w:pPr>
      <w:r w:rsidRPr="00253A5A">
        <w:rPr>
          <w:rFonts w:ascii="Times New Roman" w:hAnsi="Times New Roman" w:cs="Times New Roman"/>
          <w:kern w:val="2"/>
          <w:sz w:val="24"/>
          <w:szCs w:val="24"/>
          <w:highlight w:val="red"/>
          <w14:ligatures w14:val="standardContextual"/>
        </w:rPr>
        <w:t xml:space="preserve">It is misleading to read the larger decline from lower-income EU countries as proof of inherently more elastic preferences. Although Brexit imposed a common regulatory change, its effective financial consequences differed substantially across origins. Under equal treatment intensity, the larger declines from poorer countries would suggest greater price responsiveness. That interpretation changes once pre-Brexit access to income-contingent loans is valued from each country’s perspective. Rescaling by country-specific effective price changes nearly eliminates the positive relationship between elasticity and GDP per capita, which is consistent with much of the cross-country heterogeneity reflecting treatment </w:t>
      </w:r>
      <w:r w:rsidRPr="00253A5A">
        <w:rPr>
          <w:rFonts w:ascii="Times New Roman" w:hAnsi="Times New Roman" w:cs="Times New Roman"/>
          <w:kern w:val="2"/>
          <w:sz w:val="24"/>
          <w:szCs w:val="24"/>
          <w:highlight w:val="red"/>
          <w14:ligatures w14:val="standardContextual"/>
        </w:rPr>
        <w:lastRenderedPageBreak/>
        <w:t>intensity generated by the loan system. Demand elasticity therefore cannot be interpreted independently of the baseline financing conditions faced by applicants.</w:t>
      </w:r>
    </w:p>
    <w:p w14:paraId="48C647B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79B91050" w14:textId="77777777" w:rsidR="00BC3C05" w:rsidRPr="00BC3C05" w:rsidRDefault="00BC3C05" w:rsidP="00BC3C05">
      <w:pPr>
        <w:numPr>
          <w:ilvl w:val="0"/>
          <w:numId w:val="2"/>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Context</w:t>
      </w:r>
    </w:p>
    <w:p w14:paraId="4BB3C40C" w14:textId="77777777" w:rsidR="00BC3C05" w:rsidRDefault="00BC3C05" w:rsidP="00BC3C05">
      <w:pPr>
        <w:spacing w:after="0" w:line="360" w:lineRule="auto"/>
        <w:rPr>
          <w:rFonts w:ascii="Times New Roman" w:hAnsi="Times New Roman" w:cs="Times New Roman"/>
          <w:kern w:val="2"/>
          <w:sz w:val="24"/>
          <w:szCs w:val="24"/>
          <w14:ligatures w14:val="standardContextual"/>
        </w:rPr>
      </w:pPr>
    </w:p>
    <w:p w14:paraId="4A7F82FD" w14:textId="77777777" w:rsidR="00960934" w:rsidRPr="00960934" w:rsidRDefault="00960934" w:rsidP="00960934">
      <w:pPr>
        <w:spacing w:after="0" w:line="360" w:lineRule="auto"/>
        <w:rPr>
          <w:rFonts w:ascii="Times New Roman" w:hAnsi="Times New Roman" w:cs="Times New Roman"/>
          <w:b/>
          <w:bCs/>
          <w:i/>
          <w:iCs/>
          <w:kern w:val="2"/>
          <w:sz w:val="24"/>
          <w:szCs w:val="24"/>
          <w14:ligatures w14:val="standardContextual"/>
        </w:rPr>
      </w:pPr>
      <w:r w:rsidRPr="00960934">
        <w:rPr>
          <w:rFonts w:ascii="Times New Roman" w:hAnsi="Times New Roman" w:cs="Times New Roman"/>
          <w:b/>
          <w:bCs/>
          <w:i/>
          <w:iCs/>
          <w:kern w:val="2"/>
          <w:sz w:val="24"/>
          <w:szCs w:val="24"/>
          <w14:ligatures w14:val="standardContextual"/>
        </w:rPr>
        <w:t>Brexit and higher education</w:t>
      </w:r>
    </w:p>
    <w:p w14:paraId="18D0F882" w14:textId="77777777" w:rsidR="00960934" w:rsidRPr="00960934" w:rsidRDefault="00960934" w:rsidP="00960934">
      <w:pPr>
        <w:spacing w:after="0" w:line="360" w:lineRule="auto"/>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Between 1940 and the early 1990s, the US market for baccalaureate education grew far more competitive, moving from largely local markets to a nationally integrated system. Hoxby (1997) argues that this intensified competition over students and institutional quality can explain real tuition increases of about 50 percent among selective private colleges. A related shift toward market competition later occurred in England, where reforms from 2012 expanded tuition-fee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23DA497A" w14:textId="77777777"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costs. Brexit therefore produced one of the largest discrete tuition shocks faced by a clearly defined group of students in twenty-first-century British higher education.</w:t>
      </w:r>
    </w:p>
    <w:p w14:paraId="08419448" w14:textId="77777777"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 xml:space="preserve">Brexit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universities in 2023/24, some 25 percent of the student population, and their fees generated 23 percent of total university income (Cuibus et al., 2025). Cuibus et al. (2025) report that EU numbers fell sharply after Brexit and then stabilized, so that by 2023/24 EU students were </w:t>
      </w:r>
      <w:r w:rsidRPr="00960934">
        <w:rPr>
          <w:rFonts w:ascii="Times New Roman" w:hAnsi="Times New Roman" w:cs="Times New Roman"/>
          <w:kern w:val="2"/>
          <w:sz w:val="24"/>
          <w:szCs w:val="24"/>
          <w14:ligatures w14:val="standardContextual"/>
        </w:rPr>
        <w:lastRenderedPageBreak/>
        <w:t>only 7 percent of newly enrolled international students. Mayhew (2022) notes that the decline in EU enrollments during 2021/22 was offset by growth among UK and non-EU students, which illustrates that enrollment is an equilibrium outcome jointly determined by applications, offers, acceptances, and institutional capacity.</w:t>
      </w:r>
    </w:p>
    <w:p w14:paraId="56E24228" w14:textId="77777777"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0BE728EF" w14:textId="77777777" w:rsidR="00960934" w:rsidRDefault="00960934" w:rsidP="00960934">
      <w:pPr>
        <w:spacing w:after="0" w:line="360" w:lineRule="auto"/>
        <w:rPr>
          <w:rFonts w:ascii="Times New Roman" w:hAnsi="Times New Roman" w:cs="Times New Roman"/>
          <w:kern w:val="2"/>
          <w:sz w:val="24"/>
          <w:szCs w:val="24"/>
          <w14:ligatures w14:val="standardContextual"/>
        </w:rPr>
      </w:pPr>
    </w:p>
    <w:p w14:paraId="4110D49E" w14:textId="0F6AB67A" w:rsidR="00960934" w:rsidRPr="00960934" w:rsidRDefault="00960934" w:rsidP="00960934">
      <w:pPr>
        <w:spacing w:after="0" w:line="360" w:lineRule="auto"/>
        <w:rPr>
          <w:rFonts w:ascii="Times New Roman" w:hAnsi="Times New Roman" w:cs="Times New Roman"/>
          <w:b/>
          <w:bCs/>
          <w:i/>
          <w:iCs/>
          <w:kern w:val="2"/>
          <w:sz w:val="24"/>
          <w:szCs w:val="24"/>
          <w14:ligatures w14:val="standardContextual"/>
        </w:rPr>
      </w:pPr>
      <w:r w:rsidRPr="00960934">
        <w:rPr>
          <w:rFonts w:ascii="Times New Roman" w:hAnsi="Times New Roman" w:cs="Times New Roman"/>
          <w:b/>
          <w:bCs/>
          <w:i/>
          <w:iCs/>
          <w:kern w:val="2"/>
          <w:sz w:val="24"/>
          <w:szCs w:val="24"/>
          <w14:ligatures w14:val="standardContextual"/>
        </w:rPr>
        <w:t>Previous attempts to capture demand elasticities in higher education</w:t>
      </w:r>
    </w:p>
    <w:p w14:paraId="3DB9944E" w14:textId="77777777" w:rsidR="00960934" w:rsidRPr="00960934" w:rsidRDefault="00960934" w:rsidP="00960934">
      <w:pPr>
        <w:spacing w:after="0" w:line="360" w:lineRule="auto"/>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14:paraId="137B4530" w14:textId="54406C42"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 xml:space="preserve">Savoca (1990) argues that enrollment-based estimates understate demand sensitivity by conflating application, admissions, and matriculation decisions. If tuition and admissions policy are set independently, the enrollment elasticity equals the sum of the application and matriculation elasticities, which she estimates at −0.49, so true demand elasticity may be more than twice </w:t>
      </w:r>
      <w:r w:rsidR="00B30E3C">
        <w:rPr>
          <w:rFonts w:ascii="Times New Roman" w:hAnsi="Times New Roman" w:cs="Times New Roman"/>
          <w:kern w:val="2"/>
          <w:sz w:val="24"/>
          <w:szCs w:val="24"/>
          <w14:ligatures w14:val="standardContextual"/>
        </w:rPr>
        <w:t xml:space="preserve">the </w:t>
      </w:r>
      <w:r w:rsidRPr="00960934">
        <w:rPr>
          <w:rFonts w:ascii="Times New Roman" w:hAnsi="Times New Roman" w:cs="Times New Roman"/>
          <w:kern w:val="2"/>
          <w:sz w:val="24"/>
          <w:szCs w:val="24"/>
          <w14:ligatures w14:val="standardContextual"/>
        </w:rPr>
        <w:t>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14:paraId="7B19F589" w14:textId="4115399B"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Savoca’s (1990) criticism applies more broadly</w:t>
      </w:r>
      <w:r w:rsidR="00B4610B">
        <w:rPr>
          <w:rFonts w:ascii="Times New Roman" w:hAnsi="Times New Roman" w:cs="Times New Roman"/>
          <w:kern w:val="2"/>
          <w:sz w:val="24"/>
          <w:szCs w:val="24"/>
          <w14:ligatures w14:val="standardContextual"/>
        </w:rPr>
        <w:t>, however,</w:t>
      </w:r>
      <w:r w:rsidRPr="00960934">
        <w:rPr>
          <w:rFonts w:ascii="Times New Roman" w:hAnsi="Times New Roman" w:cs="Times New Roman"/>
          <w:kern w:val="2"/>
          <w:sz w:val="24"/>
          <w:szCs w:val="24"/>
          <w14:ligatures w14:val="standardContextual"/>
        </w:rPr>
        <w:t xml:space="preserve"> to models that treat observed enrollment as demand without explicitly modeling the preceding application and admission stages. It is especially relevant to BLP-type models, building on McFadden (1974), </w:t>
      </w:r>
      <w:r w:rsidRPr="00960934">
        <w:rPr>
          <w:rFonts w:ascii="Times New Roman" w:hAnsi="Times New Roman" w:cs="Times New Roman"/>
          <w:kern w:val="2"/>
          <w:sz w:val="24"/>
          <w:szCs w:val="24"/>
          <w14:ligatures w14:val="standardContextual"/>
        </w:rPr>
        <w:lastRenderedPageBreak/>
        <w:t xml:space="preserve">when they derive elasticities from enrollment shares across differentiated alternatives. Although such models are micro-founded and can accommodate preference heterogeneity, fully representing the student demand curve becomes increasingly demanding once applicants face different choice sets, prices, admission probabilities, and financial conditions. This becomes even more difficult when students from different countries face distinct circumstances at the time of application. </w:t>
      </w:r>
      <w:r w:rsidR="00B4610B">
        <w:rPr>
          <w:rFonts w:ascii="Times New Roman" w:hAnsi="Times New Roman" w:cs="Times New Roman"/>
          <w:kern w:val="2"/>
          <w:sz w:val="24"/>
          <w:szCs w:val="24"/>
          <w14:ligatures w14:val="standardContextual"/>
        </w:rPr>
        <w:t>Therefore,</w:t>
      </w:r>
      <w:r w:rsidRPr="00960934">
        <w:rPr>
          <w:rFonts w:ascii="Times New Roman" w:hAnsi="Times New Roman" w:cs="Times New Roman"/>
          <w:kern w:val="2"/>
          <w:sz w:val="24"/>
          <w:szCs w:val="24"/>
          <w14:ligatures w14:val="standardContextual"/>
        </w:rPr>
        <w:t xml:space="preserve"> applicant counts aggregated at the country level may capture the market-level application response more directly, albeit at the cost of averaging over individual preference heterogeneity.</w:t>
      </w:r>
    </w:p>
    <w:p w14:paraId="4DFB9355" w14:textId="77777777" w:rsidR="00B4610B" w:rsidRDefault="00B4610B" w:rsidP="00960934">
      <w:pPr>
        <w:spacing w:after="0" w:line="360" w:lineRule="auto"/>
        <w:ind w:firstLine="720"/>
        <w:rPr>
          <w:rFonts w:ascii="Times New Roman" w:hAnsi="Times New Roman" w:cs="Times New Roman"/>
          <w:kern w:val="2"/>
          <w:sz w:val="24"/>
          <w:szCs w:val="24"/>
          <w14:ligatures w14:val="standardContextual"/>
        </w:rPr>
      </w:pPr>
      <w:r w:rsidRPr="00B4610B">
        <w:rPr>
          <w:rFonts w:ascii="Times New Roman" w:hAnsi="Times New Roman" w:cs="Times New Roman"/>
          <w:kern w:val="2"/>
          <w:sz w:val="24"/>
          <w:szCs w:val="24"/>
          <w14:ligatures w14:val="standardContextual"/>
        </w:rPr>
        <w:t>When elasticity is estimated with over-time variation rather than cross-sectional variation, estimates using enrollment instead of the number of applicants are also problematic, especially since tuition is now also endogenous. This creates a simultaneity problem between tuition and enrollment. To that end, Leslie and Brinkman (1987) write the conventional elasticity as ε = E/P, with E the percentage change in enrollment and P the percentage change in price. To read this ratio causally, one requires tuition to be exogenous to demand and to other determinants of enrollment. This condition is rarely satisfied because institutional variation is driven by competitive pricing and quality changes, not exogenous shocks. To illuminate this point,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Campbell and Siegel (1967) give an example where tuition rose 148% between 1927 and 1963, more than total direct costs, implicating that their tuition elasticity of −0.44 understates the true total-cost elasticity.</w:t>
      </w:r>
    </w:p>
    <w:p w14:paraId="0BFA523A" w14:textId="1442491D" w:rsidR="00960934" w:rsidRPr="00960934" w:rsidRDefault="00960934" w:rsidP="00B4610B">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Methodologically, Conlon et al. (2021), seeking a specific EU elasticity, acknowledge that tuition fees are among the variables that are the same across countries, then estimate elasticities from a country panel with no within-year cross-country price variation, so the tuition coefficient is identified only through the common time series. They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change in applications by a 140% price change to obtain about 0.40. In the Appendix, we show why this understates the true slope of an isoelastic demand curve when the price shock is large.</w:t>
      </w:r>
    </w:p>
    <w:p w14:paraId="5C72FE6D" w14:textId="77777777" w:rsidR="009C377C" w:rsidRDefault="00960934" w:rsidP="009C377C">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lastRenderedPageBreak/>
        <w:t xml:space="preserve">Our closest predecessor is Sá (2014, 2017, 2019), who used UCAS application data and a related difference-in-differences design to estimate the response to the 2012 tuition reform. The 2014 working paper reports magnitudes between 0.14 and 0.26, while later versions report both a reform-specific 0.110 and a full-period 0.356 (Sá, 2017; Sá, 2019). The gap between the latter two decomposes into four parts. First, the 0.110 reflects the 18.7% application decline relative to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w:t>
      </w:r>
    </w:p>
    <w:p w14:paraId="04EEF1D3" w14:textId="3CFD83B6" w:rsidR="009C377C" w:rsidRPr="009C377C" w:rsidRDefault="009C377C" w:rsidP="009C377C">
      <w:pPr>
        <w:spacing w:after="0" w:line="360" w:lineRule="auto"/>
        <w:ind w:firstLine="720"/>
        <w:rPr>
          <w:rFonts w:ascii="Times New Roman" w:hAnsi="Times New Roman" w:cs="Times New Roman"/>
          <w:kern w:val="2"/>
          <w:sz w:val="24"/>
          <w:szCs w:val="24"/>
          <w14:ligatures w14:val="standardContextual"/>
        </w:rPr>
      </w:pPr>
      <w:r w:rsidRPr="009C377C">
        <w:rPr>
          <w:rFonts w:ascii="Times New Roman" w:hAnsi="Times New Roman" w:cs="Times New Roman"/>
          <w:kern w:val="2"/>
          <w:sz w:val="24"/>
          <w:szCs w:val="24"/>
          <w14:ligatures w14:val="standardContextual"/>
        </w:rPr>
        <w:t xml:space="preserve">Overall, the literature has remained broadly consistent in finding that price elasticities in higher education typically range in absolute magnitude from approximately 0.10 to 0.70-0.80 (Savoca, 1990; Sa, 2014; Crawford et al., 2025; Conlon et al., 2021; Dwenger et al., 2012), depending on the choice of denominator, fee assumptions, type of price variation, and baseline assumptions. We </w:t>
      </w:r>
      <w:r w:rsidR="009D53A9">
        <w:rPr>
          <w:rFonts w:ascii="Times New Roman" w:hAnsi="Times New Roman" w:cs="Times New Roman"/>
          <w:kern w:val="2"/>
          <w:sz w:val="24"/>
          <w:szCs w:val="24"/>
          <w14:ligatures w14:val="standardContextual"/>
        </w:rPr>
        <w:t xml:space="preserve">retain </w:t>
      </w:r>
      <w:r w:rsidRPr="009C377C">
        <w:rPr>
          <w:rFonts w:ascii="Times New Roman" w:hAnsi="Times New Roman" w:cs="Times New Roman"/>
          <w:kern w:val="2"/>
          <w:sz w:val="24"/>
          <w:szCs w:val="24"/>
          <w14:ligatures w14:val="standardContextual"/>
        </w:rPr>
        <w:t xml:space="preserve">this range as a later benchmark for the subjective present-value calibrations that follow in the methodology section. </w:t>
      </w:r>
    </w:p>
    <w:p w14:paraId="5AB1BA06" w14:textId="77777777" w:rsidR="009C377C" w:rsidRDefault="009C377C" w:rsidP="00960934">
      <w:pPr>
        <w:spacing w:after="0" w:line="360" w:lineRule="auto"/>
        <w:rPr>
          <w:rFonts w:ascii="Times New Roman" w:hAnsi="Times New Roman" w:cs="Times New Roman"/>
          <w:kern w:val="2"/>
          <w:sz w:val="24"/>
          <w:szCs w:val="24"/>
          <w14:ligatures w14:val="standardContextual"/>
        </w:rPr>
      </w:pPr>
    </w:p>
    <w:p w14:paraId="01D96DC9" w14:textId="6B24D549" w:rsidR="00960934" w:rsidRPr="00960934" w:rsidRDefault="00960934" w:rsidP="00960934">
      <w:pPr>
        <w:spacing w:after="0" w:line="360" w:lineRule="auto"/>
        <w:rPr>
          <w:rFonts w:ascii="Times New Roman" w:hAnsi="Times New Roman" w:cs="Times New Roman"/>
          <w:b/>
          <w:bCs/>
          <w:i/>
          <w:iCs/>
          <w:kern w:val="2"/>
          <w:sz w:val="24"/>
          <w:szCs w:val="24"/>
          <w14:ligatures w14:val="standardContextual"/>
        </w:rPr>
      </w:pPr>
      <w:r w:rsidRPr="00960934">
        <w:rPr>
          <w:rFonts w:ascii="Times New Roman" w:hAnsi="Times New Roman" w:cs="Times New Roman"/>
          <w:b/>
          <w:bCs/>
          <w:i/>
          <w:iCs/>
          <w:kern w:val="2"/>
          <w:sz w:val="24"/>
          <w:szCs w:val="24"/>
          <w14:ligatures w14:val="standardContextual"/>
        </w:rPr>
        <w:t>Watch the denominator</w:t>
      </w:r>
    </w:p>
    <w:p w14:paraId="2FD9B1C9" w14:textId="77777777" w:rsidR="00546593" w:rsidRPr="00546593" w:rsidRDefault="00546593" w:rsidP="00546593">
      <w:pPr>
        <w:spacing w:line="360" w:lineRule="auto"/>
        <w:rPr>
          <w:rFonts w:ascii="Times New Roman" w:hAnsi="Times New Roman" w:cs="Times New Roman"/>
          <w:kern w:val="2"/>
          <w:sz w:val="24"/>
          <w:szCs w:val="24"/>
          <w14:ligatures w14:val="standardContextual"/>
        </w:rPr>
      </w:pPr>
      <w:r w:rsidRPr="00546593">
        <w:rPr>
          <w:rFonts w:ascii="Times New Roman" w:hAnsi="Times New Roman" w:cs="Times New Roman"/>
          <w:kern w:val="2"/>
          <w:sz w:val="24"/>
          <w:szCs w:val="24"/>
          <w14:ligatures w14:val="standardContextual"/>
        </w:rPr>
        <w:t>The major problem in the literature, as we understand it so far, is that nominal tuition changes are confused with the change students actually experience when elasticity is computed. Sa (2019) for the tuition reforms from 2012 and Clifton-Sprigg et al. (2025) for the actual Brexit shock, and most of the literature compute price shifts as if students are jumping from one tuition to another without discounting the fees. This understates the denominator in the elasticity equation (change in demand/change in prices) because students exposed to the pre-Brexit loan regime can subjectively discount the loan's present value and experience the old price as much lower than 9250 pounds. In contrast, the new tuition regime in the UK – absent from such financial mechanisms – is treated as immediate payment with zero subjective discounting, producing a substantially larger experienced price shift.</w:t>
      </w:r>
    </w:p>
    <w:p w14:paraId="22F542B3" w14:textId="77777777"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lastRenderedPageBreak/>
        <w:t>To demonstrate similar mechanisms, a large experimental literature documents substantial subjective discounting of delayed outcomes, although estimated rates vary considerably across settings and elicitation methods. Drawing on 927 estimates from 56 studies, Matousek et al. (2022) report a publication-bias-corrected mean annual discount rate of 33%. Their results also indicate that discounting differs across domains, with individuals displaying greater impatience over health outcomes than over money, while negative framing is associated with greater patience.</w:t>
      </w:r>
    </w:p>
    <w:p w14:paraId="360C88E3" w14:textId="77777777" w:rsidR="00960934" w:rsidRPr="00960934" w:rsidRDefault="00960934" w:rsidP="009D53A9">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More directly relevant to the valuation of deferred loan repayments, Li et al. (2022) elicit time preferences from 2,100 UK adults by asking participants to choose when to repay hypothetical credit balances of £500 or £5,000 under different borrowing costs. They estimate mean annual discount rates of 6-7% across the full sample. However, these averages are pulled downward by more than half of participants who selected immediate repayment and were assigned a discount rate of zero. Among participants who preferred to delay repayment, estimated annual discount rates range from approximately 9% to 15%, while those selecting the maximum delay at an interest rate of 35% reveal discount rates of at least 35%. Li et al. (2022) also conclude that “persons aged 60 and financially literate tended to minimally delay repayment and have a consistent choice trajectory, while participants aged 18–30 who are financially less literate tended to make more contradictory choices and have a higher discount rate.” (p. 65), although this changes with higher loan sizes. Their estimated mean conditional discount rates range between 0.11 and 0.24 across both of their treatment groups.</w:t>
      </w:r>
    </w:p>
    <w:p w14:paraId="19EC3C14" w14:textId="77777777" w:rsidR="00960934" w:rsidRPr="00960934" w:rsidRDefault="00960934" w:rsidP="00960934">
      <w:pPr>
        <w:spacing w:after="0" w:line="360" w:lineRule="auto"/>
        <w:ind w:firstLine="720"/>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Evidence from consequential financial decisions points in a similar direction. Warner and Pleeter (2001) examine more than 65,000 military personnel who had to choose between an immediate lump-sum payment and a future annuity. The break-even discount rates exceeded 17%; most participants selected the lump sum, demonstrating a strong preference for immediate payment and reducing government separation costs by approximately $1.7 billion.</w:t>
      </w:r>
    </w:p>
    <w:p w14:paraId="00A548AF" w14:textId="549AA8C8" w:rsidR="00960934" w:rsidRPr="00BC3C05" w:rsidRDefault="00960934" w:rsidP="00BC3C05">
      <w:pPr>
        <w:spacing w:after="0" w:line="360" w:lineRule="auto"/>
        <w:rPr>
          <w:rFonts w:ascii="Times New Roman" w:hAnsi="Times New Roman" w:cs="Times New Roman"/>
          <w:kern w:val="2"/>
          <w:sz w:val="24"/>
          <w:szCs w:val="24"/>
          <w14:ligatures w14:val="standardContextual"/>
        </w:rPr>
      </w:pPr>
      <w:r w:rsidRPr="00960934">
        <w:rPr>
          <w:rFonts w:ascii="Times New Roman" w:hAnsi="Times New Roman" w:cs="Times New Roman"/>
          <w:kern w:val="2"/>
          <w:sz w:val="24"/>
          <w:szCs w:val="24"/>
          <w14:ligatures w14:val="standardContextual"/>
        </w:rPr>
        <w:t>           </w:t>
      </w:r>
      <w:r w:rsidR="009D53A9" w:rsidRPr="009D53A9">
        <w:rPr>
          <w:rFonts w:ascii="Times New Roman" w:hAnsi="Times New Roman" w:cs="Times New Roman"/>
          <w:kern w:val="2"/>
          <w:sz w:val="24"/>
          <w:szCs w:val="24"/>
          <w14:ligatures w14:val="standardContextual"/>
        </w:rPr>
        <w:t xml:space="preserve">The estimates reported by Li et al. (2022) </w:t>
      </w:r>
      <w:r w:rsidR="009D53A9">
        <w:rPr>
          <w:rFonts w:ascii="Times New Roman" w:hAnsi="Times New Roman" w:cs="Times New Roman"/>
          <w:kern w:val="2"/>
          <w:sz w:val="24"/>
          <w:szCs w:val="24"/>
          <w14:ligatures w14:val="standardContextual"/>
        </w:rPr>
        <w:t xml:space="preserve">and the broader literature in subjective discounting </w:t>
      </w:r>
      <w:r w:rsidR="009D53A9" w:rsidRPr="009D53A9">
        <w:rPr>
          <w:rFonts w:ascii="Times New Roman" w:hAnsi="Times New Roman" w:cs="Times New Roman"/>
          <w:kern w:val="2"/>
          <w:sz w:val="24"/>
          <w:szCs w:val="24"/>
          <w14:ligatures w14:val="standardContextual"/>
        </w:rPr>
        <w:t>provide a direct empirical benchmark for the subjective discount-rate parameter introduced in our methodology. To account for the distinction between nominal and experienced prices, the current design estimates elasticities across a range of possible subjective discount rates. We then identify how strongly students would need to have discounted future income-contingent repayments for the observed post-Brexit collapse in applicant numbers to be consistent with the elasticity range reported in the</w:t>
      </w:r>
      <w:r w:rsidR="00EF2C11">
        <w:rPr>
          <w:rFonts w:ascii="Times New Roman" w:hAnsi="Times New Roman" w:cs="Times New Roman"/>
          <w:kern w:val="2"/>
          <w:sz w:val="24"/>
          <w:szCs w:val="24"/>
          <w14:ligatures w14:val="standardContextual"/>
        </w:rPr>
        <w:t xml:space="preserve"> previous</w:t>
      </w:r>
      <w:r w:rsidR="009D53A9" w:rsidRPr="009D53A9">
        <w:rPr>
          <w:rFonts w:ascii="Times New Roman" w:hAnsi="Times New Roman" w:cs="Times New Roman"/>
          <w:kern w:val="2"/>
          <w:sz w:val="24"/>
          <w:szCs w:val="24"/>
          <w14:ligatures w14:val="standardContextual"/>
        </w:rPr>
        <w:t xml:space="preserve"> literature.</w:t>
      </w:r>
      <w:r w:rsidR="009D53A9">
        <w:rPr>
          <w:rFonts w:ascii="Times New Roman" w:hAnsi="Times New Roman" w:cs="Times New Roman"/>
          <w:kern w:val="2"/>
          <w:sz w:val="24"/>
          <w:szCs w:val="24"/>
          <w14:ligatures w14:val="standardContextual"/>
        </w:rPr>
        <w:t xml:space="preserve"> </w:t>
      </w:r>
    </w:p>
    <w:p w14:paraId="16918720" w14:textId="7C46C3E9" w:rsidR="00EA4DCB" w:rsidRPr="00960934" w:rsidRDefault="00EA4DCB" w:rsidP="00EA4DCB">
      <w:pPr>
        <w:spacing w:after="0" w:line="360" w:lineRule="auto"/>
        <w:rPr>
          <w:rFonts w:ascii="Times New Roman" w:hAnsi="Times New Roman"/>
          <w:kern w:val="2"/>
          <w:sz w:val="24"/>
          <w:szCs w:val="24"/>
          <w14:ligatures w14:val="standardContextual"/>
        </w:rPr>
      </w:pPr>
    </w:p>
    <w:p w14:paraId="6F24D560" w14:textId="77777777" w:rsidR="00BC3C05" w:rsidRPr="00BC3C05" w:rsidRDefault="00BC3C05" w:rsidP="00BC3C05">
      <w:pPr>
        <w:numPr>
          <w:ilvl w:val="0"/>
          <w:numId w:val="3"/>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lastRenderedPageBreak/>
        <w:t>Data</w:t>
      </w:r>
    </w:p>
    <w:p w14:paraId="731AA47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primary source is the most recent UCAS release (2025), covering application cycles from 2016 to 2025. UCAS centralizes applications to UK institutions, letting us observe applicant behavior before admissions decisions, which is central to the design because applicant counts capture expressed demand before rationing. The data report applicant counts by country of domicile with demographic breakdowns. We aggregate across all categories of sex and gender to obtain total demand from each origin country, keeping domicile as the key dimension of variation. Deriving gender-, age-, or subject-specific elasticities is a natural extension left for future work, as we focus on aggregate flows here for space.</w:t>
      </w:r>
    </w:p>
    <w:p w14:paraId="60241284"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 unit of observation is the origin-country-year, a panel of both EU countries (treated) and non-EU countries used to build the pseudo EU (control). The outcome is the log number of applicants from country </w:t>
      </w:r>
      <w:proofErr w:type="spellStart"/>
      <w:r w:rsidRPr="00BC3C05">
        <w:rPr>
          <w:rFonts w:ascii="Times New Roman" w:hAnsi="Times New Roman" w:cs="Times New Roman"/>
          <w:kern w:val="2"/>
          <w:sz w:val="24"/>
          <w:szCs w:val="24"/>
          <w14:ligatures w14:val="standardContextual"/>
        </w:rPr>
        <w:t>i</w:t>
      </w:r>
      <w:proofErr w:type="spellEnd"/>
      <w:r w:rsidRPr="00BC3C05">
        <w:rPr>
          <w:rFonts w:ascii="Times New Roman" w:hAnsi="Times New Roman" w:cs="Times New Roman"/>
          <w:kern w:val="2"/>
          <w:sz w:val="24"/>
          <w:szCs w:val="24"/>
          <w14:ligatures w14:val="standardContextual"/>
        </w:rPr>
        <w:t xml:space="preserve"> in year t. To study heterogeneity in the response, the UCAS data are merged with World Bank macroeconomic indicators, including GDP per capita and labor-market variables. Table 1 reports descriptive statistics.</w:t>
      </w:r>
    </w:p>
    <w:p w14:paraId="62E72F16"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5A0656BA" w14:textId="77777777" w:rsidR="00BC3C05" w:rsidRPr="00BC3C05" w:rsidRDefault="00BC3C05" w:rsidP="00BC3C05">
      <w:pPr>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Table 1</w:t>
      </w:r>
      <w:r w:rsidRPr="00BC3C05">
        <w:rPr>
          <w:rFonts w:ascii="Times New Roman" w:hAnsi="Times New Roman" w:cs="Times New Roman"/>
          <w:i/>
          <w:iCs/>
          <w:kern w:val="2"/>
          <w14:ligatures w14:val="standardContextual"/>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W w:w="5000" w:type="pct"/>
        <w:tblLayout w:type="fixed"/>
        <w:tblLook w:val="0020" w:firstRow="1" w:lastRow="0" w:firstColumn="0" w:lastColumn="0" w:noHBand="0" w:noVBand="0"/>
      </w:tblPr>
      <w:tblGrid>
        <w:gridCol w:w="2145"/>
        <w:gridCol w:w="889"/>
        <w:gridCol w:w="949"/>
        <w:gridCol w:w="1314"/>
        <w:gridCol w:w="1133"/>
        <w:gridCol w:w="1010"/>
        <w:gridCol w:w="1586"/>
      </w:tblGrid>
      <w:tr w:rsidR="00BC3C05" w:rsidRPr="00BC3C05" w14:paraId="4005CD9B" w14:textId="77777777" w:rsidTr="004A46E4">
        <w:trPr>
          <w:tblHeader/>
        </w:trPr>
        <w:tc>
          <w:tcPr>
            <w:tcW w:w="2119" w:type="dxa"/>
          </w:tcPr>
          <w:p w14:paraId="403A017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Variable</w:t>
            </w:r>
          </w:p>
        </w:tc>
        <w:tc>
          <w:tcPr>
            <w:tcW w:w="878" w:type="dxa"/>
          </w:tcPr>
          <w:p w14:paraId="0C56777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n</w:t>
            </w:r>
          </w:p>
        </w:tc>
        <w:tc>
          <w:tcPr>
            <w:tcW w:w="937" w:type="dxa"/>
          </w:tcPr>
          <w:p w14:paraId="6C32C0A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mean</w:t>
            </w:r>
          </w:p>
        </w:tc>
        <w:tc>
          <w:tcPr>
            <w:tcW w:w="1298" w:type="dxa"/>
          </w:tcPr>
          <w:p w14:paraId="721613D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b/>
                <w:bCs/>
                <w:kern w:val="2"/>
                <w:sz w:val="24"/>
                <w:szCs w:val="24"/>
                <w14:ligatures w14:val="standardContextual"/>
              </w:rPr>
              <w:t>sd</w:t>
            </w:r>
            <w:proofErr w:type="spellEnd"/>
          </w:p>
        </w:tc>
        <w:tc>
          <w:tcPr>
            <w:tcW w:w="1119" w:type="dxa"/>
          </w:tcPr>
          <w:p w14:paraId="540345D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median</w:t>
            </w:r>
          </w:p>
        </w:tc>
        <w:tc>
          <w:tcPr>
            <w:tcW w:w="998" w:type="dxa"/>
          </w:tcPr>
          <w:p w14:paraId="1C9C22C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min</w:t>
            </w:r>
          </w:p>
        </w:tc>
        <w:tc>
          <w:tcPr>
            <w:tcW w:w="1327" w:type="dxa"/>
          </w:tcPr>
          <w:p w14:paraId="2CEDF61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max</w:t>
            </w:r>
          </w:p>
        </w:tc>
      </w:tr>
      <w:tr w:rsidR="00BC3C05" w:rsidRPr="00BC3C05" w14:paraId="52435A05" w14:textId="77777777" w:rsidTr="004A46E4">
        <w:tc>
          <w:tcPr>
            <w:tcW w:w="8916" w:type="dxa"/>
            <w:gridSpan w:val="7"/>
          </w:tcPr>
          <w:p w14:paraId="39AD8E92"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Donors matching sample (with applicants &gt;100)</w:t>
            </w:r>
          </w:p>
        </w:tc>
      </w:tr>
      <w:tr w:rsidR="00BC3C05" w:rsidRPr="00BC3C05" w14:paraId="3883402C" w14:textId="77777777" w:rsidTr="004A46E4">
        <w:tc>
          <w:tcPr>
            <w:tcW w:w="2119" w:type="dxa"/>
          </w:tcPr>
          <w:p w14:paraId="7CE149A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878" w:type="dxa"/>
          </w:tcPr>
          <w:p w14:paraId="69D2A13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937" w:type="dxa"/>
          </w:tcPr>
          <w:p w14:paraId="507ED0C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298" w:type="dxa"/>
          </w:tcPr>
          <w:p w14:paraId="2C1D604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119" w:type="dxa"/>
          </w:tcPr>
          <w:p w14:paraId="7E035DC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998" w:type="dxa"/>
          </w:tcPr>
          <w:p w14:paraId="6231A14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327" w:type="dxa"/>
          </w:tcPr>
          <w:p w14:paraId="25047ED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r>
      <w:tr w:rsidR="00BC3C05" w:rsidRPr="00BC3C05" w14:paraId="562521CB" w14:textId="77777777" w:rsidTr="004A46E4">
        <w:tc>
          <w:tcPr>
            <w:tcW w:w="8916" w:type="dxa"/>
            <w:gridSpan w:val="7"/>
          </w:tcPr>
          <w:p w14:paraId="1E419CB2"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Basiline DIDs</w:t>
            </w:r>
          </w:p>
        </w:tc>
      </w:tr>
      <w:tr w:rsidR="00BC3C05" w:rsidRPr="00BC3C05" w14:paraId="72F932A2" w14:textId="77777777" w:rsidTr="004A46E4">
        <w:tc>
          <w:tcPr>
            <w:tcW w:w="2119" w:type="dxa"/>
          </w:tcPr>
          <w:p w14:paraId="698E4D5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Applicants </w:t>
            </w:r>
          </w:p>
        </w:tc>
        <w:tc>
          <w:tcPr>
            <w:tcW w:w="878" w:type="dxa"/>
          </w:tcPr>
          <w:p w14:paraId="133B338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520</w:t>
            </w:r>
          </w:p>
        </w:tc>
        <w:tc>
          <w:tcPr>
            <w:tcW w:w="937" w:type="dxa"/>
          </w:tcPr>
          <w:p w14:paraId="613522E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298" w:type="dxa"/>
          </w:tcPr>
          <w:p w14:paraId="4E88D5B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119" w:type="dxa"/>
          </w:tcPr>
          <w:p w14:paraId="727C2A4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998" w:type="dxa"/>
          </w:tcPr>
          <w:p w14:paraId="206F646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327" w:type="dxa"/>
          </w:tcPr>
          <w:p w14:paraId="6C6B7F2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r>
      <w:tr w:rsidR="00BC3C05" w:rsidRPr="00BC3C05" w14:paraId="0EB2EC75" w14:textId="77777777" w:rsidTr="004A46E4">
        <w:tc>
          <w:tcPr>
            <w:tcW w:w="8916" w:type="dxa"/>
            <w:gridSpan w:val="7"/>
          </w:tcPr>
          <w:p w14:paraId="5D1877A5"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Synthetic DIDs</w:t>
            </w:r>
          </w:p>
        </w:tc>
      </w:tr>
      <w:tr w:rsidR="00BC3C05" w:rsidRPr="00BC3C05" w14:paraId="114A5364" w14:textId="77777777" w:rsidTr="004A46E4">
        <w:tc>
          <w:tcPr>
            <w:tcW w:w="2119" w:type="dxa"/>
          </w:tcPr>
          <w:p w14:paraId="0125ED1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878" w:type="dxa"/>
          </w:tcPr>
          <w:p w14:paraId="27065C9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1820</w:t>
            </w:r>
          </w:p>
        </w:tc>
        <w:tc>
          <w:tcPr>
            <w:tcW w:w="937" w:type="dxa"/>
          </w:tcPr>
          <w:p w14:paraId="3A1B95C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298" w:type="dxa"/>
          </w:tcPr>
          <w:p w14:paraId="4F4EC99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119" w:type="dxa"/>
          </w:tcPr>
          <w:p w14:paraId="1C98FF4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998" w:type="dxa"/>
          </w:tcPr>
          <w:p w14:paraId="3486E51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327" w:type="dxa"/>
          </w:tcPr>
          <w:p w14:paraId="360FA56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r>
    </w:tbl>
    <w:tbl>
      <w:tblPr>
        <w:tblStyle w:val="Style1"/>
        <w:tblW w:w="5000" w:type="pct"/>
        <w:tblBorders>
          <w:top w:val="none" w:sz="0" w:space="0" w:color="auto"/>
          <w:left w:val="none" w:sz="0" w:space="0" w:color="auto"/>
          <w:bottom w:val="none" w:sz="0" w:space="0" w:color="auto"/>
          <w:right w:val="none" w:sz="0" w:space="0" w:color="auto"/>
        </w:tblBorders>
        <w:tblLayout w:type="fixed"/>
        <w:tblLook w:val="0020" w:firstRow="1" w:lastRow="0" w:firstColumn="0" w:lastColumn="0" w:noHBand="0" w:noVBand="0"/>
      </w:tblPr>
      <w:tblGrid>
        <w:gridCol w:w="9026"/>
      </w:tblGrid>
      <w:tr w:rsidR="00BC3C05" w:rsidRPr="00BC3C05" w14:paraId="7193FA76" w14:textId="77777777" w:rsidTr="00960934">
        <w:trPr>
          <w:cnfStyle w:val="100000000000" w:firstRow="1" w:lastRow="0" w:firstColumn="0" w:lastColumn="0" w:oddVBand="0" w:evenVBand="0" w:oddHBand="0" w:evenHBand="0" w:firstRowFirstColumn="0" w:firstRowLastColumn="0" w:lastRowFirstColumn="0" w:lastRowLastColumn="0"/>
        </w:trPr>
        <w:tc>
          <w:tcPr>
            <w:tcW w:w="8916" w:type="dxa"/>
            <w:tcBorders>
              <w:bottom w:val="none" w:sz="0" w:space="0" w:color="auto"/>
            </w:tcBorders>
          </w:tcPr>
          <w:p w14:paraId="6B6DE26A"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WDI regressions</w:t>
            </w:r>
          </w:p>
        </w:tc>
      </w:tr>
    </w:tbl>
    <w:tbl>
      <w:tblPr>
        <w:tblW w:w="5000" w:type="pct"/>
        <w:tblLayout w:type="fixed"/>
        <w:tblLook w:val="0020" w:firstRow="1" w:lastRow="0" w:firstColumn="0" w:lastColumn="0" w:noHBand="0" w:noVBand="0"/>
      </w:tblPr>
      <w:tblGrid>
        <w:gridCol w:w="2205"/>
        <w:gridCol w:w="913"/>
        <w:gridCol w:w="975"/>
        <w:gridCol w:w="1350"/>
        <w:gridCol w:w="1164"/>
        <w:gridCol w:w="1038"/>
        <w:gridCol w:w="1381"/>
      </w:tblGrid>
      <w:tr w:rsidR="00BC3C05" w:rsidRPr="00BC3C05" w14:paraId="09DDC208" w14:textId="77777777" w:rsidTr="004A46E4">
        <w:tc>
          <w:tcPr>
            <w:tcW w:w="2119" w:type="dxa"/>
          </w:tcPr>
          <w:p w14:paraId="54FC67B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Applicants</w:t>
            </w:r>
          </w:p>
        </w:tc>
        <w:tc>
          <w:tcPr>
            <w:tcW w:w="878" w:type="dxa"/>
          </w:tcPr>
          <w:p w14:paraId="7224CCF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468</w:t>
            </w:r>
          </w:p>
        </w:tc>
        <w:tc>
          <w:tcPr>
            <w:tcW w:w="937" w:type="dxa"/>
          </w:tcPr>
          <w:p w14:paraId="08D93ED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1767.95</w:t>
            </w:r>
          </w:p>
        </w:tc>
        <w:tc>
          <w:tcPr>
            <w:tcW w:w="1298" w:type="dxa"/>
          </w:tcPr>
          <w:p w14:paraId="114C564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3745.32</w:t>
            </w:r>
          </w:p>
        </w:tc>
        <w:tc>
          <w:tcPr>
            <w:tcW w:w="1119" w:type="dxa"/>
          </w:tcPr>
          <w:p w14:paraId="3897E1E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715.00</w:t>
            </w:r>
          </w:p>
        </w:tc>
        <w:tc>
          <w:tcPr>
            <w:tcW w:w="998" w:type="dxa"/>
          </w:tcPr>
          <w:p w14:paraId="35C12BA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35.00</w:t>
            </w:r>
          </w:p>
        </w:tc>
        <w:tc>
          <w:tcPr>
            <w:tcW w:w="1327" w:type="dxa"/>
          </w:tcPr>
          <w:p w14:paraId="4EB4D1B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33660.00</w:t>
            </w:r>
          </w:p>
        </w:tc>
      </w:tr>
      <w:tr w:rsidR="00BC3C05" w:rsidRPr="00BC3C05" w14:paraId="7EEAFCAD" w14:textId="77777777" w:rsidTr="004A46E4">
        <w:tc>
          <w:tcPr>
            <w:tcW w:w="2119" w:type="dxa"/>
          </w:tcPr>
          <w:p w14:paraId="1B69660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log_app</w:t>
            </w:r>
            <w:proofErr w:type="spellEnd"/>
          </w:p>
        </w:tc>
        <w:tc>
          <w:tcPr>
            <w:tcW w:w="878" w:type="dxa"/>
          </w:tcPr>
          <w:p w14:paraId="357AF79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4978999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6.63</w:t>
            </w:r>
          </w:p>
        </w:tc>
        <w:tc>
          <w:tcPr>
            <w:tcW w:w="1298" w:type="dxa"/>
          </w:tcPr>
          <w:p w14:paraId="32AA2CB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1.23</w:t>
            </w:r>
          </w:p>
        </w:tc>
        <w:tc>
          <w:tcPr>
            <w:tcW w:w="1119" w:type="dxa"/>
          </w:tcPr>
          <w:p w14:paraId="4582856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6.57</w:t>
            </w:r>
          </w:p>
        </w:tc>
        <w:tc>
          <w:tcPr>
            <w:tcW w:w="998" w:type="dxa"/>
          </w:tcPr>
          <w:p w14:paraId="3B43C1B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3.56</w:t>
            </w:r>
          </w:p>
        </w:tc>
        <w:tc>
          <w:tcPr>
            <w:tcW w:w="1327" w:type="dxa"/>
          </w:tcPr>
          <w:p w14:paraId="316B5D6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10.42</w:t>
            </w:r>
          </w:p>
        </w:tc>
      </w:tr>
      <w:tr w:rsidR="00BC3C05" w:rsidRPr="00BC3C05" w14:paraId="05B86A29" w14:textId="77777777" w:rsidTr="004A46E4">
        <w:tc>
          <w:tcPr>
            <w:tcW w:w="2119" w:type="dxa"/>
          </w:tcPr>
          <w:p w14:paraId="17EC64E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EU</w:t>
            </w:r>
          </w:p>
        </w:tc>
        <w:tc>
          <w:tcPr>
            <w:tcW w:w="878" w:type="dxa"/>
          </w:tcPr>
          <w:p w14:paraId="62E77C2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6593EC7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0.50</w:t>
            </w:r>
          </w:p>
        </w:tc>
        <w:tc>
          <w:tcPr>
            <w:tcW w:w="1298" w:type="dxa"/>
          </w:tcPr>
          <w:p w14:paraId="76E47A4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0.50</w:t>
            </w:r>
          </w:p>
        </w:tc>
        <w:tc>
          <w:tcPr>
            <w:tcW w:w="1119" w:type="dxa"/>
          </w:tcPr>
          <w:p w14:paraId="36350F0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0.50</w:t>
            </w:r>
          </w:p>
        </w:tc>
        <w:tc>
          <w:tcPr>
            <w:tcW w:w="998" w:type="dxa"/>
          </w:tcPr>
          <w:p w14:paraId="2C8F443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327" w:type="dxa"/>
          </w:tcPr>
          <w:p w14:paraId="0F3880F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1.00</w:t>
            </w:r>
          </w:p>
        </w:tc>
      </w:tr>
      <w:tr w:rsidR="00BC3C05" w:rsidRPr="00BC3C05" w14:paraId="48A99B48" w14:textId="77777777" w:rsidTr="004A46E4">
        <w:tc>
          <w:tcPr>
            <w:tcW w:w="2119" w:type="dxa"/>
          </w:tcPr>
          <w:p w14:paraId="0ECD65F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Post</w:t>
            </w:r>
          </w:p>
        </w:tc>
        <w:tc>
          <w:tcPr>
            <w:tcW w:w="878" w:type="dxa"/>
          </w:tcPr>
          <w:p w14:paraId="78CE4C2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1D4BC18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0.44</w:t>
            </w:r>
          </w:p>
        </w:tc>
        <w:tc>
          <w:tcPr>
            <w:tcW w:w="1298" w:type="dxa"/>
          </w:tcPr>
          <w:p w14:paraId="7E4BC6E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0.50</w:t>
            </w:r>
          </w:p>
        </w:tc>
        <w:tc>
          <w:tcPr>
            <w:tcW w:w="1119" w:type="dxa"/>
          </w:tcPr>
          <w:p w14:paraId="3C19B57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998" w:type="dxa"/>
          </w:tcPr>
          <w:p w14:paraId="4152E57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327" w:type="dxa"/>
          </w:tcPr>
          <w:p w14:paraId="2439637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1.00</w:t>
            </w:r>
          </w:p>
        </w:tc>
      </w:tr>
      <w:tr w:rsidR="00BC3C05" w:rsidRPr="00BC3C05" w14:paraId="7ADF02CD" w14:textId="77777777" w:rsidTr="004A46E4">
        <w:tc>
          <w:tcPr>
            <w:tcW w:w="2119" w:type="dxa"/>
          </w:tcPr>
          <w:p w14:paraId="2DB6E4D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did</w:t>
            </w:r>
          </w:p>
        </w:tc>
        <w:tc>
          <w:tcPr>
            <w:tcW w:w="878" w:type="dxa"/>
          </w:tcPr>
          <w:p w14:paraId="5C75AAC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29246CC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0.22</w:t>
            </w:r>
          </w:p>
        </w:tc>
        <w:tc>
          <w:tcPr>
            <w:tcW w:w="1298" w:type="dxa"/>
          </w:tcPr>
          <w:p w14:paraId="756CFC4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0.42</w:t>
            </w:r>
          </w:p>
        </w:tc>
        <w:tc>
          <w:tcPr>
            <w:tcW w:w="1119" w:type="dxa"/>
          </w:tcPr>
          <w:p w14:paraId="7116492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998" w:type="dxa"/>
          </w:tcPr>
          <w:p w14:paraId="7F00C9C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327" w:type="dxa"/>
          </w:tcPr>
          <w:p w14:paraId="5C49160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1.00</w:t>
            </w:r>
          </w:p>
        </w:tc>
      </w:tr>
      <w:tr w:rsidR="00BC3C05" w:rsidRPr="00BC3C05" w14:paraId="2F9DD82E" w14:textId="77777777" w:rsidTr="004A46E4">
        <w:tc>
          <w:tcPr>
            <w:tcW w:w="2119" w:type="dxa"/>
          </w:tcPr>
          <w:p w14:paraId="587B60C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event_time</w:t>
            </w:r>
            <w:proofErr w:type="spellEnd"/>
          </w:p>
        </w:tc>
        <w:tc>
          <w:tcPr>
            <w:tcW w:w="878" w:type="dxa"/>
          </w:tcPr>
          <w:p w14:paraId="103C276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6EC173D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298" w:type="dxa"/>
          </w:tcPr>
          <w:p w14:paraId="0E85C08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2.58</w:t>
            </w:r>
          </w:p>
        </w:tc>
        <w:tc>
          <w:tcPr>
            <w:tcW w:w="1119" w:type="dxa"/>
          </w:tcPr>
          <w:p w14:paraId="3C3777D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998" w:type="dxa"/>
          </w:tcPr>
          <w:p w14:paraId="36FC946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-4.00</w:t>
            </w:r>
          </w:p>
        </w:tc>
        <w:tc>
          <w:tcPr>
            <w:tcW w:w="1327" w:type="dxa"/>
          </w:tcPr>
          <w:p w14:paraId="12D5D01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4.00</w:t>
            </w:r>
          </w:p>
        </w:tc>
      </w:tr>
      <w:tr w:rsidR="00BC3C05" w:rsidRPr="00BC3C05" w14:paraId="596FCB6E" w14:textId="77777777" w:rsidTr="004A46E4">
        <w:tc>
          <w:tcPr>
            <w:tcW w:w="2119" w:type="dxa"/>
          </w:tcPr>
          <w:p w14:paraId="557B28E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lastRenderedPageBreak/>
              <w:t>regression_weight</w:t>
            </w:r>
            <w:proofErr w:type="spellEnd"/>
          </w:p>
        </w:tc>
        <w:tc>
          <w:tcPr>
            <w:tcW w:w="878" w:type="dxa"/>
          </w:tcPr>
          <w:p w14:paraId="70DD686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78FC327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1.00</w:t>
            </w:r>
          </w:p>
        </w:tc>
        <w:tc>
          <w:tcPr>
            <w:tcW w:w="1298" w:type="dxa"/>
          </w:tcPr>
          <w:p w14:paraId="7E296F8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0.77</w:t>
            </w:r>
          </w:p>
        </w:tc>
        <w:tc>
          <w:tcPr>
            <w:tcW w:w="1119" w:type="dxa"/>
          </w:tcPr>
          <w:p w14:paraId="16A8559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1.00</w:t>
            </w:r>
          </w:p>
        </w:tc>
        <w:tc>
          <w:tcPr>
            <w:tcW w:w="998" w:type="dxa"/>
          </w:tcPr>
          <w:p w14:paraId="52E8BA6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327" w:type="dxa"/>
          </w:tcPr>
          <w:p w14:paraId="4543E9D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4.18</w:t>
            </w:r>
          </w:p>
        </w:tc>
      </w:tr>
      <w:tr w:rsidR="00BC3C05" w:rsidRPr="00BC3C05" w14:paraId="2A32549C" w14:textId="77777777" w:rsidTr="004A46E4">
        <w:tc>
          <w:tcPr>
            <w:tcW w:w="2119" w:type="dxa"/>
          </w:tcPr>
          <w:p w14:paraId="30DC166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GDPpc</w:t>
            </w:r>
            <w:proofErr w:type="spellEnd"/>
          </w:p>
        </w:tc>
        <w:tc>
          <w:tcPr>
            <w:tcW w:w="878" w:type="dxa"/>
          </w:tcPr>
          <w:p w14:paraId="06532B6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3FB5EA8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46395.02</w:t>
            </w:r>
          </w:p>
        </w:tc>
        <w:tc>
          <w:tcPr>
            <w:tcW w:w="1298" w:type="dxa"/>
          </w:tcPr>
          <w:p w14:paraId="40F35FD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26718.44</w:t>
            </w:r>
          </w:p>
        </w:tc>
        <w:tc>
          <w:tcPr>
            <w:tcW w:w="1119" w:type="dxa"/>
          </w:tcPr>
          <w:p w14:paraId="53B16FC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43080.63</w:t>
            </w:r>
          </w:p>
        </w:tc>
        <w:tc>
          <w:tcPr>
            <w:tcW w:w="998" w:type="dxa"/>
          </w:tcPr>
          <w:p w14:paraId="591B3FD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2543.85</w:t>
            </w:r>
          </w:p>
        </w:tc>
        <w:tc>
          <w:tcPr>
            <w:tcW w:w="1327" w:type="dxa"/>
          </w:tcPr>
          <w:p w14:paraId="056C638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136772.44</w:t>
            </w:r>
          </w:p>
        </w:tc>
      </w:tr>
      <w:tr w:rsidR="00BC3C05" w:rsidRPr="00BC3C05" w14:paraId="42224811" w14:textId="77777777" w:rsidTr="004A46E4">
        <w:tc>
          <w:tcPr>
            <w:tcW w:w="2119" w:type="dxa"/>
          </w:tcPr>
          <w:p w14:paraId="67E4AB1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Pop15_64</w:t>
            </w:r>
          </w:p>
        </w:tc>
        <w:tc>
          <w:tcPr>
            <w:tcW w:w="878" w:type="dxa"/>
          </w:tcPr>
          <w:p w14:paraId="4A84FAC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6A94B70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42599339</w:t>
            </w:r>
          </w:p>
        </w:tc>
        <w:tc>
          <w:tcPr>
            <w:tcW w:w="1298" w:type="dxa"/>
          </w:tcPr>
          <w:p w14:paraId="663F27A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138073628</w:t>
            </w:r>
          </w:p>
        </w:tc>
        <w:tc>
          <w:tcPr>
            <w:tcW w:w="1119" w:type="dxa"/>
          </w:tcPr>
          <w:p w14:paraId="1FE0A81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6552302</w:t>
            </w:r>
          </w:p>
        </w:tc>
        <w:tc>
          <w:tcPr>
            <w:tcW w:w="998" w:type="dxa"/>
          </w:tcPr>
          <w:p w14:paraId="089CD78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305378</w:t>
            </w:r>
          </w:p>
        </w:tc>
        <w:tc>
          <w:tcPr>
            <w:tcW w:w="1327" w:type="dxa"/>
          </w:tcPr>
          <w:p w14:paraId="0404AB0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988168271</w:t>
            </w:r>
          </w:p>
        </w:tc>
      </w:tr>
      <w:tr w:rsidR="00BC3C05" w:rsidRPr="00BC3C05" w14:paraId="2A03BF20" w14:textId="77777777" w:rsidTr="004A46E4">
        <w:tc>
          <w:tcPr>
            <w:tcW w:w="2119" w:type="dxa"/>
          </w:tcPr>
          <w:p w14:paraId="38339F2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YouthUnempl</w:t>
            </w:r>
            <w:proofErr w:type="spellEnd"/>
          </w:p>
        </w:tc>
        <w:tc>
          <w:tcPr>
            <w:tcW w:w="878" w:type="dxa"/>
          </w:tcPr>
          <w:p w14:paraId="2F6E438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3420BAF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15.32</w:t>
            </w:r>
          </w:p>
        </w:tc>
        <w:tc>
          <w:tcPr>
            <w:tcW w:w="1298" w:type="dxa"/>
          </w:tcPr>
          <w:p w14:paraId="66B1E01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8.43</w:t>
            </w:r>
          </w:p>
        </w:tc>
        <w:tc>
          <w:tcPr>
            <w:tcW w:w="1119" w:type="dxa"/>
          </w:tcPr>
          <w:p w14:paraId="50EF837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13.56</w:t>
            </w:r>
          </w:p>
        </w:tc>
        <w:tc>
          <w:tcPr>
            <w:tcW w:w="998" w:type="dxa"/>
          </w:tcPr>
          <w:p w14:paraId="0F93384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0.30</w:t>
            </w:r>
          </w:p>
        </w:tc>
        <w:tc>
          <w:tcPr>
            <w:tcW w:w="1327" w:type="dxa"/>
          </w:tcPr>
          <w:p w14:paraId="1DE30A0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47.22</w:t>
            </w:r>
          </w:p>
        </w:tc>
      </w:tr>
      <w:tr w:rsidR="00BC3C05" w:rsidRPr="00BC3C05" w14:paraId="1FBC67FF" w14:textId="77777777" w:rsidTr="004A46E4">
        <w:tc>
          <w:tcPr>
            <w:tcW w:w="2119" w:type="dxa"/>
          </w:tcPr>
          <w:p w14:paraId="6CC804A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EduSpendGDP</w:t>
            </w:r>
            <w:proofErr w:type="spellEnd"/>
          </w:p>
        </w:tc>
        <w:tc>
          <w:tcPr>
            <w:tcW w:w="878" w:type="dxa"/>
          </w:tcPr>
          <w:p w14:paraId="5066F57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321</w:t>
            </w:r>
          </w:p>
        </w:tc>
        <w:tc>
          <w:tcPr>
            <w:tcW w:w="937" w:type="dxa"/>
          </w:tcPr>
          <w:p w14:paraId="18E4F4F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4.59</w:t>
            </w:r>
          </w:p>
        </w:tc>
        <w:tc>
          <w:tcPr>
            <w:tcW w:w="1298" w:type="dxa"/>
          </w:tcPr>
          <w:p w14:paraId="2296437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1.43</w:t>
            </w:r>
          </w:p>
        </w:tc>
        <w:tc>
          <w:tcPr>
            <w:tcW w:w="1119" w:type="dxa"/>
          </w:tcPr>
          <w:p w14:paraId="79A69AE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4.59</w:t>
            </w:r>
          </w:p>
        </w:tc>
        <w:tc>
          <w:tcPr>
            <w:tcW w:w="998" w:type="dxa"/>
          </w:tcPr>
          <w:p w14:paraId="07922B2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0.38</w:t>
            </w:r>
          </w:p>
        </w:tc>
        <w:tc>
          <w:tcPr>
            <w:tcW w:w="1327" w:type="dxa"/>
          </w:tcPr>
          <w:p w14:paraId="0D8E1B5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8.74</w:t>
            </w:r>
          </w:p>
        </w:tc>
      </w:tr>
      <w:tr w:rsidR="00BC3C05" w:rsidRPr="00BC3C05" w14:paraId="38E541C7" w14:textId="77777777" w:rsidTr="004A46E4">
        <w:tc>
          <w:tcPr>
            <w:tcW w:w="2119" w:type="dxa"/>
          </w:tcPr>
          <w:p w14:paraId="19EE77B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c_log_GDPpc</w:t>
            </w:r>
            <w:proofErr w:type="spellEnd"/>
          </w:p>
        </w:tc>
        <w:tc>
          <w:tcPr>
            <w:tcW w:w="878" w:type="dxa"/>
          </w:tcPr>
          <w:p w14:paraId="6C740F7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3B81E32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298" w:type="dxa"/>
          </w:tcPr>
          <w:p w14:paraId="00F34AE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0.78</w:t>
            </w:r>
          </w:p>
        </w:tc>
        <w:tc>
          <w:tcPr>
            <w:tcW w:w="1119" w:type="dxa"/>
          </w:tcPr>
          <w:p w14:paraId="108E02B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0.15</w:t>
            </w:r>
          </w:p>
        </w:tc>
        <w:tc>
          <w:tcPr>
            <w:tcW w:w="998" w:type="dxa"/>
          </w:tcPr>
          <w:p w14:paraId="330B358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-2.68</w:t>
            </w:r>
          </w:p>
        </w:tc>
        <w:tc>
          <w:tcPr>
            <w:tcW w:w="1327" w:type="dxa"/>
          </w:tcPr>
          <w:p w14:paraId="50110B2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1.30</w:t>
            </w:r>
          </w:p>
        </w:tc>
      </w:tr>
      <w:tr w:rsidR="00BC3C05" w:rsidRPr="00BC3C05" w14:paraId="6A600E44" w14:textId="77777777" w:rsidTr="004A46E4">
        <w:tc>
          <w:tcPr>
            <w:tcW w:w="2119" w:type="dxa"/>
          </w:tcPr>
          <w:p w14:paraId="4E193B6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c_log_Pop15_64</w:t>
            </w:r>
          </w:p>
        </w:tc>
        <w:tc>
          <w:tcPr>
            <w:tcW w:w="878" w:type="dxa"/>
          </w:tcPr>
          <w:p w14:paraId="390966B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38B5609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298" w:type="dxa"/>
          </w:tcPr>
          <w:p w14:paraId="2146E42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1.73</w:t>
            </w:r>
          </w:p>
        </w:tc>
        <w:tc>
          <w:tcPr>
            <w:tcW w:w="1119" w:type="dxa"/>
          </w:tcPr>
          <w:p w14:paraId="37ABBCE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-0.22</w:t>
            </w:r>
          </w:p>
        </w:tc>
        <w:tc>
          <w:tcPr>
            <w:tcW w:w="998" w:type="dxa"/>
          </w:tcPr>
          <w:p w14:paraId="527BCD9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-3.28</w:t>
            </w:r>
          </w:p>
        </w:tc>
        <w:tc>
          <w:tcPr>
            <w:tcW w:w="1327" w:type="dxa"/>
          </w:tcPr>
          <w:p w14:paraId="728B704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4.80</w:t>
            </w:r>
          </w:p>
        </w:tc>
      </w:tr>
      <w:tr w:rsidR="00BC3C05" w:rsidRPr="00BC3C05" w14:paraId="2B964067" w14:textId="77777777" w:rsidTr="004A46E4">
        <w:tc>
          <w:tcPr>
            <w:tcW w:w="2119" w:type="dxa"/>
          </w:tcPr>
          <w:p w14:paraId="02102DE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c_YouthUnempl</w:t>
            </w:r>
            <w:proofErr w:type="spellEnd"/>
          </w:p>
        </w:tc>
        <w:tc>
          <w:tcPr>
            <w:tcW w:w="878" w:type="dxa"/>
          </w:tcPr>
          <w:p w14:paraId="41BCEF2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kern w:val="2"/>
                <w:sz w:val="24"/>
                <w:szCs w:val="24"/>
                <w14:ligatures w14:val="standardContextual"/>
              </w:rPr>
              <w:t>468</w:t>
            </w:r>
          </w:p>
        </w:tc>
        <w:tc>
          <w:tcPr>
            <w:tcW w:w="937" w:type="dxa"/>
          </w:tcPr>
          <w:p w14:paraId="082F598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0.00</w:t>
            </w:r>
          </w:p>
        </w:tc>
        <w:tc>
          <w:tcPr>
            <w:tcW w:w="1298" w:type="dxa"/>
          </w:tcPr>
          <w:p w14:paraId="1B8B516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8.43</w:t>
            </w:r>
          </w:p>
        </w:tc>
        <w:tc>
          <w:tcPr>
            <w:tcW w:w="1119" w:type="dxa"/>
          </w:tcPr>
          <w:p w14:paraId="4ABF052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-1.75</w:t>
            </w:r>
          </w:p>
        </w:tc>
        <w:tc>
          <w:tcPr>
            <w:tcW w:w="998" w:type="dxa"/>
          </w:tcPr>
          <w:p w14:paraId="1D35AB7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-15.02</w:t>
            </w:r>
          </w:p>
        </w:tc>
        <w:tc>
          <w:tcPr>
            <w:tcW w:w="1327" w:type="dxa"/>
          </w:tcPr>
          <w:p w14:paraId="2EFFEF9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31.91</w:t>
            </w:r>
          </w:p>
        </w:tc>
      </w:tr>
    </w:tbl>
    <w:p w14:paraId="3E31882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0D405C9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Country-specific average wages </w:t>
      </w:r>
      <w:proofErr w:type="spellStart"/>
      <w:r w:rsidRPr="00BC3C05">
        <w:rPr>
          <w:rFonts w:ascii="Times New Roman" w:hAnsi="Times New Roman" w:cs="Times New Roman"/>
          <w:kern w:val="2"/>
          <w:sz w:val="24"/>
          <w:szCs w:val="24"/>
          <w14:ligatures w14:val="standardContextual"/>
        </w:rPr>
        <w:t>w_j</w:t>
      </w:r>
      <w:proofErr w:type="spellEnd"/>
      <w:r w:rsidRPr="00BC3C05">
        <w:rPr>
          <w:rFonts w:ascii="Times New Roman" w:hAnsi="Times New Roman" w:cs="Times New Roman"/>
          <w:kern w:val="2"/>
          <w:sz w:val="24"/>
          <w:szCs w:val="24"/>
          <w14:ligatures w14:val="standardContextual"/>
        </w:rPr>
        <w:t xml:space="preserve"> come from Eurostat’s Average full-time adjusted salary per employee indicator (nama_10_fte) for 2024 (Eurostat, 2025). The series reports gross annual salaries in current euros, harmonized across Member States via a full-time-equivalent ratio from the EU </w:t>
      </w:r>
      <w:proofErr w:type="spellStart"/>
      <w:r w:rsidRPr="00BC3C05">
        <w:rPr>
          <w:rFonts w:ascii="Times New Roman" w:hAnsi="Times New Roman" w:cs="Times New Roman"/>
          <w:kern w:val="2"/>
          <w:sz w:val="24"/>
          <w:szCs w:val="24"/>
          <w14:ligatures w14:val="standardContextual"/>
        </w:rPr>
        <w:t>Labour</w:t>
      </w:r>
      <w:proofErr w:type="spellEnd"/>
      <w:r w:rsidRPr="00BC3C05">
        <w:rPr>
          <w:rFonts w:ascii="Times New Roman" w:hAnsi="Times New Roman" w:cs="Times New Roman"/>
          <w:kern w:val="2"/>
          <w:sz w:val="24"/>
          <w:szCs w:val="24"/>
          <w14:ligatures w14:val="standardContextual"/>
        </w:rPr>
        <w:t xml:space="preserve"> Force Survey. This wage enters the loan present-value calculation </w:t>
      </w:r>
      <w:proofErr w:type="spellStart"/>
      <w:r w:rsidRPr="00BC3C05">
        <w:rPr>
          <w:rFonts w:ascii="Times New Roman" w:hAnsi="Times New Roman" w:cs="Times New Roman"/>
          <w:kern w:val="2"/>
          <w:sz w:val="24"/>
          <w:szCs w:val="24"/>
          <w14:ligatures w14:val="standardContextual"/>
        </w:rPr>
        <w:t>PV_loan</w:t>
      </w:r>
      <w:proofErr w:type="spellEnd"/>
      <w:r w:rsidRPr="00BC3C05">
        <w:rPr>
          <w:rFonts w:ascii="Times New Roman" w:hAnsi="Times New Roman" w:cs="Times New Roman"/>
          <w:kern w:val="2"/>
          <w:sz w:val="24"/>
          <w:szCs w:val="24"/>
          <w14:ligatures w14:val="standardContextual"/>
        </w:rPr>
        <w:t>(</w:t>
      </w:r>
      <w:proofErr w:type="spellStart"/>
      <w:r w:rsidRPr="00BC3C05">
        <w:rPr>
          <w:rFonts w:ascii="Times New Roman" w:hAnsi="Times New Roman" w:cs="Times New Roman"/>
          <w:kern w:val="2"/>
          <w:sz w:val="24"/>
          <w:szCs w:val="24"/>
          <w14:ligatures w14:val="standardContextual"/>
        </w:rPr>
        <w:t>w_j</w:t>
      </w:r>
      <w:proofErr w:type="spellEnd"/>
      <w:r w:rsidRPr="00BC3C05">
        <w:rPr>
          <w:rFonts w:ascii="Times New Roman" w:hAnsi="Times New Roman" w:cs="Times New Roman"/>
          <w:kern w:val="2"/>
          <w:sz w:val="24"/>
          <w:szCs w:val="24"/>
          <w14:ligatures w14:val="standardContextual"/>
        </w:rPr>
        <w:t xml:space="preserve">) and sets the country-specific effective price shock </w:t>
      </w:r>
      <w:proofErr w:type="spellStart"/>
      <w:r w:rsidRPr="00BC3C05">
        <w:rPr>
          <w:rFonts w:ascii="Times New Roman" w:hAnsi="Times New Roman" w:cs="Times New Roman"/>
          <w:kern w:val="2"/>
          <w:sz w:val="24"/>
          <w:szCs w:val="24"/>
          <w14:ligatures w14:val="standardContextual"/>
        </w:rPr>
        <w:t>k_j</w:t>
      </w:r>
      <w:proofErr w:type="spellEnd"/>
      <w:r w:rsidRPr="00BC3C05">
        <w:rPr>
          <w:rFonts w:ascii="Times New Roman" w:hAnsi="Times New Roman" w:cs="Times New Roman"/>
          <w:kern w:val="2"/>
          <w:sz w:val="24"/>
          <w:szCs w:val="24"/>
          <w14:ligatures w14:val="standardContextual"/>
        </w:rPr>
        <w:t>. We use the 2024 wage because a student enrolling in 2021 completes a standard three-year cycle in 2024, so it serves as the first post-graduation wage and the simulated repayment schedule starts there.</w:t>
      </w:r>
    </w:p>
    <w:p w14:paraId="792CD75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w:t>
      </w:r>
      <w:proofErr w:type="spellStart"/>
      <w:r w:rsidRPr="00BC3C05">
        <w:rPr>
          <w:rFonts w:ascii="Times New Roman" w:hAnsi="Times New Roman" w:cs="Times New Roman"/>
          <w:kern w:val="2"/>
          <w:sz w:val="24"/>
          <w:szCs w:val="24"/>
          <w14:ligatures w14:val="standardContextual"/>
        </w:rPr>
        <w:t>countrycode</w:t>
      </w:r>
      <w:proofErr w:type="spellEnd"/>
      <w:r w:rsidRPr="00BC3C05">
        <w:rPr>
          <w:rFonts w:ascii="Times New Roman" w:hAnsi="Times New Roman" w:cs="Times New Roman"/>
          <w:kern w:val="2"/>
          <w:sz w:val="24"/>
          <w:szCs w:val="24"/>
          <w14:ligatures w14:val="standardContextual"/>
        </w:rPr>
        <w:t xml:space="preserv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14:paraId="484DC6D9" w14:textId="77777777" w:rsidR="00BC3C05" w:rsidRPr="00BC3C05" w:rsidRDefault="00BC3C05" w:rsidP="00BC3C05">
      <w:pPr>
        <w:spacing w:after="0" w:line="360" w:lineRule="auto"/>
        <w:ind w:firstLine="24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We use country-level rather than university-specific data (unlike Sá, 2014, or Clifton-Sprigg et al., 2025) because of a UCAS limitation. Once a student registers, they can choose up to five universities and can be accepted at all five, which double- or triple-counts the same applicant. Country-level aggregation removes this problem, since each applicant is counted once per country.</w:t>
      </w:r>
    </w:p>
    <w:p w14:paraId="6AD24D1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20E57362" w14:textId="77777777" w:rsidR="00BC3C05" w:rsidRPr="00BC3C05" w:rsidRDefault="00BC3C05" w:rsidP="00BC3C05">
      <w:pPr>
        <w:numPr>
          <w:ilvl w:val="0"/>
          <w:numId w:val="4"/>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Empirical strategy</w:t>
      </w:r>
    </w:p>
    <w:p w14:paraId="1D883744" w14:textId="77777777" w:rsidR="00BC3C05" w:rsidRPr="00BC3C05" w:rsidRDefault="00BC3C05" w:rsidP="00BC3C05">
      <w:pPr>
        <w:spacing w:after="0" w:line="360" w:lineRule="auto"/>
        <w:ind w:left="240"/>
        <w:rPr>
          <w:rFonts w:ascii="Times New Roman" w:hAnsi="Times New Roman" w:cs="Times New Roman"/>
          <w:kern w:val="2"/>
          <w:sz w:val="24"/>
          <w:szCs w:val="24"/>
          <w14:ligatures w14:val="standardContextual"/>
        </w:rPr>
      </w:pPr>
    </w:p>
    <w:p w14:paraId="0DBCFC2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Constructing the counterfactual European Union</w:t>
      </w:r>
    </w:p>
    <w:p w14:paraId="2623275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applicants per year. For every treated EU country, the three closest non-EU donors are selected by Euclidean distance between standardized pre-treatment paths, so donor choice depends on trajectory shape, not market size.</w:t>
      </w:r>
    </w:p>
    <w:p w14:paraId="2DA8D1AE"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Second, synthetic-control weights are estimated separately for each treated country over the pre-treatment period, then collapsed into a single global donor-weight vector for the saturated </w:t>
      </w:r>
      <w:proofErr w:type="spellStart"/>
      <w:r w:rsidRPr="00BC3C05">
        <w:rPr>
          <w:rFonts w:ascii="Times New Roman" w:hAnsi="Times New Roman" w:cs="Times New Roman"/>
          <w:kern w:val="2"/>
          <w:sz w:val="24"/>
          <w:szCs w:val="24"/>
          <w14:ligatures w14:val="standardContextual"/>
        </w:rPr>
        <w:t>DiD</w:t>
      </w:r>
      <w:proofErr w:type="spellEnd"/>
      <w:r w:rsidRPr="00BC3C05">
        <w:rPr>
          <w:rFonts w:ascii="Times New Roman" w:hAnsi="Times New Roman" w:cs="Times New Roman"/>
          <w:kern w:val="2"/>
          <w:sz w:val="24"/>
          <w:szCs w:val="24"/>
          <w14:ligatures w14:val="standardContextual"/>
        </w:rPr>
        <w:t xml:space="preserve">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4080C5F8"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2737990E" w14:textId="77777777" w:rsidR="00BC3C05" w:rsidRPr="00BC3C05" w:rsidRDefault="00BC3C05" w:rsidP="00BC3C05">
      <w:pPr>
        <w:spacing w:after="0" w:line="240" w:lineRule="auto"/>
        <w:rPr>
          <w:rFonts w:ascii="Times New Roman" w:hAnsi="Times New Roman" w:cs="Times New Roman"/>
          <w:b/>
          <w:bCs/>
          <w:i/>
          <w:iCs/>
          <w:kern w:val="2"/>
          <w14:ligatures w14:val="standardContextual"/>
        </w:rPr>
      </w:pPr>
      <w:r w:rsidRPr="00BC3C05">
        <w:rPr>
          <w:rFonts w:ascii="Times New Roman" w:hAnsi="Times New Roman" w:cs="Times New Roman"/>
          <w:b/>
          <w:bCs/>
          <w:i/>
          <w:iCs/>
          <w:kern w:val="2"/>
          <w14:ligatures w14:val="standardContextual"/>
        </w:rPr>
        <w:t xml:space="preserve">Table 2. </w:t>
      </w:r>
      <w:r w:rsidRPr="00BC3C05">
        <w:rPr>
          <w:rFonts w:ascii="Times New Roman" w:hAnsi="Times New Roman" w:cs="Times New Roman"/>
          <w:i/>
          <w:iCs/>
          <w:kern w:val="2"/>
          <w14:ligatures w14:val="standardContextual"/>
        </w:rPr>
        <w:t>Donor countries used to construct the synthetic counterfactual European Union, with global and regression weights.</w:t>
      </w:r>
    </w:p>
    <w:tbl>
      <w:tblPr>
        <w:tblW w:w="4246" w:type="pct"/>
        <w:jc w:val="center"/>
        <w:tblLook w:val="0020" w:firstRow="1" w:lastRow="0" w:firstColumn="0" w:lastColumn="0" w:noHBand="0" w:noVBand="0"/>
      </w:tblPr>
      <w:tblGrid>
        <w:gridCol w:w="3453"/>
        <w:gridCol w:w="3302"/>
        <w:gridCol w:w="910"/>
      </w:tblGrid>
      <w:tr w:rsidR="00BC3C05" w:rsidRPr="00BC3C05" w14:paraId="6B8F541D" w14:textId="77777777" w:rsidTr="004A46E4">
        <w:trPr>
          <w:tblHeader/>
          <w:jc w:val="center"/>
        </w:trPr>
        <w:tc>
          <w:tcPr>
            <w:tcW w:w="0" w:type="auto"/>
          </w:tcPr>
          <w:p w14:paraId="1AF77F6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Donor country</w:t>
            </w:r>
          </w:p>
        </w:tc>
        <w:tc>
          <w:tcPr>
            <w:tcW w:w="0" w:type="auto"/>
          </w:tcPr>
          <w:p w14:paraId="23DEAF84"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Global weight</w:t>
            </w:r>
          </w:p>
        </w:tc>
        <w:tc>
          <w:tcPr>
            <w:tcW w:w="0" w:type="pct"/>
          </w:tcPr>
          <w:p w14:paraId="3100176C"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Global weight × 26</w:t>
            </w:r>
          </w:p>
        </w:tc>
      </w:tr>
    </w:tbl>
    <w:tbl>
      <w:tblPr>
        <w:tblStyle w:val="Style1"/>
        <w:tblW w:w="4246" w:type="pct"/>
        <w:jc w:val="center"/>
        <w:tblLook w:val="0020" w:firstRow="1" w:lastRow="0" w:firstColumn="0" w:lastColumn="0" w:noHBand="0" w:noVBand="0"/>
      </w:tblPr>
      <w:tblGrid>
        <w:gridCol w:w="4150"/>
        <w:gridCol w:w="867"/>
        <w:gridCol w:w="2622"/>
      </w:tblGrid>
      <w:tr w:rsidR="00BC3C05" w:rsidRPr="00BC3C05" w14:paraId="5FFEBF73" w14:textId="77777777" w:rsidTr="004A46E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49ABA1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Korea, Republic of</w:t>
            </w:r>
          </w:p>
        </w:tc>
        <w:tc>
          <w:tcPr>
            <w:tcW w:w="0" w:type="auto"/>
          </w:tcPr>
          <w:p w14:paraId="6EE30C27"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0.16</w:t>
            </w:r>
          </w:p>
        </w:tc>
        <w:tc>
          <w:tcPr>
            <w:tcW w:w="1713" w:type="pct"/>
          </w:tcPr>
          <w:p w14:paraId="17562CBB"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4.18</w:t>
            </w:r>
          </w:p>
        </w:tc>
      </w:tr>
      <w:tr w:rsidR="00BC3C05" w:rsidRPr="00BC3C05" w14:paraId="2C1463DE" w14:textId="77777777" w:rsidTr="004A46E4">
        <w:trPr>
          <w:jc w:val="center"/>
        </w:trPr>
        <w:tc>
          <w:tcPr>
            <w:tcW w:w="0" w:type="auto"/>
          </w:tcPr>
          <w:p w14:paraId="4B037D7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Trinidad and Tobago</w:t>
            </w:r>
          </w:p>
        </w:tc>
        <w:tc>
          <w:tcPr>
            <w:tcW w:w="0" w:type="auto"/>
          </w:tcPr>
          <w:p w14:paraId="5FF1EEAA"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0.12</w:t>
            </w:r>
          </w:p>
        </w:tc>
        <w:tc>
          <w:tcPr>
            <w:tcW w:w="1713" w:type="pct"/>
          </w:tcPr>
          <w:p w14:paraId="5F5DC9D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3.08</w:t>
            </w:r>
          </w:p>
        </w:tc>
      </w:tr>
      <w:tr w:rsidR="00BC3C05" w:rsidRPr="00BC3C05" w14:paraId="3F6CBC5E" w14:textId="77777777" w:rsidTr="004A46E4">
        <w:trPr>
          <w:jc w:val="center"/>
        </w:trPr>
        <w:tc>
          <w:tcPr>
            <w:tcW w:w="0" w:type="auto"/>
          </w:tcPr>
          <w:p w14:paraId="254808A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Russian Federation</w:t>
            </w:r>
          </w:p>
        </w:tc>
        <w:tc>
          <w:tcPr>
            <w:tcW w:w="0" w:type="auto"/>
          </w:tcPr>
          <w:p w14:paraId="5781A43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0.11</w:t>
            </w:r>
          </w:p>
        </w:tc>
        <w:tc>
          <w:tcPr>
            <w:tcW w:w="1713" w:type="pct"/>
          </w:tcPr>
          <w:p w14:paraId="2384F9B8"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2.80</w:t>
            </w:r>
          </w:p>
        </w:tc>
      </w:tr>
      <w:tr w:rsidR="00BC3C05" w:rsidRPr="00BC3C05" w14:paraId="478301CF" w14:textId="77777777" w:rsidTr="004A46E4">
        <w:trPr>
          <w:jc w:val="center"/>
        </w:trPr>
        <w:tc>
          <w:tcPr>
            <w:tcW w:w="0" w:type="auto"/>
          </w:tcPr>
          <w:p w14:paraId="498348A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Malaysia</w:t>
            </w:r>
          </w:p>
        </w:tc>
        <w:tc>
          <w:tcPr>
            <w:tcW w:w="0" w:type="auto"/>
          </w:tcPr>
          <w:p w14:paraId="4C86F4BA"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0.10</w:t>
            </w:r>
          </w:p>
        </w:tc>
        <w:tc>
          <w:tcPr>
            <w:tcW w:w="1713" w:type="pct"/>
          </w:tcPr>
          <w:p w14:paraId="7067570A"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2.53</w:t>
            </w:r>
          </w:p>
        </w:tc>
      </w:tr>
      <w:tr w:rsidR="00BC3C05" w:rsidRPr="00BC3C05" w14:paraId="755CA45D" w14:textId="77777777" w:rsidTr="004A46E4">
        <w:trPr>
          <w:jc w:val="center"/>
        </w:trPr>
        <w:tc>
          <w:tcPr>
            <w:tcW w:w="0" w:type="auto"/>
          </w:tcPr>
          <w:p w14:paraId="07E940B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Mauritius</w:t>
            </w:r>
          </w:p>
        </w:tc>
        <w:tc>
          <w:tcPr>
            <w:tcW w:w="0" w:type="auto"/>
          </w:tcPr>
          <w:p w14:paraId="1A63554A"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0.08</w:t>
            </w:r>
          </w:p>
        </w:tc>
        <w:tc>
          <w:tcPr>
            <w:tcW w:w="1713" w:type="pct"/>
          </w:tcPr>
          <w:p w14:paraId="6FCBB7F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2.07</w:t>
            </w:r>
          </w:p>
        </w:tc>
      </w:tr>
      <w:tr w:rsidR="00BC3C05" w:rsidRPr="00BC3C05" w14:paraId="34AE5B39" w14:textId="77777777" w:rsidTr="004A46E4">
        <w:trPr>
          <w:jc w:val="center"/>
        </w:trPr>
        <w:tc>
          <w:tcPr>
            <w:tcW w:w="0" w:type="auto"/>
          </w:tcPr>
          <w:p w14:paraId="7E1A81B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Egypt</w:t>
            </w:r>
          </w:p>
        </w:tc>
        <w:tc>
          <w:tcPr>
            <w:tcW w:w="0" w:type="auto"/>
          </w:tcPr>
          <w:p w14:paraId="59F01689"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0.07</w:t>
            </w:r>
          </w:p>
        </w:tc>
        <w:tc>
          <w:tcPr>
            <w:tcW w:w="1713" w:type="pct"/>
          </w:tcPr>
          <w:p w14:paraId="6A9D6EBE"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1.85</w:t>
            </w:r>
          </w:p>
        </w:tc>
      </w:tr>
      <w:tr w:rsidR="00BC3C05" w:rsidRPr="00BC3C05" w14:paraId="5BFCD387" w14:textId="77777777" w:rsidTr="004A46E4">
        <w:trPr>
          <w:jc w:val="center"/>
        </w:trPr>
        <w:tc>
          <w:tcPr>
            <w:tcW w:w="0" w:type="auto"/>
          </w:tcPr>
          <w:p w14:paraId="1FEE584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New Zealand</w:t>
            </w:r>
          </w:p>
        </w:tc>
        <w:tc>
          <w:tcPr>
            <w:tcW w:w="0" w:type="auto"/>
          </w:tcPr>
          <w:p w14:paraId="15BD429C"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0.04</w:t>
            </w:r>
          </w:p>
        </w:tc>
        <w:tc>
          <w:tcPr>
            <w:tcW w:w="1713" w:type="pct"/>
          </w:tcPr>
          <w:p w14:paraId="18B11199"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1.11</w:t>
            </w:r>
          </w:p>
        </w:tc>
      </w:tr>
      <w:tr w:rsidR="00BC3C05" w:rsidRPr="00BC3C05" w14:paraId="05DDFBE2" w14:textId="77777777" w:rsidTr="004A46E4">
        <w:trPr>
          <w:jc w:val="center"/>
        </w:trPr>
        <w:tc>
          <w:tcPr>
            <w:tcW w:w="0" w:type="auto"/>
          </w:tcPr>
          <w:p w14:paraId="0D4BBDA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United States of America</w:t>
            </w:r>
          </w:p>
        </w:tc>
        <w:tc>
          <w:tcPr>
            <w:tcW w:w="0" w:type="auto"/>
          </w:tcPr>
          <w:p w14:paraId="2DB89BAC"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0.04</w:t>
            </w:r>
          </w:p>
        </w:tc>
        <w:tc>
          <w:tcPr>
            <w:tcW w:w="1713" w:type="pct"/>
          </w:tcPr>
          <w:p w14:paraId="1E38D8B3"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1.10</w:t>
            </w:r>
          </w:p>
        </w:tc>
      </w:tr>
      <w:tr w:rsidR="00BC3C05" w:rsidRPr="00BC3C05" w14:paraId="7C998B19" w14:textId="77777777" w:rsidTr="004A46E4">
        <w:trPr>
          <w:jc w:val="center"/>
        </w:trPr>
        <w:tc>
          <w:tcPr>
            <w:tcW w:w="0" w:type="auto"/>
          </w:tcPr>
          <w:p w14:paraId="3014D11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Qatar</w:t>
            </w:r>
          </w:p>
        </w:tc>
        <w:tc>
          <w:tcPr>
            <w:tcW w:w="0" w:type="auto"/>
          </w:tcPr>
          <w:p w14:paraId="29A522FD"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0.04</w:t>
            </w:r>
          </w:p>
        </w:tc>
        <w:tc>
          <w:tcPr>
            <w:tcW w:w="1713" w:type="pct"/>
          </w:tcPr>
          <w:p w14:paraId="3F3C0506"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1.00</w:t>
            </w:r>
          </w:p>
        </w:tc>
      </w:tr>
      <w:tr w:rsidR="00BC3C05" w:rsidRPr="00BC3C05" w14:paraId="20D0AA86" w14:textId="77777777" w:rsidTr="004A46E4">
        <w:trPr>
          <w:jc w:val="center"/>
        </w:trPr>
        <w:tc>
          <w:tcPr>
            <w:tcW w:w="0" w:type="auto"/>
          </w:tcPr>
          <w:p w14:paraId="297A28B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Israel</w:t>
            </w:r>
          </w:p>
        </w:tc>
        <w:tc>
          <w:tcPr>
            <w:tcW w:w="0" w:type="auto"/>
          </w:tcPr>
          <w:p w14:paraId="4E786D83"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0.04</w:t>
            </w:r>
          </w:p>
        </w:tc>
        <w:tc>
          <w:tcPr>
            <w:tcW w:w="1713" w:type="pct"/>
          </w:tcPr>
          <w:p w14:paraId="7D0E188C"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1.00</w:t>
            </w:r>
          </w:p>
        </w:tc>
      </w:tr>
      <w:tr w:rsidR="00BC3C05" w:rsidRPr="00BC3C05" w14:paraId="5C6E6535" w14:textId="77777777" w:rsidTr="004A46E4">
        <w:trPr>
          <w:jc w:val="center"/>
        </w:trPr>
        <w:tc>
          <w:tcPr>
            <w:tcW w:w="0" w:type="auto"/>
          </w:tcPr>
          <w:p w14:paraId="002A8D4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Zimbabwe</w:t>
            </w:r>
          </w:p>
        </w:tc>
        <w:tc>
          <w:tcPr>
            <w:tcW w:w="0" w:type="auto"/>
          </w:tcPr>
          <w:p w14:paraId="7B7BACC5"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0.04</w:t>
            </w:r>
          </w:p>
        </w:tc>
        <w:tc>
          <w:tcPr>
            <w:tcW w:w="1713" w:type="pct"/>
          </w:tcPr>
          <w:p w14:paraId="529FEDB0"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0.96</w:t>
            </w:r>
          </w:p>
        </w:tc>
      </w:tr>
      <w:tr w:rsidR="00BC3C05" w:rsidRPr="00BC3C05" w14:paraId="3CA2E8F0" w14:textId="77777777" w:rsidTr="004A46E4">
        <w:trPr>
          <w:jc w:val="center"/>
        </w:trPr>
        <w:tc>
          <w:tcPr>
            <w:tcW w:w="0" w:type="auto"/>
          </w:tcPr>
          <w:p w14:paraId="122D8E2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United Arab Emirates</w:t>
            </w:r>
          </w:p>
        </w:tc>
        <w:tc>
          <w:tcPr>
            <w:tcW w:w="0" w:type="auto"/>
          </w:tcPr>
          <w:p w14:paraId="78B33738"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0.04</w:t>
            </w:r>
          </w:p>
        </w:tc>
        <w:tc>
          <w:tcPr>
            <w:tcW w:w="1713" w:type="pct"/>
          </w:tcPr>
          <w:p w14:paraId="0E5A635F"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0.92</w:t>
            </w:r>
          </w:p>
        </w:tc>
      </w:tr>
      <w:tr w:rsidR="00BC3C05" w:rsidRPr="00BC3C05" w14:paraId="6EB88DD7" w14:textId="77777777" w:rsidTr="004A46E4">
        <w:trPr>
          <w:jc w:val="center"/>
        </w:trPr>
        <w:tc>
          <w:tcPr>
            <w:tcW w:w="0" w:type="auto"/>
          </w:tcPr>
          <w:p w14:paraId="50CF0638"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lastRenderedPageBreak/>
              <w:t>Indonesia</w:t>
            </w:r>
          </w:p>
        </w:tc>
        <w:tc>
          <w:tcPr>
            <w:tcW w:w="0" w:type="auto"/>
          </w:tcPr>
          <w:p w14:paraId="312E73AD"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0.03</w:t>
            </w:r>
          </w:p>
        </w:tc>
        <w:tc>
          <w:tcPr>
            <w:tcW w:w="1713" w:type="pct"/>
          </w:tcPr>
          <w:p w14:paraId="5E188BD0"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0.80</w:t>
            </w:r>
          </w:p>
        </w:tc>
      </w:tr>
      <w:tr w:rsidR="00BC3C05" w:rsidRPr="00BC3C05" w14:paraId="6DC7D847" w14:textId="77777777" w:rsidTr="004A46E4">
        <w:trPr>
          <w:jc w:val="center"/>
        </w:trPr>
        <w:tc>
          <w:tcPr>
            <w:tcW w:w="0" w:type="auto"/>
          </w:tcPr>
          <w:p w14:paraId="392664C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Mexico</w:t>
            </w:r>
          </w:p>
        </w:tc>
        <w:tc>
          <w:tcPr>
            <w:tcW w:w="0" w:type="auto"/>
          </w:tcPr>
          <w:p w14:paraId="10F5AAF9"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0.02</w:t>
            </w:r>
          </w:p>
        </w:tc>
        <w:tc>
          <w:tcPr>
            <w:tcW w:w="1713" w:type="pct"/>
          </w:tcPr>
          <w:p w14:paraId="3BACC329"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0.62</w:t>
            </w:r>
          </w:p>
        </w:tc>
      </w:tr>
      <w:tr w:rsidR="00BC3C05" w:rsidRPr="00BC3C05" w14:paraId="3E550BBA" w14:textId="77777777" w:rsidTr="004A46E4">
        <w:trPr>
          <w:jc w:val="center"/>
        </w:trPr>
        <w:tc>
          <w:tcPr>
            <w:tcW w:w="0" w:type="auto"/>
          </w:tcPr>
          <w:p w14:paraId="26C11A9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Australia</w:t>
            </w:r>
          </w:p>
        </w:tc>
        <w:tc>
          <w:tcPr>
            <w:tcW w:w="0" w:type="auto"/>
          </w:tcPr>
          <w:p w14:paraId="592539C4"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0.02</w:t>
            </w:r>
          </w:p>
        </w:tc>
        <w:tc>
          <w:tcPr>
            <w:tcW w:w="1713" w:type="pct"/>
          </w:tcPr>
          <w:p w14:paraId="0425EF2C"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0.44</w:t>
            </w:r>
          </w:p>
        </w:tc>
      </w:tr>
      <w:tr w:rsidR="00BC3C05" w:rsidRPr="00BC3C05" w14:paraId="63C154C8" w14:textId="77777777" w:rsidTr="004A46E4">
        <w:trPr>
          <w:jc w:val="center"/>
        </w:trPr>
        <w:tc>
          <w:tcPr>
            <w:tcW w:w="0" w:type="auto"/>
          </w:tcPr>
          <w:p w14:paraId="5FAFC6D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Tanzania, United Republic of</w:t>
            </w:r>
          </w:p>
        </w:tc>
        <w:tc>
          <w:tcPr>
            <w:tcW w:w="0" w:type="auto"/>
          </w:tcPr>
          <w:p w14:paraId="756D2CDB"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0.02</w:t>
            </w:r>
          </w:p>
        </w:tc>
        <w:tc>
          <w:tcPr>
            <w:tcW w:w="1713" w:type="pct"/>
          </w:tcPr>
          <w:p w14:paraId="785EB136"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0.43</w:t>
            </w:r>
          </w:p>
        </w:tc>
      </w:tr>
      <w:tr w:rsidR="00BC3C05" w:rsidRPr="00BC3C05" w14:paraId="0CE06362" w14:textId="77777777" w:rsidTr="004A46E4">
        <w:trPr>
          <w:jc w:val="center"/>
        </w:trPr>
        <w:tc>
          <w:tcPr>
            <w:tcW w:w="0" w:type="auto"/>
          </w:tcPr>
          <w:p w14:paraId="0ADE79B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China</w:t>
            </w:r>
          </w:p>
        </w:tc>
        <w:tc>
          <w:tcPr>
            <w:tcW w:w="0" w:type="auto"/>
          </w:tcPr>
          <w:p w14:paraId="13F01B07"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0.01</w:t>
            </w:r>
          </w:p>
        </w:tc>
        <w:tc>
          <w:tcPr>
            <w:tcW w:w="1713" w:type="pct"/>
          </w:tcPr>
          <w:p w14:paraId="7D49A23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0.33</w:t>
            </w:r>
          </w:p>
        </w:tc>
      </w:tr>
      <w:tr w:rsidR="00BC3C05" w:rsidRPr="00BC3C05" w14:paraId="4025F0AF" w14:textId="77777777" w:rsidTr="004A46E4">
        <w:trPr>
          <w:jc w:val="center"/>
        </w:trPr>
        <w:tc>
          <w:tcPr>
            <w:tcW w:w="0" w:type="auto"/>
          </w:tcPr>
          <w:p w14:paraId="17516CD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Norway</w:t>
            </w:r>
          </w:p>
        </w:tc>
        <w:tc>
          <w:tcPr>
            <w:tcW w:w="0" w:type="auto"/>
          </w:tcPr>
          <w:p w14:paraId="29C8229C"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0.01</w:t>
            </w:r>
          </w:p>
        </w:tc>
        <w:tc>
          <w:tcPr>
            <w:tcW w:w="1713" w:type="pct"/>
          </w:tcPr>
          <w:p w14:paraId="7DE4733D"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0.33</w:t>
            </w:r>
          </w:p>
        </w:tc>
      </w:tr>
      <w:tr w:rsidR="00BC3C05" w:rsidRPr="00BC3C05" w14:paraId="69B79BD2" w14:textId="77777777" w:rsidTr="004A46E4">
        <w:trPr>
          <w:jc w:val="center"/>
        </w:trPr>
        <w:tc>
          <w:tcPr>
            <w:tcW w:w="0" w:type="auto"/>
          </w:tcPr>
          <w:p w14:paraId="0A8F374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Lebanon</w:t>
            </w:r>
          </w:p>
        </w:tc>
        <w:tc>
          <w:tcPr>
            <w:tcW w:w="0" w:type="auto"/>
          </w:tcPr>
          <w:p w14:paraId="3348602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0.01</w:t>
            </w:r>
          </w:p>
        </w:tc>
        <w:tc>
          <w:tcPr>
            <w:tcW w:w="1713" w:type="pct"/>
          </w:tcPr>
          <w:p w14:paraId="7A9CBACF"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0.27</w:t>
            </w:r>
          </w:p>
        </w:tc>
      </w:tr>
      <w:tr w:rsidR="00BC3C05" w:rsidRPr="00BC3C05" w14:paraId="1C92FD90" w14:textId="77777777" w:rsidTr="004A46E4">
        <w:trPr>
          <w:jc w:val="center"/>
        </w:trPr>
        <w:tc>
          <w:tcPr>
            <w:tcW w:w="0" w:type="auto"/>
          </w:tcPr>
          <w:p w14:paraId="43E1B47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Ireland</w:t>
            </w:r>
          </w:p>
        </w:tc>
        <w:tc>
          <w:tcPr>
            <w:tcW w:w="0" w:type="auto"/>
          </w:tcPr>
          <w:p w14:paraId="44D4DF4B"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0.01</w:t>
            </w:r>
          </w:p>
        </w:tc>
        <w:tc>
          <w:tcPr>
            <w:tcW w:w="1713" w:type="pct"/>
          </w:tcPr>
          <w:p w14:paraId="35872493"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0.20</w:t>
            </w:r>
          </w:p>
        </w:tc>
      </w:tr>
      <w:tr w:rsidR="00BC3C05" w:rsidRPr="00BC3C05" w14:paraId="0B77DA47" w14:textId="77777777" w:rsidTr="004A46E4">
        <w:trPr>
          <w:jc w:val="center"/>
        </w:trPr>
        <w:tc>
          <w:tcPr>
            <w:tcW w:w="0" w:type="auto"/>
          </w:tcPr>
          <w:p w14:paraId="4E162ED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Switzerland</w:t>
            </w:r>
          </w:p>
        </w:tc>
        <w:tc>
          <w:tcPr>
            <w:tcW w:w="0" w:type="auto"/>
          </w:tcPr>
          <w:p w14:paraId="440FCA6B"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0.00</w:t>
            </w:r>
          </w:p>
        </w:tc>
        <w:tc>
          <w:tcPr>
            <w:tcW w:w="1713" w:type="pct"/>
          </w:tcPr>
          <w:p w14:paraId="2CD53C5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&lt;0.01</w:t>
            </w:r>
          </w:p>
        </w:tc>
      </w:tr>
      <w:tr w:rsidR="00BC3C05" w:rsidRPr="00BC3C05" w14:paraId="3A38F3FA" w14:textId="77777777" w:rsidTr="004A46E4">
        <w:trPr>
          <w:jc w:val="center"/>
        </w:trPr>
        <w:tc>
          <w:tcPr>
            <w:tcW w:w="0" w:type="auto"/>
          </w:tcPr>
          <w:p w14:paraId="0FFD8A0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Turkey</w:t>
            </w:r>
          </w:p>
        </w:tc>
        <w:tc>
          <w:tcPr>
            <w:tcW w:w="0" w:type="auto"/>
          </w:tcPr>
          <w:p w14:paraId="0CA4AC73"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0.00</w:t>
            </w:r>
          </w:p>
        </w:tc>
        <w:tc>
          <w:tcPr>
            <w:tcW w:w="1713" w:type="pct"/>
          </w:tcPr>
          <w:p w14:paraId="247867F5"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&lt;0.01</w:t>
            </w:r>
          </w:p>
        </w:tc>
      </w:tr>
      <w:tr w:rsidR="00BC3C05" w:rsidRPr="00BC3C05" w14:paraId="05357C4E" w14:textId="77777777" w:rsidTr="004A46E4">
        <w:trPr>
          <w:jc w:val="center"/>
        </w:trPr>
        <w:tc>
          <w:tcPr>
            <w:tcW w:w="0" w:type="auto"/>
          </w:tcPr>
          <w:p w14:paraId="35F48CB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Botswana</w:t>
            </w:r>
          </w:p>
        </w:tc>
        <w:tc>
          <w:tcPr>
            <w:tcW w:w="0" w:type="auto"/>
          </w:tcPr>
          <w:p w14:paraId="01C752F4"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0.00</w:t>
            </w:r>
          </w:p>
        </w:tc>
        <w:tc>
          <w:tcPr>
            <w:tcW w:w="1713" w:type="pct"/>
          </w:tcPr>
          <w:p w14:paraId="56C60187"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&lt;0.01</w:t>
            </w:r>
          </w:p>
        </w:tc>
      </w:tr>
      <w:tr w:rsidR="00BC3C05" w:rsidRPr="00BC3C05" w14:paraId="4CE4349E" w14:textId="77777777" w:rsidTr="004A46E4">
        <w:trPr>
          <w:jc w:val="center"/>
        </w:trPr>
        <w:tc>
          <w:tcPr>
            <w:tcW w:w="0" w:type="auto"/>
          </w:tcPr>
          <w:p w14:paraId="6FEE61C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Iran, Islamic Republic of</w:t>
            </w:r>
          </w:p>
        </w:tc>
        <w:tc>
          <w:tcPr>
            <w:tcW w:w="0" w:type="auto"/>
          </w:tcPr>
          <w:p w14:paraId="272AC86C"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0.00</w:t>
            </w:r>
          </w:p>
        </w:tc>
        <w:tc>
          <w:tcPr>
            <w:tcW w:w="1713" w:type="pct"/>
          </w:tcPr>
          <w:p w14:paraId="2F578DB5"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&lt;0.01</w:t>
            </w:r>
          </w:p>
        </w:tc>
      </w:tr>
      <w:tr w:rsidR="00BC3C05" w:rsidRPr="00BC3C05" w14:paraId="48F37BC1" w14:textId="77777777" w:rsidTr="004A46E4">
        <w:trPr>
          <w:jc w:val="center"/>
        </w:trPr>
        <w:tc>
          <w:tcPr>
            <w:tcW w:w="0" w:type="auto"/>
          </w:tcPr>
          <w:p w14:paraId="69C35F6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Uganda</w:t>
            </w:r>
          </w:p>
        </w:tc>
        <w:tc>
          <w:tcPr>
            <w:tcW w:w="0" w:type="auto"/>
          </w:tcPr>
          <w:p w14:paraId="072FA945"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0.00</w:t>
            </w:r>
          </w:p>
        </w:tc>
        <w:tc>
          <w:tcPr>
            <w:tcW w:w="1713" w:type="pct"/>
          </w:tcPr>
          <w:p w14:paraId="4A7D6E0B"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&lt;0.01</w:t>
            </w:r>
          </w:p>
        </w:tc>
      </w:tr>
      <w:tr w:rsidR="00BC3C05" w:rsidRPr="00BC3C05" w14:paraId="64E312A2" w14:textId="77777777" w:rsidTr="004A46E4">
        <w:trPr>
          <w:jc w:val="center"/>
        </w:trPr>
        <w:tc>
          <w:tcPr>
            <w:tcW w:w="0" w:type="auto"/>
          </w:tcPr>
          <w:p w14:paraId="3FDF7A3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i/>
                <w:iCs/>
              </w:rPr>
              <w:t>Brunei Darussalam</w:t>
            </w:r>
          </w:p>
        </w:tc>
        <w:tc>
          <w:tcPr>
            <w:tcW w:w="0" w:type="auto"/>
          </w:tcPr>
          <w:p w14:paraId="7B5FBD42"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0.00</w:t>
            </w:r>
          </w:p>
        </w:tc>
        <w:tc>
          <w:tcPr>
            <w:tcW w:w="1713" w:type="pct"/>
          </w:tcPr>
          <w:p w14:paraId="22EC78CD" w14:textId="77777777" w:rsidR="00BC3C05" w:rsidRPr="00BC3C05" w:rsidRDefault="00BC3C05" w:rsidP="00BC3C05">
            <w:pPr>
              <w:spacing w:line="360" w:lineRule="auto"/>
              <w:jc w:val="center"/>
              <w:rPr>
                <w:rFonts w:ascii="Times New Roman" w:hAnsi="Times New Roman" w:cs="Times New Roman"/>
              </w:rPr>
            </w:pPr>
            <w:r w:rsidRPr="00BC3C05">
              <w:rPr>
                <w:rFonts w:ascii="Times New Roman" w:hAnsi="Times New Roman" w:cs="Times New Roman"/>
                <w:i/>
                <w:iCs/>
              </w:rPr>
              <w:t>&lt;0.01</w:t>
            </w:r>
          </w:p>
        </w:tc>
      </w:tr>
    </w:tbl>
    <w:p w14:paraId="764EB99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4533203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w:t>
      </w:r>
      <w:proofErr w:type="spellStart"/>
      <w:r w:rsidRPr="00BC3C05">
        <w:rPr>
          <w:rFonts w:ascii="Times New Roman" w:hAnsi="Times New Roman" w:cs="Times New Roman"/>
          <w:kern w:val="2"/>
          <w:sz w:val="24"/>
          <w:szCs w:val="24"/>
          <w14:ligatures w14:val="standardContextual"/>
        </w:rPr>
        <w:t>k_j</w:t>
      </w:r>
      <w:proofErr w:type="spellEnd"/>
      <w:r w:rsidRPr="00BC3C05">
        <w:rPr>
          <w:rFonts w:ascii="Times New Roman" w:hAnsi="Times New Roman" w:cs="Times New Roman"/>
          <w:kern w:val="2"/>
          <w:sz w:val="24"/>
          <w:szCs w:val="24"/>
          <w14:ligatures w14:val="standardContextual"/>
        </w:rPr>
        <w:t>, and per-country donor selection would define each coefficient against a different counterfactual. That difference would not be random, since donor weights are chosen on pre-treatment fit, pre-treatment applicant counts are income-related, and wealthier EU countries would draw on wealthier donors, so the induced error in the second-stage dependent variable would correlate with the regressor of interest. With seven pre-treatment years, per-country weights would also be fitted largely to noise (Abadie, 2021). We nonetheless apply the estimator to the full donor pool later as a robustness check.</w:t>
      </w:r>
    </w:p>
    <w:p w14:paraId="55688F2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2749114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Identification strategy and parallel trends</w:t>
      </w:r>
    </w:p>
    <w:p w14:paraId="3928B48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 closest design to ours, Sá (2014, 2017, 2019) 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k</m:t>
            </m:r>
          </m:e>
          <m:sub>
            <m:r>
              <w:rPr>
                <w:rFonts w:ascii="Cambria Math" w:hAnsi="Cambria Math" w:cs="Times New Roman"/>
                <w:kern w:val="2"/>
                <w:sz w:val="24"/>
                <w:szCs w:val="24"/>
                <w14:ligatures w14:val="standardContextual"/>
              </w:rPr>
              <m:t>j</m:t>
            </m:r>
          </m:sub>
        </m:sSub>
      </m:oMath>
      <w:r w:rsidRPr="00BC3C05">
        <w:rPr>
          <w:rFonts w:ascii="Times New Roman" w:hAnsi="Times New Roman" w:cs="Times New Roman"/>
          <w:kern w:val="2"/>
          <w:sz w:val="24"/>
          <w:szCs w:val="24"/>
          <w14:ligatures w14:val="standardContextual"/>
        </w:rPr>
        <w:t xml:space="preserve">  itself differs across countries because the present value of the foregone loan differs with </w:t>
      </w:r>
      <w:r w:rsidRPr="00BC3C05">
        <w:rPr>
          <w:rFonts w:ascii="Times New Roman" w:hAnsi="Times New Roman" w:cs="Times New Roman"/>
          <w:kern w:val="2"/>
          <w:sz w:val="24"/>
          <w:szCs w:val="24"/>
          <w14:ligatures w14:val="standardContextual"/>
        </w:rPr>
        <w:lastRenderedPageBreak/>
        <w:t xml:space="preserve">the average wage. The identifying variation thus has two dimensions at once, whether you are treated (EU vs non-EU) and how intensely (which EU country you are from). This corrects a limitation in Sá (2014), which cannot separately identify these because all treated students face the same fee change, leaving the identification to rest on only 2 country-clusters regardless of the fact that she has more than 100,000 observations, and only 18 country-year </w:t>
      </w:r>
      <w:proofErr w:type="spellStart"/>
      <w:r w:rsidRPr="00BC3C05">
        <w:rPr>
          <w:rFonts w:ascii="Times New Roman" w:hAnsi="Times New Roman" w:cs="Times New Roman"/>
          <w:kern w:val="2"/>
          <w:sz w:val="24"/>
          <w:szCs w:val="24"/>
          <w14:ligatures w14:val="standardContextual"/>
        </w:rPr>
        <w:t>contrasts</w:t>
      </w:r>
      <w:proofErr w:type="spellEnd"/>
      <w:r w:rsidRPr="00BC3C05">
        <w:rPr>
          <w:rFonts w:ascii="Times New Roman" w:hAnsi="Times New Roman" w:cs="Times New Roman"/>
          <w:kern w:val="2"/>
          <w:sz w:val="24"/>
          <w:szCs w:val="24"/>
          <w14:ligatures w14:val="standardContextual"/>
        </w:rPr>
        <w:t xml:space="preserve">. </w:t>
      </w:r>
    </w:p>
    <w:p w14:paraId="69A24973"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 panel begins in 2016, which excludes the 2007 accessions of Bulgaria and Romania, Croatia’s 2013 accession, the end of transitional </w:t>
      </w:r>
      <w:proofErr w:type="spellStart"/>
      <w:r w:rsidRPr="00BC3C05">
        <w:rPr>
          <w:rFonts w:ascii="Times New Roman" w:hAnsi="Times New Roman" w:cs="Times New Roman"/>
          <w:kern w:val="2"/>
          <w:sz w:val="24"/>
          <w:szCs w:val="24"/>
          <w14:ligatures w14:val="standardContextual"/>
        </w:rPr>
        <w:t>labour</w:t>
      </w:r>
      <w:proofErr w:type="spellEnd"/>
      <w:r w:rsidRPr="00BC3C05">
        <w:rPr>
          <w:rFonts w:ascii="Times New Roman" w:hAnsi="Times New Roman" w:cs="Times New Roman"/>
          <w:kern w:val="2"/>
          <w:sz w:val="24"/>
          <w:szCs w:val="24"/>
          <w14:ligatures w14:val="standardContextual"/>
        </w:rPr>
        <w:t>-market restrictions in 2014, and England’s 2012/13 fee-cap increase from the baseline regression window. This choice does not place every earlier event outside the pre-treatment period. The 2016 referendum and the £250 tuition increase in 2017 remain inside it. We therefore assess whether they generated differential EU-control movements through the event-study leads and the leads-only specification. Those estimates show no systematic divergence, but the short 2016–2020 regression pre-period still limits the power of pre-trend tests. The donor-selection step uses the longer 2014–2020 window.</w:t>
      </w:r>
    </w:p>
    <w:p w14:paraId="11E8B9A4"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Following these design choices, we estimate a weighted dynamic difference-in-differences specification. This traces the evolution of applicant counts around the Brexit tuition reform:</w:t>
      </w:r>
    </w:p>
    <w:p w14:paraId="28267B8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bl>
      <w:tblPr>
        <w:tblW w:w="0" w:type="auto"/>
        <w:tblLook w:val="04A0" w:firstRow="1" w:lastRow="0" w:firstColumn="1" w:lastColumn="0" w:noHBand="0" w:noVBand="1"/>
      </w:tblPr>
      <w:tblGrid>
        <w:gridCol w:w="8170"/>
        <w:gridCol w:w="856"/>
      </w:tblGrid>
      <w:tr w:rsidR="00BC3C05" w:rsidRPr="00BC3C05" w14:paraId="004C6675" w14:textId="77777777" w:rsidTr="004A46E4">
        <w:trPr>
          <w:tblHeader/>
        </w:trPr>
        <w:tc>
          <w:tcPr>
            <w:tcW w:w="8170" w:type="dxa"/>
          </w:tcPr>
          <w:p w14:paraId="675DD7A9" w14:textId="77777777" w:rsidR="00BC3C05" w:rsidRPr="00BC3C05" w:rsidRDefault="00000000" w:rsidP="00BC3C05">
            <w:pPr>
              <w:spacing w:after="0" w:line="360" w:lineRule="auto"/>
              <w:rPr>
                <w:rFonts w:ascii="Times New Roman" w:eastAsia="Times New Roman" w:hAnsi="Times New Roman" w:cs="Times New Roman"/>
                <w:sz w:val="24"/>
                <w:szCs w:val="24"/>
                <w:lang w:eastAsia="en-GB"/>
              </w:rPr>
            </w:pPr>
            <m:oMathPara>
              <m:oMathParaPr>
                <m:jc m:val="left"/>
              </m:oMathParaPr>
              <m:oMath>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log</m:t>
                    </m:r>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it</m:t>
                        </m:r>
                      </m:sub>
                    </m:sSub>
                  </m:e>
                </m:fun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nary>
                  <m:naryPr>
                    <m:chr m:val="∑"/>
                    <m:limLoc m:val="undOvr"/>
                    <m:supHide m:val="1"/>
                    <m:ctrlPr>
                      <w:rPr>
                        <w:rFonts w:ascii="Cambria Math" w:eastAsia="Times New Roman" w:hAnsi="Cambria Math" w:cs="Times New Roman"/>
                        <w:i/>
                        <w:sz w:val="24"/>
                        <w:szCs w:val="24"/>
                      </w:rPr>
                    </m:ctrlPr>
                  </m:naryPr>
                  <m:sub>
                    <m:r>
                      <m:rPr>
                        <m:scr m:val="script"/>
                      </m:rPr>
                      <w:rPr>
                        <w:rFonts w:ascii="Cambria Math" w:eastAsia="Times New Roman" w:hAnsi="Cambria Math" w:cs="Times New Roman"/>
                        <w:sz w:val="24"/>
                        <w:szCs w:val="24"/>
                      </w:rPr>
                      <m:t>l≠</m:t>
                    </m:r>
                    <m:r>
                      <w:rPr>
                        <w:rFonts w:ascii="Cambria Math" w:eastAsia="Times New Roman" w:hAnsi="Cambria Math" w:cs="Times New Roman"/>
                        <w:sz w:val="24"/>
                        <w:szCs w:val="24"/>
                      </w:rPr>
                      <m:t>0</m:t>
                    </m:r>
                  </m:sub>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δ</m:t>
                        </m:r>
                      </m:e>
                      <m:sub>
                        <m:r>
                          <m:rPr>
                            <m:scr m:val="script"/>
                          </m:rPr>
                          <w:rPr>
                            <w:rFonts w:ascii="Cambria Math" w:eastAsia="Times New Roman" w:hAnsi="Cambria Math" w:cs="Times New Roman"/>
                            <w:sz w:val="24"/>
                            <w:szCs w:val="24"/>
                          </w:rPr>
                          <m:t>l</m:t>
                        </m:r>
                      </m:sub>
                    </m:sSub>
                  </m:e>
                </m:nary>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×1</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t-2020=</m:t>
                        </m:r>
                        <m:r>
                          <m:rPr>
                            <m:scr m:val="script"/>
                          </m:rPr>
                          <w:rPr>
                            <w:rFonts w:ascii="Cambria Math" w:eastAsia="Times New Roman" w:hAnsi="Cambria Math" w:cs="Times New Roman"/>
                            <w:sz w:val="24"/>
                            <w:szCs w:val="24"/>
                          </w:rPr>
                          <m:t>l</m:t>
                        </m:r>
                      </m:e>
                    </m:d>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it</m:t>
                    </m:r>
                  </m:sub>
                </m:sSub>
              </m:oMath>
            </m:oMathPara>
          </w:p>
        </w:tc>
        <w:tc>
          <w:tcPr>
            <w:tcW w:w="856" w:type="dxa"/>
            <w:vAlign w:val="center"/>
          </w:tcPr>
          <w:p w14:paraId="162764A2" w14:textId="77777777" w:rsidR="00BC3C05" w:rsidRPr="00BC3C05" w:rsidRDefault="00BC3C05" w:rsidP="00BC3C05">
            <w:pPr>
              <w:spacing w:after="0" w:line="360" w:lineRule="auto"/>
              <w:rPr>
                <w:rFonts w:ascii="Times New Roman" w:eastAsia="Times New Roman" w:hAnsi="Times New Roman" w:cs="Times New Roman"/>
                <w:sz w:val="24"/>
                <w:szCs w:val="24"/>
                <w:lang w:eastAsia="en-GB"/>
              </w:rPr>
            </w:pPr>
            <w:r w:rsidRPr="00BC3C05">
              <w:rPr>
                <w:rFonts w:ascii="Times New Roman" w:eastAsia="Times New Roman" w:hAnsi="Times New Roman" w:cs="Times New Roman"/>
                <w:sz w:val="24"/>
                <w:szCs w:val="24"/>
                <w:lang w:eastAsia="en-GB"/>
              </w:rPr>
              <w:t>(1)</w:t>
            </w:r>
          </w:p>
        </w:tc>
      </w:tr>
    </w:tbl>
    <w:p w14:paraId="0E03548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30CF41A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 coefficients </w:t>
      </w: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δ</m:t>
            </m:r>
          </m:e>
          <m:sub>
            <m:r>
              <m:rPr>
                <m:scr m:val="script"/>
                <m:sty m:val="p"/>
              </m:rPr>
              <w:rPr>
                <w:rFonts w:ascii="Cambria Math" w:hAnsi="Cambria Math" w:cs="Times New Roman"/>
                <w:kern w:val="2"/>
                <w:sz w:val="24"/>
                <w:szCs w:val="24"/>
                <w14:ligatures w14:val="standardContextual"/>
              </w:rPr>
              <m:t>l</m:t>
            </m:r>
          </m:sub>
        </m:sSub>
      </m:oMath>
      <w:r w:rsidRPr="00BC3C05">
        <w:rPr>
          <w:rFonts w:ascii="Times New Roman" w:hAnsi="Times New Roman" w:cs="Times New Roman"/>
          <w:kern w:val="2"/>
          <w:sz w:val="24"/>
          <w:szCs w:val="24"/>
          <w14:ligatures w14:val="standardContextual"/>
        </w:rPr>
        <w:t xml:space="preserve"> measure year-by-year deviations in log applicant counts for EU-origin countries relative to the omitted pre-reform year (</w:t>
      </w:r>
      <m:oMath>
        <m:r>
          <m:rPr>
            <m:scr m:val="script"/>
            <m:sty m:val="p"/>
          </m:rPr>
          <w:rPr>
            <w:rFonts w:ascii="Cambria Math" w:hAnsi="Cambria Math" w:cs="Times New Roman"/>
            <w:kern w:val="2"/>
            <w:sz w:val="24"/>
            <w:szCs w:val="24"/>
            <w14:ligatures w14:val="standardContextual"/>
          </w:rPr>
          <m:t>l=</m:t>
        </m:r>
        <m:r>
          <w:rPr>
            <w:rFonts w:ascii="Cambria Math" w:hAnsi="Cambria Math" w:cs="Times New Roman"/>
            <w:kern w:val="2"/>
            <w:sz w:val="24"/>
            <w:szCs w:val="24"/>
            <w14:ligatures w14:val="standardContextual"/>
          </w:rPr>
          <m:t>0</m:t>
        </m:r>
      </m:oMath>
      <w:r w:rsidRPr="00BC3C05">
        <w:rPr>
          <w:rFonts w:ascii="Times New Roman" w:hAnsi="Times New Roman" w:cs="Times New Roman"/>
          <w:kern w:val="2"/>
          <w:sz w:val="24"/>
          <w:szCs w:val="24"/>
          <w14:ligatures w14:val="standardContextual"/>
        </w:rPr>
        <w:t>, i.e. 2020), again estimated with the weights from the previous subsection.</w:t>
      </w:r>
    </w:p>
    <w:p w14:paraId="1A1552E7" w14:textId="77777777" w:rsidR="00BC3C05" w:rsidRPr="00BC3C05" w:rsidRDefault="00BC3C05" w:rsidP="00BC3C05">
      <w:pPr>
        <w:keepNext/>
        <w:spacing w:after="0" w:line="36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lastRenderedPageBreak/>
        <w:t>Figure 1.</w:t>
      </w:r>
      <w:r w:rsidRPr="00BC3C05">
        <w:rPr>
          <w:rFonts w:ascii="Times New Roman" w:hAnsi="Times New Roman" w:cs="Times New Roman"/>
          <w:i/>
          <w:iCs/>
          <w:kern w:val="2"/>
          <w14:ligatures w14:val="standardContextual"/>
        </w:rPr>
        <w:t xml:space="preserve"> Event-study estimates comparing EU applicants to the synthetic control group.</w:t>
      </w:r>
    </w:p>
    <w:p w14:paraId="3F1A215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40E42826" wp14:editId="0BE51C6A">
            <wp:extent cx="5727700" cy="3539066"/>
            <wp:effectExtent l="0" t="0" r="0" b="0"/>
            <wp:docPr id="22" name="Picture" descr="Event-study estimates for EU applicants relative to the synthetic control, with confidence intervals and 2016 as the reference year." title="Event-study estimates for EU applicants relative to the synthetic control, with confidence intervals and 2016 as the reference year"/>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9"/>
                    <a:stretch>
                      <a:fillRect/>
                    </a:stretch>
                  </pic:blipFill>
                  <pic:spPr bwMode="auto">
                    <a:xfrm>
                      <a:off x="0" y="0"/>
                      <a:ext cx="5727700" cy="3539066"/>
                    </a:xfrm>
                    <a:prstGeom prst="rect">
                      <a:avLst/>
                    </a:prstGeom>
                    <a:noFill/>
                    <a:ln w="9525">
                      <a:noFill/>
                      <a:headEnd/>
                      <a:tailEnd/>
                    </a:ln>
                  </pic:spPr>
                </pic:pic>
              </a:graphicData>
            </a:graphic>
          </wp:inline>
        </w:drawing>
      </w:r>
    </w:p>
    <w:p w14:paraId="687CD925" w14:textId="77777777" w:rsidR="00BC3C05" w:rsidRPr="00BC3C05" w:rsidRDefault="00BC3C05" w:rsidP="00BC3C05">
      <w:pPr>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Note</w:t>
      </w:r>
      <w:r w:rsidRPr="00BC3C05">
        <w:rPr>
          <w:rFonts w:ascii="Times New Roman" w:hAnsi="Times New Roman" w:cs="Times New Roman"/>
          <w:i/>
          <w:iCs/>
          <w:kern w:val="2"/>
          <w14:ligatures w14:val="standardContextual"/>
        </w:rPr>
        <w:t>: The figure plots coefficients from a difference-in-differences event-study comparing EU applicants to a synthetic control group of non-EU countries. The horizontal axis shows years relative to 2020, the last pre-treatment year. Points represent estimated differences in log applicant counts and bars denote 95% confidence intervals clustered at the country level. The dashed vertical line marks the final pre-treatment year. Pre-treatment coefficients are small and close to zero, while a sharp decline in EU applicant numbers emerges beginning in 2021 after the tuition reform took effect. A joint Wald test cannot reject the null that the pre-treatment coefficients are jointly zero (p = 0.96), providing no strong evidence of differential pre-trends.</w:t>
      </w:r>
    </w:p>
    <w:p w14:paraId="18A34D8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4BE26C97"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Figure 1 reports the event-study coefficients from equation (1). The pre-treatment leads are small and a joint Wald test fails to reject that they are jointly zero (p = .96), providing no evidence of differential pre-trends in this short window. The post-treatment decline persists through 2024 and 2025, which is inconsistent with a purely transitory pandemic explanation. </w:t>
      </w:r>
    </w:p>
    <w:p w14:paraId="486CC54E"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A leads-only specification likewise finds no evidence of anticipatory adjustment before the reform. The early leads show no systematic pattern and are jointly statistically indistinguishable from zero (p = .96).</w:t>
      </w:r>
    </w:p>
    <w:p w14:paraId="0FDA231F"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Allowing country-specific dynamic effects yields similar patterns, with post-treatment coefficients consistently negative across EU countries and pre-treatment estimates near zero (Figure 2). The one exception is Portugal, whose applicant count did not immediately fall in 2021, which traces to a UCAS reporting issue where some Recorded Prior Acceptances were </w:t>
      </w:r>
      <w:r w:rsidRPr="00BC3C05">
        <w:rPr>
          <w:rFonts w:ascii="Times New Roman" w:hAnsi="Times New Roman" w:cs="Times New Roman"/>
          <w:kern w:val="2"/>
          <w:sz w:val="24"/>
          <w:szCs w:val="24"/>
          <w14:ligatures w14:val="standardContextual"/>
        </w:rPr>
        <w:lastRenderedPageBreak/>
        <w:t>mistakenly submitted as Portugal-domiciled in the 2021 cycle, so the true count is lower than reported (UCAS, 2022).</w:t>
      </w:r>
    </w:p>
    <w:p w14:paraId="3E821150" w14:textId="77777777" w:rsidR="00BC3C05" w:rsidRPr="00BC3C05" w:rsidRDefault="00BC3C05" w:rsidP="00BC3C05">
      <w:pPr>
        <w:spacing w:after="0" w:line="360" w:lineRule="auto"/>
        <w:ind w:firstLine="720"/>
        <w:rPr>
          <w:rFonts w:ascii="Times New Roman" w:hAnsi="Times New Roman" w:cs="Times New Roman"/>
          <w:i/>
          <w:iCs/>
          <w:kern w:val="2"/>
          <w14:ligatures w14:val="standardContextual"/>
        </w:rPr>
      </w:pPr>
    </w:p>
    <w:p w14:paraId="1EDEF49E" w14:textId="77777777" w:rsidR="00BC3C05" w:rsidRPr="00BC3C05" w:rsidRDefault="00BC3C05" w:rsidP="00BC3C05">
      <w:pPr>
        <w:keepNext/>
        <w:spacing w:after="0" w:line="36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Figure 2.</w:t>
      </w:r>
      <w:r w:rsidRPr="00BC3C05">
        <w:rPr>
          <w:rFonts w:ascii="Times New Roman" w:hAnsi="Times New Roman" w:cs="Times New Roman"/>
          <w:i/>
          <w:iCs/>
          <w:kern w:val="2"/>
          <w14:ligatures w14:val="standardContextual"/>
        </w:rPr>
        <w:t xml:space="preserve"> Saturated </w:t>
      </w:r>
      <w:proofErr w:type="spellStart"/>
      <w:r w:rsidRPr="00BC3C05">
        <w:rPr>
          <w:rFonts w:ascii="Times New Roman" w:hAnsi="Times New Roman" w:cs="Times New Roman"/>
          <w:i/>
          <w:iCs/>
          <w:kern w:val="2"/>
          <w14:ligatures w14:val="standardContextual"/>
        </w:rPr>
        <w:t>DiD</w:t>
      </w:r>
      <w:proofErr w:type="spellEnd"/>
      <w:r w:rsidRPr="00BC3C05">
        <w:rPr>
          <w:rFonts w:ascii="Times New Roman" w:hAnsi="Times New Roman" w:cs="Times New Roman"/>
          <w:i/>
          <w:iCs/>
          <w:kern w:val="2"/>
          <w14:ligatures w14:val="standardContextual"/>
        </w:rPr>
        <w:t xml:space="preserve"> event-study estimates by country.</w:t>
      </w:r>
    </w:p>
    <w:p w14:paraId="6A5B20F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77DF2DB1" wp14:editId="47E8E952">
            <wp:extent cx="5727700" cy="4091214"/>
            <wp:effectExtent l="0" t="0" r="0" b="0"/>
            <wp:docPr id="25" name="Picture" descr="Country panels of saturated difference-in-differences event-study estimates, showing negative post-2021 effects across EU origins." title="Country panels of saturated difference-in-differences event-study estimates, showing negative post-2021 effects across EU origins"/>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p>
    <w:p w14:paraId="450CC68D" w14:textId="77777777" w:rsidR="00BC3C05" w:rsidRPr="00BC3C05" w:rsidRDefault="00BC3C05" w:rsidP="00BC3C05">
      <w:pPr>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Note</w:t>
      </w:r>
      <w:r w:rsidRPr="00BC3C05">
        <w:rPr>
          <w:rFonts w:ascii="Times New Roman" w:hAnsi="Times New Roman" w:cs="Times New Roman"/>
          <w:i/>
          <w:iCs/>
          <w:kern w:val="2"/>
          <w14:ligatures w14:val="standardContextual"/>
        </w:rPr>
        <w:t xml:space="preserve">: Each panel reports country-specific dynamic treatment effects from the saturated difference-in-differences specification comparing EU countries with the pooled control group. Coefficients represent differences in log applicant counts relative to the baseline year (2020). </w:t>
      </w:r>
    </w:p>
    <w:p w14:paraId="1629DDC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5F2CD00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Baseline elasticity estimates and heterogeneous price shocks</w:t>
      </w:r>
    </w:p>
    <w:p w14:paraId="5534E4F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Let </w:t>
      </w:r>
      <m:oMath>
        <m:r>
          <m:rPr>
            <m:scr m:val="script"/>
            <m:sty m:val="p"/>
          </m:rPr>
          <w:rPr>
            <w:rFonts w:ascii="Cambria Math" w:hAnsi="Cambria Math" w:cs="Times New Roman"/>
            <w:kern w:val="2"/>
            <w:sz w:val="24"/>
            <w:szCs w:val="24"/>
            <w14:ligatures w14:val="standardContextual"/>
          </w:rPr>
          <m:t>C</m:t>
        </m:r>
      </m:oMath>
      <w:r w:rsidRPr="00BC3C05">
        <w:rPr>
          <w:rFonts w:ascii="Times New Roman" w:hAnsi="Times New Roman" w:cs="Times New Roman"/>
          <w:kern w:val="2"/>
          <w:sz w:val="24"/>
          <w:szCs w:val="24"/>
          <w14:ligatures w14:val="standardContextual"/>
        </w:rPr>
        <w:t xml:space="preserve"> denote the set of origin countries, partitioned into the treated EU markets </w:t>
      </w:r>
      <m:oMath>
        <m:r>
          <w:rPr>
            <w:rFonts w:ascii="Cambria Math" w:hAnsi="Cambria Math" w:cs="Times New Roman"/>
            <w:kern w:val="2"/>
            <w:sz w:val="24"/>
            <w:szCs w:val="24"/>
            <w14:ligatures w14:val="standardContextual"/>
          </w:rPr>
          <m:t>Ω</m:t>
        </m:r>
        <m:r>
          <m:rPr>
            <m:scr m:val="script"/>
            <m:sty m:val="p"/>
          </m:rPr>
          <w:rPr>
            <w:rFonts w:ascii="Cambria Math" w:hAnsi="Cambria Math" w:cs="Times New Roman"/>
            <w:kern w:val="2"/>
            <w:sz w:val="24"/>
            <w:szCs w:val="24"/>
            <w14:ligatures w14:val="standardContextual"/>
          </w:rPr>
          <m:t>⊂C</m:t>
        </m:r>
      </m:oMath>
      <w:r w:rsidRPr="00BC3C05">
        <w:rPr>
          <w:rFonts w:ascii="Times New Roman" w:hAnsi="Times New Roman" w:cs="Times New Roman"/>
          <w:kern w:val="2"/>
          <w:sz w:val="24"/>
          <w:szCs w:val="24"/>
          <w14:ligatures w14:val="standardContextual"/>
        </w:rPr>
        <w:t xml:space="preserve">, with </w:t>
      </w:r>
      <m:oMath>
        <m:r>
          <w:rPr>
            <w:rFonts w:ascii="Cambria Math" w:hAnsi="Cambria Math" w:cs="Times New Roman"/>
            <w:kern w:val="2"/>
            <w:sz w:val="24"/>
            <w:szCs w:val="24"/>
            <w14:ligatures w14:val="standardContextual"/>
          </w:rPr>
          <m:t>J</m:t>
        </m:r>
        <m:r>
          <m:rPr>
            <m:sty m:val="p"/>
          </m:rPr>
          <w:rPr>
            <w:rFonts w:ascii="Cambria Math" w:hAnsi="Cambria Math" w:cs="Times New Roman"/>
            <w:kern w:val="2"/>
            <w:sz w:val="24"/>
            <w:szCs w:val="24"/>
            <w14:ligatures w14:val="standardContextual"/>
          </w:rPr>
          <m:t>=</m:t>
        </m:r>
        <m:d>
          <m:dPr>
            <m:begChr m:val="|"/>
            <m:endChr m:val="|"/>
            <m:ctrlPr>
              <w:rPr>
                <w:rFonts w:ascii="Cambria Math" w:hAnsi="Cambria Math" w:cs="Times New Roman"/>
                <w:kern w:val="2"/>
                <w:sz w:val="24"/>
                <w:szCs w:val="24"/>
                <w14:ligatures w14:val="standardContextual"/>
              </w:rPr>
            </m:ctrlPr>
          </m:dPr>
          <m:e>
            <m:r>
              <w:rPr>
                <w:rFonts w:ascii="Cambria Math" w:hAnsi="Cambria Math" w:cs="Times New Roman"/>
                <w:kern w:val="2"/>
                <w:sz w:val="24"/>
                <w:szCs w:val="24"/>
                <w14:ligatures w14:val="standardContextual"/>
              </w:rPr>
              <m:t>Ω</m:t>
            </m:r>
          </m:e>
        </m:d>
      </m:oMath>
      <w:r w:rsidRPr="00BC3C05">
        <w:rPr>
          <w:rFonts w:ascii="Times New Roman" w:hAnsi="Times New Roman" w:cs="Times New Roman"/>
          <w:kern w:val="2"/>
          <w:sz w:val="24"/>
          <w:szCs w:val="24"/>
          <w14:ligatures w14:val="standardContextual"/>
        </w:rPr>
        <w:t xml:space="preserve">, and the candidate donor pool </w:t>
      </w:r>
      <m:oMath>
        <m:r>
          <m:rPr>
            <m:scr m:val="script"/>
            <m:sty m:val="p"/>
          </m:rPr>
          <w:rPr>
            <w:rFonts w:ascii="Cambria Math" w:hAnsi="Cambria Math" w:cs="Times New Roman"/>
            <w:kern w:val="2"/>
            <w:sz w:val="24"/>
            <w:szCs w:val="24"/>
            <w14:ligatures w14:val="standardContextual"/>
          </w:rPr>
          <m:t>D=C∖</m:t>
        </m:r>
        <m:r>
          <w:rPr>
            <w:rFonts w:ascii="Cambria Math" w:hAnsi="Cambria Math" w:cs="Times New Roman"/>
            <w:kern w:val="2"/>
            <w:sz w:val="24"/>
            <w:szCs w:val="24"/>
            <w14:ligatures w14:val="standardContextual"/>
          </w:rPr>
          <m:t>Ω</m:t>
        </m:r>
      </m:oMath>
      <w:r w:rsidRPr="00BC3C05">
        <w:rPr>
          <w:rFonts w:ascii="Times New Roman" w:hAnsi="Times New Roman" w:cs="Times New Roman"/>
          <w:kern w:val="2"/>
          <w:sz w:val="24"/>
          <w:szCs w:val="24"/>
          <w14:ligatures w14:val="standardContextual"/>
        </w:rPr>
        <w:t xml:space="preserve"> of non-EU markets. The counterfactual European Union gives a synthetic untreated group, letting us estimate the weighted saturated two-way DiD model:</w:t>
      </w:r>
    </w:p>
    <w:tbl>
      <w:tblPr>
        <w:tblW w:w="0" w:type="auto"/>
        <w:tblLook w:val="04A0" w:firstRow="1" w:lastRow="0" w:firstColumn="1" w:lastColumn="0" w:noHBand="0" w:noVBand="1"/>
      </w:tblPr>
      <w:tblGrid>
        <w:gridCol w:w="8500"/>
        <w:gridCol w:w="516"/>
      </w:tblGrid>
      <w:tr w:rsidR="00BC3C05" w:rsidRPr="00BC3C05" w14:paraId="6DDF01F1" w14:textId="77777777" w:rsidTr="004A46E4">
        <w:trPr>
          <w:tblHeader/>
        </w:trPr>
        <w:tc>
          <w:tcPr>
            <w:tcW w:w="8500" w:type="dxa"/>
          </w:tcPr>
          <w:p w14:paraId="693FFA4B" w14:textId="77777777" w:rsidR="00BC3C05" w:rsidRPr="00BC3C05" w:rsidRDefault="00000000" w:rsidP="00BC3C05">
            <w:pPr>
              <w:spacing w:after="0" w:line="360" w:lineRule="auto"/>
              <w:rPr>
                <w:rFonts w:ascii="Times New Roman" w:eastAsia="Times New Roman" w:hAnsi="Times New Roman" w:cs="Times New Roman"/>
                <w:sz w:val="24"/>
                <w:szCs w:val="24"/>
                <w:lang w:eastAsia="en-GB"/>
              </w:rPr>
            </w:pPr>
            <m:oMathPara>
              <m:oMathParaPr>
                <m:jc m:val="left"/>
              </m:oMathParaPr>
              <m:oMath>
                <m:func>
                  <m:funcPr>
                    <m:ctrlPr>
                      <w:rPr>
                        <w:rFonts w:ascii="Cambria Math" w:eastAsia="Times New Roman" w:hAnsi="Cambria Math" w:cs="Times New Roman"/>
                        <w:i/>
                        <w:sz w:val="24"/>
                        <w:szCs w:val="24"/>
                        <w:lang w:eastAsia="en-GB"/>
                      </w:rPr>
                    </m:ctrlPr>
                  </m:funcPr>
                  <m:fName>
                    <m:r>
                      <m:rPr>
                        <m:sty m:val="p"/>
                      </m:rPr>
                      <w:rPr>
                        <w:rFonts w:ascii="Cambria Math" w:eastAsia="Times New Roman" w:hAnsi="Cambria Math" w:cs="Times New Roman"/>
                        <w:sz w:val="24"/>
                        <w:szCs w:val="24"/>
                        <w:lang w:eastAsia="en-GB"/>
                      </w:rPr>
                      <m:t>log</m:t>
                    </m:r>
                  </m:fName>
                  <m:e>
                    <m:r>
                      <w:rPr>
                        <w:rFonts w:ascii="Cambria Math" w:eastAsia="Times New Roman" w:hAnsi="Cambria Math" w:cs="Times New Roman"/>
                        <w:sz w:val="24"/>
                        <w:szCs w:val="24"/>
                        <w:lang w:eastAsia="en-GB"/>
                      </w:rPr>
                      <m:t>(</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A</m:t>
                        </m:r>
                      </m:e>
                      <m:sub>
                        <m:r>
                          <w:rPr>
                            <w:rFonts w:ascii="Cambria Math" w:eastAsia="Times New Roman" w:hAnsi="Cambria Math" w:cs="Times New Roman"/>
                            <w:sz w:val="24"/>
                            <w:szCs w:val="24"/>
                            <w:lang w:eastAsia="en-GB"/>
                          </w:rPr>
                          <m:t>it</m:t>
                        </m:r>
                      </m:sub>
                    </m:sSub>
                    <m:r>
                      <w:rPr>
                        <w:rFonts w:ascii="Cambria Math" w:eastAsia="Times New Roman" w:hAnsi="Cambria Math" w:cs="Times New Roman"/>
                        <w:sz w:val="24"/>
                        <w:szCs w:val="24"/>
                        <w:lang w:eastAsia="en-GB"/>
                      </w:rPr>
                      <m:t>)</m:t>
                    </m:r>
                  </m:e>
                </m:func>
                <m:r>
                  <w:rPr>
                    <w:rFonts w:ascii="Cambria Math" w:eastAsia="Times New Roman" w:hAnsi="Cambria Math" w:cs="Times New Roman"/>
                    <w:sz w:val="24"/>
                    <w:szCs w:val="24"/>
                    <w:lang w:eastAsia="en-GB"/>
                  </w:rPr>
                  <m:t xml:space="preserve"> = </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α</m:t>
                    </m:r>
                  </m:e>
                  <m:sub>
                    <m:r>
                      <w:rPr>
                        <w:rFonts w:ascii="Cambria Math" w:eastAsia="Times New Roman" w:hAnsi="Cambria Math" w:cs="Times New Roman"/>
                        <w:sz w:val="24"/>
                        <w:szCs w:val="24"/>
                        <w:lang w:eastAsia="en-GB"/>
                      </w:rPr>
                      <m:t>i</m:t>
                    </m:r>
                  </m:sub>
                </m:sSub>
                <m:r>
                  <w:rPr>
                    <w:rFonts w:ascii="Cambria Math" w:eastAsia="Times New Roman" w:hAnsi="Cambria Math" w:cs="Times New Roman"/>
                    <w:sz w:val="24"/>
                    <w:szCs w:val="24"/>
                    <w:lang w:eastAsia="en-GB"/>
                  </w:rPr>
                  <m:t xml:space="preserve"> + </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γ</m:t>
                    </m:r>
                  </m:e>
                  <m:sub>
                    <m:r>
                      <w:rPr>
                        <w:rFonts w:ascii="Cambria Math" w:eastAsia="Times New Roman" w:hAnsi="Cambria Math" w:cs="Times New Roman"/>
                        <w:sz w:val="24"/>
                        <w:szCs w:val="24"/>
                        <w:lang w:eastAsia="en-GB"/>
                      </w:rPr>
                      <m:t>t</m:t>
                    </m:r>
                  </m:sub>
                </m:sSub>
                <m:r>
                  <w:rPr>
                    <w:rFonts w:ascii="Cambria Math" w:eastAsia="Times New Roman" w:hAnsi="Cambria Math" w:cs="Times New Roman"/>
                    <w:sz w:val="24"/>
                    <w:szCs w:val="24"/>
                    <w:lang w:eastAsia="en-GB"/>
                  </w:rPr>
                  <m:t xml:space="preserve"> +</m:t>
                </m:r>
                <m:nary>
                  <m:naryPr>
                    <m:chr m:val="∑"/>
                    <m:limLoc m:val="undOvr"/>
                    <m:ctrlPr>
                      <w:rPr>
                        <w:rFonts w:ascii="Cambria Math" w:eastAsia="Times New Roman" w:hAnsi="Cambria Math" w:cs="Times New Roman"/>
                        <w:i/>
                        <w:sz w:val="24"/>
                        <w:szCs w:val="24"/>
                        <w:lang w:eastAsia="en-GB"/>
                      </w:rPr>
                    </m:ctrlPr>
                  </m:naryPr>
                  <m:sub>
                    <m:eqArr>
                      <m:eqArrPr>
                        <m:ctrlPr>
                          <w:rPr>
                            <w:rFonts w:ascii="Cambria Math" w:eastAsia="Times New Roman" w:hAnsi="Cambria Math" w:cs="Times New Roman"/>
                            <w:i/>
                            <w:sz w:val="24"/>
                            <w:szCs w:val="24"/>
                            <w:lang w:eastAsia="en-GB"/>
                          </w:rPr>
                        </m:ctrlPr>
                      </m:eqArrPr>
                      <m:e>
                        <m:r>
                          <w:rPr>
                            <w:rFonts w:ascii="Cambria Math" w:eastAsia="Times New Roman" w:hAnsi="Cambria Math" w:cs="Times New Roman"/>
                            <w:sz w:val="24"/>
                            <w:szCs w:val="24"/>
                            <w:lang w:eastAsia="en-GB"/>
                          </w:rPr>
                          <m:t>j∈</m:t>
                        </m:r>
                        <m:r>
                          <m:rPr>
                            <m:sty m:val="p"/>
                          </m:rPr>
                          <w:rPr>
                            <w:rFonts w:ascii="Cambria Math" w:eastAsia="Times New Roman" w:hAnsi="Cambria Math" w:cs="Times New Roman"/>
                            <w:sz w:val="24"/>
                            <w:szCs w:val="24"/>
                            <w:lang w:eastAsia="en-GB"/>
                          </w:rPr>
                          <m:t>Ω</m:t>
                        </m:r>
                        <m:ctrlPr>
                          <w:rPr>
                            <w:rFonts w:ascii="Cambria Math" w:eastAsia="Times New Roman" w:hAnsi="Cambria Math" w:cs="Times New Roman"/>
                            <w:sz w:val="24"/>
                            <w:szCs w:val="24"/>
                            <w:lang w:eastAsia="en-GB"/>
                          </w:rPr>
                        </m:ctrlPr>
                      </m:e>
                      <m:e>
                        <m:r>
                          <w:rPr>
                            <w:rFonts w:ascii="Cambria Math" w:eastAsia="Times New Roman" w:hAnsi="Cambria Math" w:cs="Times New Roman"/>
                            <w:sz w:val="24"/>
                            <w:szCs w:val="24"/>
                            <w:lang w:eastAsia="en-GB"/>
                          </w:rPr>
                          <m:t xml:space="preserve"> </m:t>
                        </m:r>
                        <m:ctrlPr>
                          <w:rPr>
                            <w:rFonts w:ascii="Cambria Math" w:eastAsia="Times New Roman" w:hAnsi="Cambria Math" w:cs="Times New Roman"/>
                            <w:sz w:val="24"/>
                            <w:szCs w:val="24"/>
                            <w:lang w:eastAsia="en-GB"/>
                          </w:rPr>
                        </m:ctrlPr>
                      </m:e>
                    </m:eqArr>
                  </m:sub>
                  <m:sup>
                    <m:r>
                      <w:rPr>
                        <w:rFonts w:ascii="Cambria Math" w:eastAsia="Times New Roman" w:hAnsi="Cambria Math" w:cs="Times New Roman"/>
                        <w:sz w:val="24"/>
                        <w:szCs w:val="24"/>
                        <w:lang w:eastAsia="en-GB"/>
                      </w:rPr>
                      <m:t xml:space="preserve"> </m:t>
                    </m:r>
                  </m:sup>
                  <m:e>
                    <w:bookmarkStart w:id="1" w:name="_Hlk236222569"/>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β</m:t>
                        </m:r>
                      </m:e>
                      <m:sub>
                        <m:r>
                          <w:rPr>
                            <w:rFonts w:ascii="Cambria Math" w:eastAsia="Times New Roman" w:hAnsi="Cambria Math" w:cs="Times New Roman"/>
                            <w:sz w:val="24"/>
                            <w:szCs w:val="24"/>
                            <w:lang w:eastAsia="en-GB"/>
                          </w:rPr>
                          <m:t>j</m:t>
                        </m:r>
                      </m:sub>
                    </m:sSub>
                    <w:bookmarkEnd w:id="1"/>
                    <m:r>
                      <w:rPr>
                        <w:rFonts w:ascii="Cambria Math" w:eastAsia="Times New Roman" w:hAnsi="Cambria Math" w:cs="Times New Roman"/>
                        <w:sz w:val="24"/>
                        <w:szCs w:val="24"/>
                        <w:lang w:eastAsia="en-GB"/>
                      </w:rPr>
                      <m:t xml:space="preserve"> </m:t>
                    </m:r>
                    <m:d>
                      <m:dPr>
                        <m:ctrlPr>
                          <w:rPr>
                            <w:rFonts w:ascii="Cambria Math" w:eastAsia="Times New Roman" w:hAnsi="Cambria Math" w:cs="Times New Roman"/>
                            <w:i/>
                            <w:sz w:val="24"/>
                            <w:szCs w:val="24"/>
                            <w:lang w:eastAsia="en-GB"/>
                          </w:rPr>
                        </m:ctrlPr>
                      </m:dPr>
                      <m:e>
                        <w:bookmarkStart w:id="2" w:name="_Hlk223452261"/>
                        <m:r>
                          <m:rPr>
                            <m:sty m:val="bi"/>
                          </m:rPr>
                          <w:rPr>
                            <w:rFonts w:ascii="Cambria Math" w:eastAsia="Times New Roman" w:hAnsi="Cambria Math" w:cs="Times New Roman"/>
                            <w:sz w:val="24"/>
                            <w:szCs w:val="24"/>
                            <w:lang w:eastAsia="en-GB"/>
                          </w:rPr>
                          <m:t>1</m:t>
                        </m:r>
                        <m:d>
                          <m:dPr>
                            <m:begChr m:val="{"/>
                            <m:endChr m:val="}"/>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i=j</m:t>
                            </m:r>
                          </m:e>
                        </m:d>
                        <w:bookmarkEnd w:id="2"/>
                        <m:r>
                          <w:rPr>
                            <w:rFonts w:ascii="Cambria Math" w:eastAsia="Times New Roman" w:hAnsi="Cambria Math" w:cs="Times New Roman"/>
                            <w:sz w:val="24"/>
                            <w:szCs w:val="24"/>
                            <w:lang w:eastAsia="en-GB"/>
                          </w:rPr>
                          <m:t>×Pos</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t</m:t>
                            </m:r>
                          </m:e>
                          <m:sub>
                            <m:r>
                              <w:rPr>
                                <w:rFonts w:ascii="Cambria Math" w:eastAsia="Times New Roman" w:hAnsi="Cambria Math" w:cs="Times New Roman"/>
                                <w:sz w:val="24"/>
                                <w:szCs w:val="24"/>
                                <w:lang w:eastAsia="en-GB"/>
                              </w:rPr>
                              <m:t>t</m:t>
                            </m:r>
                          </m:sub>
                        </m:sSub>
                      </m:e>
                    </m:d>
                  </m:e>
                </m:nary>
                <m:r>
                  <w:rPr>
                    <w:rFonts w:ascii="Cambria Math" w:eastAsia="Times New Roman" w:hAnsi="Cambria Math" w:cs="Times New Roman"/>
                    <w:sz w:val="24"/>
                    <w:szCs w:val="24"/>
                    <w:lang w:eastAsia="en-GB"/>
                  </w:rPr>
                  <m:t xml:space="preserve">  +</m:t>
                </m:r>
                <m:sSup>
                  <m:sSupPr>
                    <m:ctrlPr>
                      <w:rPr>
                        <w:rFonts w:ascii="Cambria Math" w:eastAsia="Times New Roman" w:hAnsi="Cambria Math" w:cs="Times New Roman"/>
                        <w:i/>
                        <w:sz w:val="24"/>
                        <w:szCs w:val="24"/>
                        <w:lang w:eastAsia="en-GB"/>
                      </w:rPr>
                    </m:ctrlPr>
                  </m:sSupPr>
                  <m:e>
                    <m:r>
                      <w:rPr>
                        <w:rFonts w:ascii="Cambria Math" w:eastAsia="Times New Roman" w:hAnsi="Cambria Math" w:cs="Times New Roman"/>
                        <w:sz w:val="24"/>
                        <w:szCs w:val="24"/>
                        <w:lang w:eastAsia="en-GB"/>
                      </w:rPr>
                      <m:t>ρ</m:t>
                    </m:r>
                  </m:e>
                  <m:sup>
                    <m:r>
                      <w:rPr>
                        <w:rFonts w:ascii="Cambria Math" w:eastAsia="Times New Roman" w:hAnsi="Cambria Math" w:cs="Times New Roman"/>
                        <w:sz w:val="24"/>
                        <w:szCs w:val="24"/>
                        <w:lang w:eastAsia="en-GB"/>
                      </w:rPr>
                      <m:t>'</m:t>
                    </m:r>
                  </m:sup>
                </m:sSup>
                <m:r>
                  <m:rPr>
                    <m:sty m:val="bi"/>
                  </m:rPr>
                  <w:rPr>
                    <w:rFonts w:ascii="Cambria Math" w:eastAsia="Times New Roman" w:hAnsi="Cambria Math" w:cs="Times New Roman"/>
                    <w:sz w:val="24"/>
                    <w:szCs w:val="24"/>
                    <w:lang w:eastAsia="en-GB"/>
                  </w:rPr>
                  <m:t>X</m:t>
                </m:r>
                <m:r>
                  <w:rPr>
                    <w:rFonts w:ascii="Cambria Math" w:eastAsia="Times New Roman" w:hAnsi="Cambria Math" w:cs="Times New Roman"/>
                    <w:sz w:val="24"/>
                    <w:szCs w:val="24"/>
                    <w:lang w:eastAsia="en-GB"/>
                  </w:rPr>
                  <m:t xml:space="preserve">+ </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ε</m:t>
                    </m:r>
                  </m:e>
                  <m:sub>
                    <m:r>
                      <w:rPr>
                        <w:rFonts w:ascii="Cambria Math" w:eastAsia="Times New Roman" w:hAnsi="Cambria Math" w:cs="Times New Roman"/>
                        <w:sz w:val="24"/>
                        <w:szCs w:val="24"/>
                        <w:lang w:eastAsia="en-GB"/>
                      </w:rPr>
                      <m:t>it</m:t>
                    </m:r>
                  </m:sub>
                </m:sSub>
              </m:oMath>
            </m:oMathPara>
          </w:p>
        </w:tc>
        <w:tc>
          <w:tcPr>
            <w:tcW w:w="516" w:type="dxa"/>
            <w:vAlign w:val="center"/>
          </w:tcPr>
          <w:p w14:paraId="5671FC0A" w14:textId="77777777" w:rsidR="00BC3C05" w:rsidRPr="00BC3C05" w:rsidRDefault="00BC3C05" w:rsidP="00BC3C05">
            <w:pPr>
              <w:spacing w:after="0" w:line="360" w:lineRule="auto"/>
              <w:rPr>
                <w:rFonts w:ascii="Times New Roman" w:eastAsia="Times New Roman" w:hAnsi="Times New Roman" w:cs="Times New Roman"/>
                <w:sz w:val="24"/>
                <w:szCs w:val="24"/>
                <w:lang w:eastAsia="en-GB"/>
              </w:rPr>
            </w:pPr>
            <w:r w:rsidRPr="00BC3C05">
              <w:rPr>
                <w:rFonts w:ascii="Times New Roman" w:eastAsia="Times New Roman" w:hAnsi="Times New Roman" w:cs="Times New Roman"/>
                <w:sz w:val="24"/>
                <w:szCs w:val="24"/>
                <w:lang w:eastAsia="en-GB"/>
              </w:rPr>
              <w:t>(2)</w:t>
            </w:r>
          </w:p>
        </w:tc>
      </w:tr>
    </w:tbl>
    <w:p w14:paraId="1F5A737D" w14:textId="77777777" w:rsidR="00BC3C05" w:rsidRPr="00BC3C05" w:rsidDel="00D06BB8"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where </w:t>
      </w: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A</m:t>
            </m:r>
          </m:e>
          <m:sub>
            <m:r>
              <w:rPr>
                <w:rFonts w:ascii="Cambria Math" w:hAnsi="Cambria Math" w:cs="Times New Roman"/>
                <w:kern w:val="2"/>
                <w:sz w:val="24"/>
                <w:szCs w:val="24"/>
                <w14:ligatures w14:val="standardContextual"/>
              </w:rPr>
              <m:t>it</m:t>
            </m:r>
          </m:sub>
        </m:sSub>
      </m:oMath>
      <w:r w:rsidRPr="00BC3C05">
        <w:rPr>
          <w:rFonts w:ascii="Times New Roman" w:hAnsi="Times New Roman" w:cs="Times New Roman"/>
          <w:kern w:val="2"/>
          <w:sz w:val="24"/>
          <w:szCs w:val="24"/>
          <w14:ligatures w14:val="standardContextual"/>
        </w:rPr>
        <w:t xml:space="preserve"> denotes the applicant count from origin country </w:t>
      </w:r>
      <m:oMath>
        <m:r>
          <w:rPr>
            <w:rFonts w:ascii="Cambria Math" w:hAnsi="Cambria Math" w:cs="Times New Roman"/>
            <w:kern w:val="2"/>
            <w:sz w:val="24"/>
            <w:szCs w:val="24"/>
            <w14:ligatures w14:val="standardContextual"/>
          </w:rPr>
          <m:t>i</m:t>
        </m:r>
        <m:r>
          <m:rPr>
            <m:scr m:val="script"/>
            <m:sty m:val="p"/>
          </m:rPr>
          <w:rPr>
            <w:rFonts w:ascii="Cambria Math" w:hAnsi="Cambria Math" w:cs="Times New Roman"/>
            <w:kern w:val="2"/>
            <w:sz w:val="24"/>
            <w:szCs w:val="24"/>
            <w14:ligatures w14:val="standardContextual"/>
          </w:rPr>
          <m:t>∈C</m:t>
        </m:r>
      </m:oMath>
      <w:r w:rsidRPr="00BC3C05">
        <w:rPr>
          <w:rFonts w:ascii="Times New Roman" w:hAnsi="Times New Roman" w:cs="Times New Roman"/>
          <w:kern w:val="2"/>
          <w:sz w:val="24"/>
          <w:szCs w:val="24"/>
          <w14:ligatures w14:val="standardContextual"/>
        </w:rPr>
        <w:t xml:space="preserve"> in year </w:t>
      </w:r>
      <m:oMath>
        <m:r>
          <w:rPr>
            <w:rFonts w:ascii="Cambria Math" w:hAnsi="Cambria Math" w:cs="Times New Roman"/>
            <w:kern w:val="2"/>
            <w:sz w:val="24"/>
            <w:szCs w:val="24"/>
            <w14:ligatures w14:val="standardContextual"/>
          </w:rPr>
          <m:t>t</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2016</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 2025</m:t>
        </m:r>
        <m:r>
          <m:rPr>
            <m:sty m:val="p"/>
          </m:rPr>
          <w:rPr>
            <w:rFonts w:ascii="Cambria Math" w:hAnsi="Cambria Math" w:cs="Times New Roman"/>
            <w:kern w:val="2"/>
            <w:sz w:val="24"/>
            <w:szCs w:val="24"/>
            <w14:ligatures w14:val="standardContextual"/>
          </w:rPr>
          <m:t>]</m:t>
        </m:r>
      </m:oMath>
      <w:r w:rsidRPr="00BC3C05">
        <w:rPr>
          <w:rFonts w:ascii="Times New Roman" w:hAnsi="Times New Roman" w:cs="Times New Roman"/>
          <w:kern w:val="2"/>
          <w:sz w:val="24"/>
          <w:szCs w:val="24"/>
          <w14:ligatures w14:val="standardContextual"/>
        </w:rPr>
        <w:t xml:space="preserve">, </w:t>
      </w:r>
      <m:oMath>
        <m:r>
          <m:rPr>
            <m:sty m:val="b"/>
          </m:rPr>
          <w:rPr>
            <w:rFonts w:ascii="Cambria Math" w:hAnsi="Cambria Math" w:cs="Times New Roman"/>
            <w:kern w:val="2"/>
            <w:sz w:val="24"/>
            <w:szCs w:val="24"/>
            <w14:ligatures w14:val="standardContextual"/>
          </w:rPr>
          <m:t>1</m:t>
        </m:r>
        <m:d>
          <m:dPr>
            <m:begChr m:val="{"/>
            <m:endChr m:val="}"/>
            <m:ctrlPr>
              <w:rPr>
                <w:rFonts w:ascii="Cambria Math" w:hAnsi="Cambria Math" w:cs="Times New Roman"/>
                <w:kern w:val="2"/>
                <w:sz w:val="24"/>
                <w:szCs w:val="24"/>
                <w14:ligatures w14:val="standardContextual"/>
              </w:rPr>
            </m:ctrlPr>
          </m:dPr>
          <m:e>
            <m:r>
              <w:rPr>
                <w:rFonts w:ascii="Cambria Math" w:hAnsi="Cambria Math" w:cs="Times New Roman"/>
                <w:kern w:val="2"/>
                <w:sz w:val="24"/>
                <w:szCs w:val="24"/>
                <w14:ligatures w14:val="standardContextual"/>
              </w:rPr>
              <m:t>i</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j</m:t>
            </m:r>
          </m:e>
        </m:d>
      </m:oMath>
      <w:r w:rsidRPr="00BC3C05">
        <w:rPr>
          <w:rFonts w:ascii="Times New Roman" w:hAnsi="Times New Roman" w:cs="Times New Roman"/>
          <w:kern w:val="2"/>
          <w:sz w:val="24"/>
          <w:szCs w:val="24"/>
          <w14:ligatures w14:val="standardContextual"/>
        </w:rPr>
        <w:t xml:space="preserve"> indicates EU member states, and </w:t>
      </w:r>
      <m:oMath>
        <m:r>
          <w:rPr>
            <w:rFonts w:ascii="Cambria Math" w:hAnsi="Cambria Math" w:cs="Times New Roman"/>
            <w:kern w:val="2"/>
            <w:sz w:val="24"/>
            <w:szCs w:val="24"/>
            <w14:ligatures w14:val="standardContextual"/>
          </w:rPr>
          <m:t>Pos</m:t>
        </m:r>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t</m:t>
            </m:r>
          </m:e>
          <m:sub>
            <m:r>
              <w:rPr>
                <w:rFonts w:ascii="Cambria Math" w:hAnsi="Cambria Math" w:cs="Times New Roman"/>
                <w:kern w:val="2"/>
                <w:sz w:val="24"/>
                <w:szCs w:val="24"/>
                <w14:ligatures w14:val="standardContextual"/>
              </w:rPr>
              <m:t>t</m:t>
            </m:r>
          </m:sub>
        </m:sSub>
      </m:oMath>
      <w:r w:rsidRPr="00BC3C05">
        <w:rPr>
          <w:rFonts w:ascii="Times New Roman" w:hAnsi="Times New Roman" w:cs="Times New Roman"/>
          <w:kern w:val="2"/>
          <w:sz w:val="24"/>
          <w:szCs w:val="24"/>
          <w14:ligatures w14:val="standardContextual"/>
        </w:rPr>
        <w:t xml:space="preserve"> marks the new tuition regime in 2021. Importantly, as long as the two groups remain under different but unchanged tuition fee regimes, their relative applicant-count trajectories should remain stable. When the treated </w:t>
      </w:r>
      <w:r w:rsidRPr="00BC3C05">
        <w:rPr>
          <w:rFonts w:ascii="Times New Roman" w:hAnsi="Times New Roman" w:cs="Times New Roman"/>
          <w:kern w:val="2"/>
          <w:sz w:val="24"/>
          <w:szCs w:val="24"/>
          <w14:ligatures w14:val="standardContextual"/>
        </w:rPr>
        <w:lastRenderedPageBreak/>
        <w:t xml:space="preserve">group moves from the UK home-fee regime into the international fee regime already faced by the control group, </w:t>
      </w:r>
      <m:oMath>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β</m:t>
            </m:r>
          </m:e>
          <m:sub>
            <m:r>
              <w:rPr>
                <w:rFonts w:ascii="Cambria Math" w:hAnsi="Cambria Math" w:cs="Times New Roman"/>
                <w:kern w:val="2"/>
                <w:sz w:val="24"/>
                <w:szCs w:val="24"/>
                <w14:ligatures w14:val="standardContextual"/>
              </w:rPr>
              <m:t>j</m:t>
            </m:r>
          </m:sub>
        </m:sSub>
      </m:oMath>
      <w:r w:rsidRPr="00BC3C05">
        <w:rPr>
          <w:rFonts w:ascii="Times New Roman" w:hAnsi="Times New Roman" w:cs="Times New Roman"/>
          <w:kern w:val="2"/>
          <w:sz w:val="24"/>
          <w:szCs w:val="24"/>
          <w14:ligatures w14:val="standardContextual"/>
        </w:rPr>
        <w:t xml:space="preserve"> will capture the resulting change in the treated group’s applicant-count trajectory relative to the control group. This relative change identifies the reduction in applicant numbers when the treated group ceased to benefit from UK home-fee status.</w:t>
      </w:r>
    </w:p>
    <w:p w14:paraId="6C0D3C54"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To compare the initial and later post-reform periods, we split the post-treatment window into 2021–2023 and 2024–2025. The specification becomes:</w:t>
      </w:r>
    </w:p>
    <w:tbl>
      <w:tblPr>
        <w:tblW w:w="9356" w:type="dxa"/>
        <w:tblInd w:w="-5" w:type="dxa"/>
        <w:tblLayout w:type="fixed"/>
        <w:tblLook w:val="04A0" w:firstRow="1" w:lastRow="0" w:firstColumn="1" w:lastColumn="0" w:noHBand="0" w:noVBand="1"/>
      </w:tblPr>
      <w:tblGrid>
        <w:gridCol w:w="8789"/>
        <w:gridCol w:w="567"/>
      </w:tblGrid>
      <w:tr w:rsidR="00BC3C05" w:rsidRPr="00BC3C05" w14:paraId="6E449278" w14:textId="77777777" w:rsidTr="004A46E4">
        <w:tc>
          <w:tcPr>
            <w:tcW w:w="8789" w:type="dxa"/>
          </w:tcPr>
          <w:p w14:paraId="52D04C04" w14:textId="77777777" w:rsidR="00BC3C05" w:rsidRPr="00BC3C05" w:rsidRDefault="00000000" w:rsidP="00BC3C05">
            <w:pPr>
              <w:spacing w:after="0" w:line="360" w:lineRule="auto"/>
              <w:rPr>
                <w:rFonts w:ascii="Times New Roman" w:eastAsia="Times New Roman" w:hAnsi="Times New Roman" w:cs="Times New Roman"/>
                <w:sz w:val="24"/>
                <w:szCs w:val="24"/>
                <w:lang w:eastAsia="en-GB"/>
              </w:rPr>
            </w:pPr>
            <m:oMathPara>
              <m:oMathParaPr>
                <m:jc m:val="left"/>
              </m:oMathParaPr>
              <m:oMath>
                <m:m>
                  <m:mPr>
                    <m:mcs>
                      <m:mc>
                        <m:mcPr>
                          <m:count m:val="3"/>
                          <m:mcJc m:val="center"/>
                        </m:mcPr>
                      </m:mc>
                    </m:mcs>
                    <m:ctrlPr>
                      <w:rPr>
                        <w:rFonts w:ascii="Cambria Math" w:eastAsia="Times New Roman" w:hAnsi="Cambria Math" w:cs="Times New Roman"/>
                        <w:i/>
                        <w:sz w:val="24"/>
                        <w:szCs w:val="24"/>
                        <w:lang w:eastAsia="en-GB"/>
                      </w:rPr>
                    </m:ctrlPr>
                  </m:mPr>
                  <m:mr>
                    <m:e>
                      <m:func>
                        <m:funcPr>
                          <m:ctrlPr>
                            <w:rPr>
                              <w:rFonts w:ascii="Cambria Math" w:eastAsia="Times New Roman" w:hAnsi="Cambria Math" w:cs="Times New Roman"/>
                              <w:i/>
                              <w:sz w:val="24"/>
                              <w:szCs w:val="24"/>
                              <w:lang w:eastAsia="en-GB"/>
                            </w:rPr>
                          </m:ctrlPr>
                        </m:funcPr>
                        <m:fName>
                          <m:r>
                            <m:rPr>
                              <m:sty m:val="p"/>
                            </m:rPr>
                            <w:rPr>
                              <w:rFonts w:ascii="Cambria Math" w:eastAsia="Times New Roman" w:hAnsi="Cambria Math" w:cs="Times New Roman"/>
                              <w:sz w:val="24"/>
                              <w:szCs w:val="24"/>
                              <w:lang w:eastAsia="en-GB"/>
                            </w:rPr>
                            <m:t>log</m:t>
                          </m:r>
                        </m:fName>
                        <m:e>
                          <m:r>
                            <w:rPr>
                              <w:rFonts w:ascii="Cambria Math" w:eastAsia="Times New Roman" w:hAnsi="Cambria Math" w:cs="Times New Roman"/>
                              <w:sz w:val="24"/>
                              <w:szCs w:val="24"/>
                              <w:lang w:eastAsia="en-GB"/>
                            </w:rPr>
                            <m:t>(</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A</m:t>
                              </m:r>
                            </m:e>
                            <m:sub>
                              <m:r>
                                <w:rPr>
                                  <w:rFonts w:ascii="Cambria Math" w:eastAsia="Times New Roman" w:hAnsi="Cambria Math" w:cs="Times New Roman"/>
                                  <w:sz w:val="24"/>
                                  <w:szCs w:val="24"/>
                                  <w:lang w:eastAsia="en-GB"/>
                                </w:rPr>
                                <m:t>it</m:t>
                              </m:r>
                            </m:sub>
                          </m:sSub>
                          <m:r>
                            <w:rPr>
                              <w:rFonts w:ascii="Cambria Math" w:eastAsia="Times New Roman" w:hAnsi="Cambria Math" w:cs="Times New Roman"/>
                              <w:sz w:val="24"/>
                              <w:szCs w:val="24"/>
                              <w:lang w:eastAsia="en-GB"/>
                            </w:rPr>
                            <m:t>)</m:t>
                          </m:r>
                        </m:e>
                      </m:func>
                      <m:r>
                        <w:rPr>
                          <w:rFonts w:ascii="Cambria Math" w:eastAsia="Times New Roman" w:hAnsi="Cambria Math" w:cs="Times New Roman"/>
                          <w:sz w:val="24"/>
                          <w:szCs w:val="24"/>
                          <w:lang w:eastAsia="en-GB"/>
                        </w:rPr>
                        <m:t xml:space="preserve"> </m:t>
                      </m:r>
                    </m:e>
                    <m:e>
                      <m:r>
                        <w:rPr>
                          <w:rFonts w:ascii="Cambria Math" w:eastAsia="Times New Roman" w:hAnsi="Cambria Math" w:cs="Times New Roman"/>
                          <w:sz w:val="24"/>
                          <w:szCs w:val="24"/>
                          <w:lang w:eastAsia="en-GB"/>
                        </w:rPr>
                        <m:t>=</m:t>
                      </m:r>
                    </m:e>
                    <m:e>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α</m:t>
                          </m:r>
                        </m:e>
                        <m:sub>
                          <m:r>
                            <w:rPr>
                              <w:rFonts w:ascii="Cambria Math" w:eastAsia="Times New Roman" w:hAnsi="Cambria Math" w:cs="Times New Roman"/>
                              <w:sz w:val="24"/>
                              <w:szCs w:val="24"/>
                              <w:lang w:eastAsia="en-GB"/>
                            </w:rPr>
                            <m:t>i</m:t>
                          </m:r>
                        </m:sub>
                      </m:sSub>
                      <m:r>
                        <w:rPr>
                          <w:rFonts w:ascii="Cambria Math" w:eastAsia="Times New Roman" w:hAnsi="Cambria Math" w:cs="Times New Roman"/>
                          <w:sz w:val="24"/>
                          <w:szCs w:val="24"/>
                          <w:lang w:eastAsia="en-GB"/>
                        </w:rPr>
                        <m:t xml:space="preserve"> + </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γ</m:t>
                          </m:r>
                        </m:e>
                        <m:sub>
                          <m:r>
                            <w:rPr>
                              <w:rFonts w:ascii="Cambria Math" w:eastAsia="Times New Roman" w:hAnsi="Cambria Math" w:cs="Times New Roman"/>
                              <w:sz w:val="24"/>
                              <w:szCs w:val="24"/>
                              <w:lang w:eastAsia="en-GB"/>
                            </w:rPr>
                            <m:t>t</m:t>
                          </m:r>
                        </m:sub>
                      </m:sSub>
                      <m:r>
                        <w:rPr>
                          <w:rFonts w:ascii="Cambria Math" w:eastAsia="Times New Roman" w:hAnsi="Cambria Math" w:cs="Times New Roman"/>
                          <w:sz w:val="24"/>
                          <w:szCs w:val="24"/>
                          <w:lang w:eastAsia="en-GB"/>
                        </w:rPr>
                        <m:t xml:space="preserve"> + </m:t>
                      </m:r>
                      <m:nary>
                        <m:naryPr>
                          <m:chr m:val="∑"/>
                          <m:limLoc m:val="undOvr"/>
                          <m:ctrlPr>
                            <w:rPr>
                              <w:rFonts w:ascii="Cambria Math" w:eastAsia="Times New Roman" w:hAnsi="Cambria Math" w:cs="Times New Roman"/>
                              <w:i/>
                              <w:sz w:val="24"/>
                              <w:szCs w:val="24"/>
                              <w:lang w:eastAsia="en-GB"/>
                            </w:rPr>
                          </m:ctrlPr>
                        </m:naryPr>
                        <m:sub>
                          <m:eqArr>
                            <m:eqArrPr>
                              <m:ctrlPr>
                                <w:rPr>
                                  <w:rFonts w:ascii="Cambria Math" w:eastAsia="Times New Roman" w:hAnsi="Cambria Math" w:cs="Times New Roman"/>
                                  <w:i/>
                                  <w:sz w:val="24"/>
                                  <w:szCs w:val="24"/>
                                  <w:lang w:eastAsia="en-GB"/>
                                </w:rPr>
                              </m:ctrlPr>
                            </m:eqArrPr>
                            <m:e>
                              <m:r>
                                <w:rPr>
                                  <w:rFonts w:ascii="Cambria Math" w:eastAsia="Times New Roman" w:hAnsi="Cambria Math" w:cs="Times New Roman"/>
                                  <w:sz w:val="24"/>
                                  <w:szCs w:val="24"/>
                                  <w:lang w:eastAsia="en-GB"/>
                                </w:rPr>
                                <m:t>j∈</m:t>
                              </m:r>
                              <m:r>
                                <m:rPr>
                                  <m:sty m:val="p"/>
                                </m:rPr>
                                <w:rPr>
                                  <w:rFonts w:ascii="Cambria Math" w:eastAsia="Times New Roman" w:hAnsi="Cambria Math" w:cs="Times New Roman"/>
                                  <w:sz w:val="24"/>
                                  <w:szCs w:val="24"/>
                                  <w:lang w:eastAsia="en-GB"/>
                                </w:rPr>
                                <m:t>Ω</m:t>
                              </m:r>
                              <m:ctrlPr>
                                <w:rPr>
                                  <w:rFonts w:ascii="Cambria Math" w:eastAsia="Times New Roman" w:hAnsi="Cambria Math" w:cs="Times New Roman"/>
                                  <w:sz w:val="24"/>
                                  <w:szCs w:val="24"/>
                                  <w:lang w:eastAsia="en-GB"/>
                                </w:rPr>
                              </m:ctrlPr>
                            </m:e>
                            <m:e>
                              <m:r>
                                <w:rPr>
                                  <w:rFonts w:ascii="Cambria Math" w:eastAsia="Times New Roman" w:hAnsi="Cambria Math" w:cs="Times New Roman"/>
                                  <w:sz w:val="24"/>
                                  <w:szCs w:val="24"/>
                                  <w:lang w:eastAsia="en-GB"/>
                                </w:rPr>
                                <m:t xml:space="preserve"> </m:t>
                              </m:r>
                              <m:ctrlPr>
                                <w:rPr>
                                  <w:rFonts w:ascii="Cambria Math" w:eastAsia="Times New Roman" w:hAnsi="Cambria Math" w:cs="Times New Roman"/>
                                  <w:sz w:val="24"/>
                                  <w:szCs w:val="24"/>
                                  <w:lang w:eastAsia="en-GB"/>
                                </w:rPr>
                              </m:ctrlPr>
                            </m:e>
                          </m:eqArr>
                        </m:sub>
                        <m:sup>
                          <m:r>
                            <w:rPr>
                              <w:rFonts w:ascii="Cambria Math" w:eastAsia="Times New Roman" w:hAnsi="Cambria Math" w:cs="Times New Roman"/>
                              <w:sz w:val="24"/>
                              <w:szCs w:val="24"/>
                              <w:lang w:eastAsia="en-GB"/>
                            </w:rPr>
                            <m:t xml:space="preserve"> </m:t>
                          </m:r>
                        </m:sup>
                        <m:e>
                          <m:r>
                            <m:rPr>
                              <m:sty m:val="p"/>
                            </m:rPr>
                            <w:rPr>
                              <w:rFonts w:ascii="Cambria Math" w:hAnsi="Cambria Math"/>
                              <w:kern w:val="2"/>
                              <w:sz w:val="24"/>
                              <w:szCs w:val="24"/>
                              <w14:ligatures w14:val="standardContextual"/>
                            </w:rPr>
                            <m:t>(</m:t>
                          </m:r>
                          <m:sSubSup>
                            <m:sSubSupPr>
                              <m:ctrlPr>
                                <w:rPr>
                                  <w:rFonts w:ascii="Cambria Math" w:hAnsi="Cambria Math"/>
                                  <w:kern w:val="2"/>
                                  <w:sz w:val="24"/>
                                  <w:szCs w:val="24"/>
                                  <w14:ligatures w14:val="standardContextual"/>
                                </w:rPr>
                              </m:ctrlPr>
                            </m:sSubSupPr>
                            <m:e>
                              <m:r>
                                <m:rPr>
                                  <m:sty m:val="p"/>
                                </m:rPr>
                                <w:rPr>
                                  <w:rFonts w:ascii="Cambria Math" w:hAnsi="Cambria Math"/>
                                  <w:kern w:val="2"/>
                                  <w:sz w:val="24"/>
                                  <w:szCs w:val="24"/>
                                  <w14:ligatures w14:val="standardContextual"/>
                                </w:rPr>
                                <m:t>β</m:t>
                              </m:r>
                            </m:e>
                            <m:sub>
                              <m:r>
                                <m:rPr>
                                  <m:sty m:val="p"/>
                                </m:rPr>
                                <w:rPr>
                                  <w:rFonts w:ascii="Cambria Math" w:hAnsi="Cambria Math"/>
                                  <w:kern w:val="2"/>
                                  <w:sz w:val="24"/>
                                  <w:szCs w:val="24"/>
                                  <w14:ligatures w14:val="standardContextual"/>
                                </w:rPr>
                                <m:t>j</m:t>
                              </m:r>
                            </m:sub>
                            <m:sup>
                              <m:r>
                                <m:rPr>
                                  <m:sty m:val="p"/>
                                </m:rPr>
                                <w:rPr>
                                  <w:rFonts w:ascii="Cambria Math" w:hAnsi="Cambria Math"/>
                                  <w:kern w:val="2"/>
                                  <w:sz w:val="24"/>
                                  <w:szCs w:val="24"/>
                                  <w14:ligatures w14:val="standardContextual"/>
                                </w:rPr>
                                <m:t>I</m:t>
                              </m:r>
                            </m:sup>
                          </m:sSubSup>
                          <m:d>
                            <m:dPr>
                              <m:ctrlPr>
                                <w:rPr>
                                  <w:rFonts w:ascii="Cambria Math" w:eastAsia="Times New Roman" w:hAnsi="Cambria Math" w:cs="Times New Roman"/>
                                  <w:i/>
                                  <w:sz w:val="24"/>
                                  <w:szCs w:val="24"/>
                                  <w:lang w:eastAsia="en-GB"/>
                                </w:rPr>
                              </m:ctrlPr>
                            </m:dPr>
                            <m:e>
                              <m:r>
                                <m:rPr>
                                  <m:sty m:val="bi"/>
                                </m:rPr>
                                <w:rPr>
                                  <w:rFonts w:ascii="Cambria Math" w:eastAsia="Times New Roman" w:hAnsi="Cambria Math" w:cs="Times New Roman"/>
                                  <w:sz w:val="24"/>
                                  <w:szCs w:val="24"/>
                                  <w:lang w:eastAsia="en-GB"/>
                                </w:rPr>
                                <m:t>1</m:t>
                              </m:r>
                              <m:d>
                                <m:dPr>
                                  <m:begChr m:val="{"/>
                                  <m:endChr m:val="}"/>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i=j</m:t>
                                  </m:r>
                                </m:e>
                              </m:d>
                              <m:r>
                                <w:rPr>
                                  <w:rFonts w:ascii="Cambria Math" w:eastAsia="Times New Roman" w:hAnsi="Cambria Math" w:cs="Times New Roman"/>
                                  <w:sz w:val="24"/>
                                  <w:szCs w:val="24"/>
                                  <w:lang w:eastAsia="en-GB"/>
                                </w:rPr>
                                <m:t>×</m:t>
                              </m:r>
                              <m:sSub>
                                <m:sSubPr>
                                  <m:ctrlPr>
                                    <w:rPr>
                                      <w:rFonts w:ascii="Cambria Math" w:eastAsia="Times New Roman" w:hAnsi="Cambria Math" w:cs="Times New Roman"/>
                                      <w:i/>
                                      <w:kern w:val="2"/>
                                      <w:sz w:val="24"/>
                                      <w:szCs w:val="24"/>
                                      <w:lang w:eastAsia="en-GB"/>
                                      <w14:ligatures w14:val="standardContextual"/>
                                    </w:rPr>
                                  </m:ctrlPr>
                                </m:sSubPr>
                                <m:e>
                                  <m:r>
                                    <w:rPr>
                                      <w:rFonts w:ascii="Cambria Math" w:eastAsia="Times New Roman" w:hAnsi="Cambria Math" w:cs="Times New Roman"/>
                                      <w:sz w:val="24"/>
                                      <w:szCs w:val="24"/>
                                      <w:lang w:eastAsia="en-GB"/>
                                    </w:rPr>
                                    <m:t>I</m:t>
                                  </m:r>
                                </m:e>
                                <m:sub>
                                  <m:r>
                                    <w:rPr>
                                      <w:rFonts w:ascii="Cambria Math" w:eastAsia="Times New Roman" w:hAnsi="Cambria Math" w:cs="Times New Roman"/>
                                      <w:sz w:val="24"/>
                                      <w:szCs w:val="24"/>
                                      <w:lang w:eastAsia="en-GB"/>
                                    </w:rPr>
                                    <m:t>t</m:t>
                                  </m:r>
                                </m:sub>
                              </m:sSub>
                            </m:e>
                          </m:d>
                        </m:e>
                      </m:nary>
                      <m:r>
                        <w:rPr>
                          <w:rFonts w:ascii="Cambria Math" w:eastAsia="Times New Roman" w:hAnsi="Cambria Math" w:cs="Times New Roman"/>
                          <w:sz w:val="24"/>
                          <w:szCs w:val="24"/>
                          <w:lang w:eastAsia="en-GB"/>
                        </w:rPr>
                        <m:t>+</m:t>
                      </m:r>
                      <m:nary>
                        <m:naryPr>
                          <m:chr m:val="∑"/>
                          <m:limLoc m:val="undOvr"/>
                          <m:ctrlPr>
                            <w:rPr>
                              <w:rFonts w:ascii="Cambria Math" w:eastAsia="Times New Roman" w:hAnsi="Cambria Math" w:cs="Times New Roman"/>
                              <w:i/>
                              <w:sz w:val="24"/>
                              <w:szCs w:val="24"/>
                              <w:lang w:eastAsia="en-GB"/>
                            </w:rPr>
                          </m:ctrlPr>
                        </m:naryPr>
                        <m:sub>
                          <m:eqArr>
                            <m:eqArrPr>
                              <m:ctrlPr>
                                <w:rPr>
                                  <w:rFonts w:ascii="Cambria Math" w:eastAsia="Times New Roman" w:hAnsi="Cambria Math" w:cs="Times New Roman"/>
                                  <w:i/>
                                  <w:sz w:val="24"/>
                                  <w:szCs w:val="24"/>
                                  <w:lang w:eastAsia="en-GB"/>
                                </w:rPr>
                              </m:ctrlPr>
                            </m:eqArrPr>
                            <m:e>
                              <m:sSup>
                                <m:sSupPr>
                                  <m:ctrlPr>
                                    <w:rPr>
                                      <w:rFonts w:ascii="Cambria Math" w:eastAsia="Times New Roman" w:hAnsi="Cambria Math" w:cs="Times New Roman"/>
                                      <w:i/>
                                      <w:sz w:val="24"/>
                                      <w:szCs w:val="24"/>
                                      <w:lang w:eastAsia="en-GB"/>
                                    </w:rPr>
                                  </m:ctrlPr>
                                </m:sSupPr>
                                <m:e>
                                  <m:r>
                                    <w:rPr>
                                      <w:rFonts w:ascii="Cambria Math" w:eastAsia="Times New Roman" w:hAnsi="Cambria Math" w:cs="Times New Roman"/>
                                      <w:sz w:val="24"/>
                                      <w:szCs w:val="24"/>
                                      <w:lang w:eastAsia="en-GB"/>
                                    </w:rPr>
                                    <m:t>j</m:t>
                                  </m:r>
                                </m:e>
                                <m:sup>
                                  <m:r>
                                    <w:rPr>
                                      <w:rFonts w:ascii="Cambria Math" w:eastAsia="Times New Roman" w:hAnsi="Cambria Math" w:cs="Times New Roman"/>
                                      <w:sz w:val="24"/>
                                      <w:szCs w:val="24"/>
                                      <w:lang w:eastAsia="en-GB"/>
                                    </w:rPr>
                                    <m:t xml:space="preserve"> </m:t>
                                  </m:r>
                                </m:sup>
                              </m:sSup>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Ω</m:t>
                              </m:r>
                              <m:ctrlPr>
                                <w:rPr>
                                  <w:rFonts w:ascii="Cambria Math" w:eastAsia="Times New Roman" w:hAnsi="Cambria Math" w:cs="Times New Roman"/>
                                  <w:sz w:val="24"/>
                                  <w:szCs w:val="24"/>
                                  <w:lang w:eastAsia="en-GB"/>
                                </w:rPr>
                              </m:ctrlPr>
                            </m:e>
                            <m:e>
                              <m:r>
                                <w:rPr>
                                  <w:rFonts w:ascii="Cambria Math" w:eastAsia="Times New Roman" w:hAnsi="Cambria Math" w:cs="Times New Roman"/>
                                  <w:sz w:val="24"/>
                                  <w:szCs w:val="24"/>
                                  <w:lang w:eastAsia="en-GB"/>
                                </w:rPr>
                                <m:t xml:space="preserve"> </m:t>
                              </m:r>
                              <m:ctrlPr>
                                <w:rPr>
                                  <w:rFonts w:ascii="Cambria Math" w:eastAsia="Times New Roman" w:hAnsi="Cambria Math" w:cs="Times New Roman"/>
                                  <w:sz w:val="24"/>
                                  <w:szCs w:val="24"/>
                                  <w:lang w:eastAsia="en-GB"/>
                                </w:rPr>
                              </m:ctrlPr>
                            </m:e>
                          </m:eqArr>
                        </m:sub>
                        <m:sup>
                          <m:r>
                            <w:rPr>
                              <w:rFonts w:ascii="Cambria Math" w:eastAsia="Times New Roman" w:hAnsi="Cambria Math" w:cs="Times New Roman"/>
                              <w:sz w:val="24"/>
                              <w:szCs w:val="24"/>
                              <w:lang w:eastAsia="en-GB"/>
                            </w:rPr>
                            <m:t xml:space="preserve"> </m:t>
                          </m:r>
                        </m:sup>
                        <m:e>
                          <m:sSubSup>
                            <m:sSubSupPr>
                              <m:ctrlPr>
                                <w:rPr>
                                  <w:rFonts w:ascii="Cambria Math" w:hAnsi="Cambria Math"/>
                                  <w:kern w:val="2"/>
                                  <w:sz w:val="24"/>
                                  <w:szCs w:val="24"/>
                                  <w14:ligatures w14:val="standardContextual"/>
                                </w:rPr>
                              </m:ctrlPr>
                            </m:sSubSupPr>
                            <m:e>
                              <m:r>
                                <m:rPr>
                                  <m:sty m:val="p"/>
                                </m:rPr>
                                <w:rPr>
                                  <w:rFonts w:ascii="Cambria Math" w:hAnsi="Cambria Math"/>
                                  <w:kern w:val="2"/>
                                  <w:sz w:val="24"/>
                                  <w:szCs w:val="24"/>
                                  <w14:ligatures w14:val="standardContextual"/>
                                </w:rPr>
                                <m:t>β</m:t>
                              </m:r>
                            </m:e>
                            <m:sub>
                              <m:r>
                                <m:rPr>
                                  <m:sty m:val="p"/>
                                </m:rPr>
                                <w:rPr>
                                  <w:rFonts w:ascii="Cambria Math" w:hAnsi="Cambria Math"/>
                                  <w:kern w:val="2"/>
                                  <w:sz w:val="24"/>
                                  <w:szCs w:val="24"/>
                                  <w14:ligatures w14:val="standardContextual"/>
                                </w:rPr>
                                <m:t>j</m:t>
                              </m:r>
                            </m:sub>
                            <m:sup>
                              <m:r>
                                <m:rPr>
                                  <m:sty m:val="p"/>
                                </m:rPr>
                                <w:rPr>
                                  <w:rFonts w:ascii="Cambria Math" w:hAnsi="Cambria Math"/>
                                  <w:kern w:val="2"/>
                                  <w:sz w:val="24"/>
                                  <w:szCs w:val="24"/>
                                  <w14:ligatures w14:val="standardContextual"/>
                                </w:rPr>
                                <m:t>L</m:t>
                              </m:r>
                            </m:sup>
                          </m:sSubSup>
                          <m:r>
                            <w:rPr>
                              <w:rFonts w:ascii="Cambria Math" w:eastAsia="Times New Roman" w:hAnsi="Cambria Math" w:cs="Times New Roman"/>
                              <w:sz w:val="24"/>
                              <w:szCs w:val="24"/>
                              <w:lang w:eastAsia="en-GB"/>
                            </w:rPr>
                            <m:t xml:space="preserve"> </m:t>
                          </m:r>
                          <m:d>
                            <m:dPr>
                              <m:ctrlPr>
                                <w:rPr>
                                  <w:rFonts w:ascii="Cambria Math" w:eastAsia="Times New Roman" w:hAnsi="Cambria Math" w:cs="Times New Roman"/>
                                  <w:i/>
                                  <w:sz w:val="24"/>
                                  <w:szCs w:val="24"/>
                                  <w:lang w:eastAsia="en-GB"/>
                                </w:rPr>
                              </m:ctrlPr>
                            </m:dPr>
                            <m:e>
                              <m:r>
                                <m:rPr>
                                  <m:sty m:val="bi"/>
                                </m:rPr>
                                <w:rPr>
                                  <w:rFonts w:ascii="Cambria Math" w:eastAsia="Times New Roman" w:hAnsi="Cambria Math" w:cs="Times New Roman"/>
                                  <w:sz w:val="24"/>
                                  <w:szCs w:val="24"/>
                                  <w:lang w:eastAsia="en-GB"/>
                                </w:rPr>
                                <m:t>1</m:t>
                              </m:r>
                              <m:d>
                                <m:dPr>
                                  <m:begChr m:val="{"/>
                                  <m:endChr m:val="}"/>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i=j</m:t>
                                  </m:r>
                                </m:e>
                              </m:d>
                              <m:r>
                                <w:rPr>
                                  <w:rFonts w:ascii="Cambria Math" w:eastAsia="Times New Roman" w:hAnsi="Cambria Math" w:cs="Times New Roman"/>
                                  <w:sz w:val="24"/>
                                  <w:szCs w:val="24"/>
                                  <w:lang w:eastAsia="en-GB"/>
                                </w:rPr>
                                <m:t>×</m:t>
                              </m:r>
                              <m:sSub>
                                <m:sSubPr>
                                  <m:ctrlPr>
                                    <w:rPr>
                                      <w:rFonts w:ascii="Cambria Math" w:eastAsia="Times New Roman" w:hAnsi="Cambria Math" w:cs="Times New Roman"/>
                                      <w:i/>
                                      <w:kern w:val="2"/>
                                      <w:sz w:val="24"/>
                                      <w:szCs w:val="24"/>
                                      <w:lang w:eastAsia="en-GB"/>
                                      <w14:ligatures w14:val="standardContextual"/>
                                    </w:rPr>
                                  </m:ctrlPr>
                                </m:sSubPr>
                                <m:e>
                                  <m:r>
                                    <w:rPr>
                                      <w:rFonts w:ascii="Cambria Math" w:eastAsia="Times New Roman" w:hAnsi="Cambria Math" w:cs="Times New Roman"/>
                                      <w:sz w:val="24"/>
                                      <w:szCs w:val="24"/>
                                      <w:lang w:eastAsia="en-GB"/>
                                    </w:rPr>
                                    <m:t>L</m:t>
                                  </m:r>
                                </m:e>
                                <m:sub>
                                  <m:r>
                                    <w:rPr>
                                      <w:rFonts w:ascii="Cambria Math" w:eastAsia="Times New Roman" w:hAnsi="Cambria Math" w:cs="Times New Roman"/>
                                      <w:sz w:val="24"/>
                                      <w:szCs w:val="24"/>
                                      <w:lang w:eastAsia="en-GB"/>
                                    </w:rPr>
                                    <m:t>t</m:t>
                                  </m:r>
                                </m:sub>
                              </m:sSub>
                            </m:e>
                          </m:d>
                        </m:e>
                      </m:nary>
                      <m:r>
                        <w:rPr>
                          <w:rFonts w:ascii="Cambria Math" w:eastAsia="Times New Roman" w:hAnsi="Cambria Math" w:cs="Times New Roman"/>
                          <w:sz w:val="24"/>
                          <w:szCs w:val="24"/>
                          <w:lang w:eastAsia="en-GB"/>
                        </w:rPr>
                        <m:t>+</m:t>
                      </m:r>
                      <m:sSup>
                        <m:sSupPr>
                          <m:ctrlPr>
                            <w:rPr>
                              <w:rFonts w:ascii="Cambria Math" w:eastAsia="Times New Roman" w:hAnsi="Cambria Math" w:cs="Times New Roman"/>
                              <w:i/>
                              <w:sz w:val="24"/>
                              <w:szCs w:val="24"/>
                              <w:lang w:eastAsia="en-GB"/>
                            </w:rPr>
                          </m:ctrlPr>
                        </m:sSupPr>
                        <m:e>
                          <m:r>
                            <w:rPr>
                              <w:rFonts w:ascii="Cambria Math" w:eastAsia="Times New Roman" w:hAnsi="Cambria Math" w:cs="Times New Roman"/>
                              <w:sz w:val="24"/>
                              <w:szCs w:val="24"/>
                              <w:lang w:eastAsia="en-GB"/>
                            </w:rPr>
                            <m:t>ρ</m:t>
                          </m:r>
                        </m:e>
                        <m:sup>
                          <m:r>
                            <w:rPr>
                              <w:rFonts w:ascii="Cambria Math" w:eastAsia="Times New Roman" w:hAnsi="Cambria Math" w:cs="Times New Roman"/>
                              <w:sz w:val="24"/>
                              <w:szCs w:val="24"/>
                              <w:lang w:eastAsia="en-GB"/>
                            </w:rPr>
                            <m:t>'</m:t>
                          </m:r>
                        </m:sup>
                      </m:sSup>
                      <m:r>
                        <m:rPr>
                          <m:sty m:val="bi"/>
                        </m:rPr>
                        <w:rPr>
                          <w:rFonts w:ascii="Cambria Math" w:eastAsia="Times New Roman" w:hAnsi="Cambria Math" w:cs="Times New Roman"/>
                          <w:sz w:val="24"/>
                          <w:szCs w:val="24"/>
                          <w:lang w:eastAsia="en-GB"/>
                        </w:rPr>
                        <m:t>X</m:t>
                      </m:r>
                      <m:r>
                        <w:rPr>
                          <w:rFonts w:ascii="Cambria Math" w:eastAsia="Times New Roman" w:hAnsi="Cambria Math" w:cs="Times New Roman"/>
                          <w:sz w:val="24"/>
                          <w:szCs w:val="24"/>
                          <w:lang w:eastAsia="en-GB"/>
                        </w:rPr>
                        <m:t xml:space="preserve">+ </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ε</m:t>
                          </m:r>
                        </m:e>
                        <m:sub>
                          <m:r>
                            <w:rPr>
                              <w:rFonts w:ascii="Cambria Math" w:eastAsia="Times New Roman" w:hAnsi="Cambria Math" w:cs="Times New Roman"/>
                              <w:sz w:val="24"/>
                              <w:szCs w:val="24"/>
                              <w:lang w:eastAsia="en-GB"/>
                            </w:rPr>
                            <m:t xml:space="preserve">it   </m:t>
                          </m:r>
                        </m:sub>
                      </m:sSub>
                      <m:r>
                        <w:rPr>
                          <w:rFonts w:ascii="Cambria Math" w:eastAsia="Times New Roman" w:hAnsi="Cambria Math" w:cs="Times New Roman"/>
                          <w:sz w:val="24"/>
                          <w:szCs w:val="24"/>
                          <w:lang w:eastAsia="en-GB"/>
                        </w:rPr>
                        <m:t xml:space="preserve">       </m:t>
                      </m:r>
                    </m:e>
                  </m:mr>
                  <m:mr>
                    <m:e>
                      <m:r>
                        <w:rPr>
                          <w:rFonts w:ascii="Cambria Math" w:eastAsia="Times New Roman" w:hAnsi="Cambria Math" w:cs="Times New Roman"/>
                          <w:sz w:val="24"/>
                          <w:szCs w:val="24"/>
                          <w:lang w:eastAsia="en-GB"/>
                        </w:rPr>
                        <m:t xml:space="preserve"> </m:t>
                      </m:r>
                    </m:e>
                    <m:e>
                      <m:r>
                        <w:rPr>
                          <w:rFonts w:ascii="Cambria Math" w:eastAsia="Times New Roman" w:hAnsi="Cambria Math" w:cs="Times New Roman"/>
                          <w:sz w:val="24"/>
                          <w:szCs w:val="24"/>
                          <w:lang w:eastAsia="en-GB"/>
                        </w:rPr>
                        <m:t xml:space="preserve"> </m:t>
                      </m:r>
                    </m:e>
                    <m:e>
                      <m:r>
                        <w:rPr>
                          <w:rFonts w:ascii="Cambria Math" w:eastAsia="Times New Roman" w:hAnsi="Cambria Math" w:cs="Times New Roman"/>
                          <w:sz w:val="24"/>
                          <w:szCs w:val="24"/>
                          <w:lang w:eastAsia="en-GB"/>
                        </w:rPr>
                        <m:t xml:space="preserve"> </m:t>
                      </m:r>
                    </m:e>
                  </m:mr>
                </m:m>
              </m:oMath>
            </m:oMathPara>
          </w:p>
        </w:tc>
        <w:tc>
          <w:tcPr>
            <w:tcW w:w="567" w:type="dxa"/>
          </w:tcPr>
          <w:p w14:paraId="1C0105B4" w14:textId="77777777" w:rsidR="00BC3C05" w:rsidRPr="00BC3C05" w:rsidRDefault="00BC3C05" w:rsidP="00BC3C05">
            <w:pPr>
              <w:spacing w:after="0" w:line="360" w:lineRule="auto"/>
              <w:rPr>
                <w:rFonts w:ascii="Times New Roman" w:eastAsia="Times New Roman" w:hAnsi="Times New Roman" w:cs="Times New Roman"/>
                <w:sz w:val="24"/>
                <w:szCs w:val="24"/>
                <w:lang w:eastAsia="en-GB"/>
              </w:rPr>
            </w:pPr>
            <w:r w:rsidRPr="00BC3C05">
              <w:rPr>
                <w:rFonts w:ascii="Times New Roman" w:eastAsia="Times New Roman" w:hAnsi="Times New Roman" w:cs="Times New Roman"/>
                <w:sz w:val="24"/>
                <w:szCs w:val="24"/>
                <w:lang w:eastAsia="en-GB"/>
              </w:rPr>
              <w:t>(3)</w:t>
            </w:r>
          </w:p>
        </w:tc>
      </w:tr>
    </w:tbl>
    <w:p w14:paraId="57B3FBC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Here </w:t>
      </w:r>
      <m:oMath>
        <m:sSubSup>
          <m:sSubSupPr>
            <m:ctrlPr>
              <w:rPr>
                <w:rFonts w:ascii="Cambria Math" w:hAnsi="Cambria Math"/>
                <w:kern w:val="2"/>
                <w:sz w:val="24"/>
                <w:szCs w:val="24"/>
                <w14:ligatures w14:val="standardContextual"/>
              </w:rPr>
            </m:ctrlPr>
          </m:sSubSupPr>
          <m:e>
            <m:r>
              <m:rPr>
                <m:sty m:val="p"/>
              </m:rPr>
              <w:rPr>
                <w:rFonts w:ascii="Cambria Math" w:hAnsi="Cambria Math"/>
                <w:kern w:val="2"/>
                <w:sz w:val="24"/>
                <w:szCs w:val="24"/>
                <w14:ligatures w14:val="standardContextual"/>
              </w:rPr>
              <m:t>β</m:t>
            </m:r>
          </m:e>
          <m:sub>
            <m:r>
              <m:rPr>
                <m:sty m:val="p"/>
              </m:rPr>
              <w:rPr>
                <w:rFonts w:ascii="Cambria Math" w:hAnsi="Cambria Math"/>
                <w:kern w:val="2"/>
                <w:sz w:val="24"/>
                <w:szCs w:val="24"/>
                <w14:ligatures w14:val="standardContextual"/>
              </w:rPr>
              <m:t>j</m:t>
            </m:r>
          </m:sub>
          <m:sup>
            <m:r>
              <m:rPr>
                <m:sty m:val="p"/>
              </m:rPr>
              <w:rPr>
                <w:rFonts w:ascii="Cambria Math" w:hAnsi="Cambria Math"/>
                <w:kern w:val="2"/>
                <w:sz w:val="24"/>
                <w:szCs w:val="24"/>
                <w14:ligatures w14:val="standardContextual"/>
              </w:rPr>
              <m:t>I</m:t>
            </m:r>
          </m:sup>
        </m:sSubSup>
      </m:oMath>
      <w:r w:rsidRPr="00BC3C05">
        <w:rPr>
          <w:rFonts w:ascii="Times New Roman" w:hAnsi="Times New Roman" w:cs="Times New Roman"/>
          <w:kern w:val="2"/>
          <w:sz w:val="24"/>
          <w:szCs w:val="24"/>
          <w14:ligatures w14:val="standardContextual"/>
        </w:rPr>
        <w:t xml:space="preserve"> is the country-specific log effect for 2021–2023 and </w:t>
      </w:r>
      <m:oMath>
        <m:sSubSup>
          <m:sSubSupPr>
            <m:ctrlPr>
              <w:rPr>
                <w:rFonts w:ascii="Cambria Math" w:hAnsi="Cambria Math"/>
                <w:kern w:val="2"/>
                <w:sz w:val="24"/>
                <w:szCs w:val="24"/>
                <w14:ligatures w14:val="standardContextual"/>
              </w:rPr>
            </m:ctrlPr>
          </m:sSubSupPr>
          <m:e>
            <m:r>
              <m:rPr>
                <m:sty m:val="p"/>
              </m:rPr>
              <w:rPr>
                <w:rFonts w:ascii="Cambria Math" w:hAnsi="Cambria Math"/>
                <w:kern w:val="2"/>
                <w:sz w:val="24"/>
                <w:szCs w:val="24"/>
                <w14:ligatures w14:val="standardContextual"/>
              </w:rPr>
              <m:t>β</m:t>
            </m:r>
          </m:e>
          <m:sub>
            <m:r>
              <m:rPr>
                <m:sty m:val="p"/>
              </m:rPr>
              <w:rPr>
                <w:rFonts w:ascii="Cambria Math" w:hAnsi="Cambria Math"/>
                <w:kern w:val="2"/>
                <w:sz w:val="24"/>
                <w:szCs w:val="24"/>
                <w14:ligatures w14:val="standardContextual"/>
              </w:rPr>
              <m:t>j</m:t>
            </m:r>
          </m:sub>
          <m:sup>
            <m:r>
              <m:rPr>
                <m:sty m:val="p"/>
              </m:rPr>
              <w:rPr>
                <w:rFonts w:ascii="Cambria Math" w:hAnsi="Cambria Math"/>
                <w:kern w:val="2"/>
                <w:sz w:val="24"/>
                <w:szCs w:val="24"/>
                <w14:ligatures w14:val="standardContextual"/>
              </w:rPr>
              <m:t>L</m:t>
            </m:r>
          </m:sup>
        </m:sSubSup>
      </m:oMath>
      <w:r w:rsidRPr="00BC3C05">
        <w:rPr>
          <w:rFonts w:ascii="Times New Roman" w:hAnsi="Times New Roman" w:cs="Times New Roman"/>
          <w:kern w:val="2"/>
          <w:sz w:val="24"/>
          <w:szCs w:val="24"/>
          <w14:ligatures w14:val="standardContextual"/>
        </w:rPr>
        <w:t xml:space="preserve"> is the corresponding effect for 2024–2025. Even though other time-varying shocks may differ across the two windows, the difference</w:t>
      </w:r>
    </w:p>
    <w:p w14:paraId="2ECE0630" w14:textId="77777777" w:rsidR="00BC3C05" w:rsidRPr="00BC3C05" w:rsidRDefault="00000000" w:rsidP="00BC3C05">
      <w:pPr>
        <w:spacing w:after="0" w:line="360" w:lineRule="auto"/>
        <w:rPr>
          <w:rFonts w:ascii="Times New Roman" w:hAnsi="Times New Roman" w:cs="Times New Roman"/>
          <w:kern w:val="2"/>
          <w:sz w:val="24"/>
          <w:szCs w:val="24"/>
          <w14:ligatures w14:val="standardContextual"/>
        </w:rPr>
      </w:pPr>
      <m:oMathPara>
        <m:oMath>
          <m:sSub>
            <m:sSubPr>
              <m:ctrlPr>
                <w:rPr>
                  <w:rFonts w:ascii="Cambria Math" w:hAnsi="Cambria Math"/>
                  <w:i/>
                  <w:kern w:val="2"/>
                  <w:sz w:val="24"/>
                  <w:szCs w:val="24"/>
                  <w14:ligatures w14:val="standardContextual"/>
                </w:rPr>
              </m:ctrlPr>
            </m:sSubPr>
            <m:e>
              <m:r>
                <m:rPr>
                  <m:sty m:val="p"/>
                </m:rPr>
                <w:rPr>
                  <w:rFonts w:ascii="Cambria Math" w:hAnsi="Cambria Math"/>
                  <w:kern w:val="2"/>
                  <w:sz w:val="24"/>
                  <w:szCs w:val="24"/>
                  <w14:ligatures w14:val="standardContextual"/>
                </w:rPr>
                <m:t>Δ</m:t>
              </m:r>
              <m:ctrlPr>
                <w:rPr>
                  <w:rFonts w:ascii="Cambria Math" w:hAnsi="Cambria Math"/>
                  <w:kern w:val="2"/>
                  <w:sz w:val="24"/>
                  <w:szCs w:val="24"/>
                  <w14:ligatures w14:val="standardContextual"/>
                </w:rPr>
              </m:ctrlPr>
            </m:e>
            <m:sub>
              <m:r>
                <w:rPr>
                  <w:rFonts w:ascii="Cambria Math" w:hAnsi="Cambria Math"/>
                  <w:kern w:val="2"/>
                  <w:sz w:val="24"/>
                  <w:szCs w:val="24"/>
                  <w14:ligatures w14:val="standardContextual"/>
                </w:rPr>
                <m:t>j</m:t>
              </m:r>
            </m:sub>
          </m:sSub>
          <m:r>
            <w:rPr>
              <w:rFonts w:ascii="Cambria Math" w:hAnsi="Cambria Math"/>
              <w:kern w:val="2"/>
              <w:sz w:val="24"/>
              <w:szCs w:val="24"/>
              <w14:ligatures w14:val="standardContextual"/>
            </w:rPr>
            <m:t>=</m:t>
          </m:r>
          <m:sSubSup>
            <m:sSubSupPr>
              <m:ctrlPr>
                <w:rPr>
                  <w:rFonts w:ascii="Cambria Math" w:hAnsi="Cambria Math"/>
                  <w:i/>
                  <w:kern w:val="2"/>
                  <w:sz w:val="24"/>
                  <w:szCs w:val="24"/>
                  <w14:ligatures w14:val="standardContextual"/>
                </w:rPr>
              </m:ctrlPr>
            </m:sSubSupPr>
            <m:e>
              <m:r>
                <w:rPr>
                  <w:rFonts w:ascii="Cambria Math" w:hAnsi="Cambria Math"/>
                  <w:kern w:val="2"/>
                  <w:sz w:val="24"/>
                  <w:szCs w:val="24"/>
                  <w14:ligatures w14:val="standardContextual"/>
                </w:rPr>
                <m:t>β</m:t>
              </m:r>
            </m:e>
            <m:sub>
              <m:r>
                <w:rPr>
                  <w:rFonts w:ascii="Cambria Math" w:hAnsi="Cambria Math"/>
                  <w:kern w:val="2"/>
                  <w:sz w:val="24"/>
                  <w:szCs w:val="24"/>
                  <w14:ligatures w14:val="standardContextual"/>
                </w:rPr>
                <m:t>j</m:t>
              </m:r>
            </m:sub>
            <m:sup>
              <m:r>
                <w:rPr>
                  <w:rFonts w:ascii="Cambria Math" w:hAnsi="Cambria Math"/>
                  <w:kern w:val="2"/>
                  <w:sz w:val="24"/>
                  <w:szCs w:val="24"/>
                  <w14:ligatures w14:val="standardContextual"/>
                </w:rPr>
                <m:t>L</m:t>
              </m:r>
            </m:sup>
          </m:sSubSup>
          <m:r>
            <w:rPr>
              <w:rFonts w:ascii="Cambria Math" w:hAnsi="Cambria Math"/>
              <w:kern w:val="2"/>
              <w:sz w:val="24"/>
              <w:szCs w:val="24"/>
              <w14:ligatures w14:val="standardContextual"/>
            </w:rPr>
            <m:t>-</m:t>
          </m:r>
          <m:sSubSup>
            <m:sSubSupPr>
              <m:ctrlPr>
                <w:rPr>
                  <w:rFonts w:ascii="Cambria Math" w:hAnsi="Cambria Math"/>
                  <w:i/>
                  <w:kern w:val="2"/>
                  <w:sz w:val="24"/>
                  <w:szCs w:val="24"/>
                  <w14:ligatures w14:val="standardContextual"/>
                </w:rPr>
              </m:ctrlPr>
            </m:sSubSupPr>
            <m:e>
              <m:r>
                <w:rPr>
                  <w:rFonts w:ascii="Cambria Math" w:hAnsi="Cambria Math"/>
                  <w:kern w:val="2"/>
                  <w:sz w:val="24"/>
                  <w:szCs w:val="24"/>
                  <w14:ligatures w14:val="standardContextual"/>
                </w:rPr>
                <m:t>β</m:t>
              </m:r>
            </m:e>
            <m:sub>
              <m:r>
                <w:rPr>
                  <w:rFonts w:ascii="Cambria Math" w:hAnsi="Cambria Math"/>
                  <w:kern w:val="2"/>
                  <w:sz w:val="24"/>
                  <w:szCs w:val="24"/>
                  <w14:ligatures w14:val="standardContextual"/>
                </w:rPr>
                <m:t>j</m:t>
              </m:r>
            </m:sub>
            <m:sup>
              <m:r>
                <w:rPr>
                  <w:rFonts w:ascii="Cambria Math" w:hAnsi="Cambria Math"/>
                  <w:kern w:val="2"/>
                  <w:sz w:val="24"/>
                  <w:szCs w:val="24"/>
                  <w14:ligatures w14:val="standardContextual"/>
                </w:rPr>
                <m:t>I</m:t>
              </m:r>
            </m:sup>
          </m:sSubSup>
        </m:oMath>
      </m:oMathPara>
    </w:p>
    <w:p w14:paraId="30D0289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 can be interpreted as the change in the residual application collapse after the early contemporaneous shocks had subsided, revealing whether the post-reform decline weakened, persisted, or intensified beyond the initial adjustment period (more information in the appendix). </w:t>
      </w:r>
    </w:p>
    <w:p w14:paraId="404728E5" w14:textId="0C2E42CE" w:rsidR="00546593" w:rsidRPr="00BC3C05" w:rsidRDefault="00546593" w:rsidP="00546593">
      <w:pPr>
        <w:spacing w:after="0" w:line="360" w:lineRule="auto"/>
        <w:ind w:firstLine="720"/>
        <w:rPr>
          <w:rFonts w:ascii="Times New Roman" w:hAnsi="Times New Roman" w:cs="Times New Roman"/>
          <w:kern w:val="2"/>
          <w:sz w:val="24"/>
          <w:szCs w:val="24"/>
          <w14:ligatures w14:val="standardContextual"/>
        </w:rPr>
      </w:pPr>
      <w:r>
        <w:rPr>
          <w:rFonts w:ascii="Times New Roman" w:hAnsi="Times New Roman"/>
          <w:sz w:val="24"/>
        </w:rPr>
        <w:t>Under a constant-elasticity demand curve, each country-specific log effect maps into a signed price elasticity according to</w:t>
      </w:r>
      <w:r>
        <w:rPr>
          <w:rFonts w:ascii="Times New Roman" w:hAnsi="Times New Roman"/>
          <w:sz w:val="24"/>
        </w:rPr>
        <w:t xml:space="preserve"> (see the appendix):</w:t>
      </w:r>
    </w:p>
    <w:p w14:paraId="04F8A40C" w14:textId="77777777" w:rsidR="00546593" w:rsidRPr="00BC3C05" w:rsidRDefault="00546593" w:rsidP="00546593">
      <w:pPr>
        <w:spacing w:after="0" w:line="360" w:lineRule="auto"/>
        <w:rPr>
          <w:rFonts w:ascii="Times New Roman" w:hAnsi="Times New Roman" w:cs="Times New Roman"/>
          <w:kern w:val="2"/>
          <w:sz w:val="24"/>
          <w:szCs w:val="24"/>
          <w14:ligatures w14:val="standardContextual"/>
        </w:rP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den>
          </m:f>
        </m:oMath>
      </m:oMathPara>
    </w:p>
    <w:p w14:paraId="51BA2571" w14:textId="044948ED" w:rsidR="00546593" w:rsidRPr="00BC3C05" w:rsidRDefault="00546593" w:rsidP="00546593">
      <w:pPr>
        <w:spacing w:after="0" w:line="360" w:lineRule="auto"/>
        <w:rPr>
          <w:rFonts w:ascii="Times New Roman" w:hAnsi="Times New Roman" w:cs="Times New Roman"/>
          <w:kern w:val="2"/>
          <w:sz w:val="24"/>
          <w:szCs w:val="24"/>
          <w14:ligatures w14:val="standardContextual"/>
        </w:rPr>
      </w:pPr>
      <w:r>
        <w:rPr>
          <w:rFonts w:ascii="Times New Roman" w:hAnsi="Times New Roman"/>
          <w:sz w:val="24"/>
        </w:rPr>
        <w:t>Here the numerator is the estimated country-specific log demand effect and the denominator is the corresponding log price change. We first retain the conventional nominal benchmark, in which the annual price rises from £9,250 to £22,200 and the common log change is 0.875. The loan-adjusted specification then allows the denominator to vary by origin and by the subjective discount rate</w:t>
      </w:r>
      <w:r>
        <w:rPr>
          <w:rFonts w:ascii="Times New Roman" w:hAnsi="Times New Roman"/>
          <w:sz w:val="24"/>
        </w:rPr>
        <w:t xml:space="preserve"> </w:t>
      </w:r>
      <m:oMath>
        <m:r>
          <w:rPr>
            <w:rFonts w:ascii="Cambria Math" w:hAnsi="Cambria Math"/>
            <w:sz w:val="24"/>
          </w:rPr>
          <m:t>δ</m:t>
        </m:r>
      </m:oMath>
      <w:r>
        <w:rPr>
          <w:rFonts w:ascii="Times New Roman" w:hAnsi="Times New Roman"/>
          <w:sz w:val="24"/>
        </w:rPr>
        <w:t xml:space="preserve">. Both figures are annual prices, and the initial balance is one year of pre-Brexit tuition, L = £9,250. The </w:t>
      </w:r>
      <w:r>
        <w:rPr>
          <w:rFonts w:ascii="Times New Roman" w:hAnsi="Times New Roman"/>
          <w:sz w:val="24"/>
        </w:rPr>
        <w:t xml:space="preserve">interest </w:t>
      </w:r>
      <w:r>
        <w:rPr>
          <w:rFonts w:ascii="Times New Roman" w:hAnsi="Times New Roman"/>
          <w:sz w:val="24"/>
        </w:rPr>
        <w:t>rate applied to the outstanding balance is</w:t>
      </w:r>
    </w:p>
    <w:p w14:paraId="6D3B4C05" w14:textId="77777777" w:rsidR="00546593" w:rsidRPr="00BC3C05" w:rsidRDefault="00546593" w:rsidP="00546593">
      <w:pPr>
        <w:spacing w:after="0" w:line="360" w:lineRule="auto"/>
        <w:rPr>
          <w:rFonts w:ascii="Times New Roman" w:hAnsi="Times New Roman" w:cs="Times New Roman"/>
          <w:kern w:val="2"/>
          <w:sz w:val="24"/>
          <w:szCs w:val="24"/>
          <w14:ligatures w14:val="standardContextual"/>
        </w:rPr>
      </w:pPr>
      <m:oMathPara>
        <m:oMath>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i</m:t>
              </m:r>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=0.043+0.03×</m:t>
          </m:r>
          <m:d>
            <m:dPr>
              <m:begChr m:val="{"/>
              <m:endChr m:val=""/>
              <m:ctrlPr>
                <w:rPr>
                  <w:rFonts w:ascii="Cambria Math" w:hAnsi="Cambria Math" w:cs="Times New Roman"/>
                  <w:i/>
                  <w:kern w:val="2"/>
                  <w:sz w:val="24"/>
                  <w:szCs w:val="24"/>
                  <w14:ligatures w14:val="standardContextual"/>
                </w:rPr>
              </m:ctrlPr>
            </m:dPr>
            <m:e>
              <m:eqArr>
                <m:eqArrPr>
                  <m:ctrlPr>
                    <w:rPr>
                      <w:rFonts w:ascii="Cambria Math" w:hAnsi="Cambria Math" w:cs="Times New Roman"/>
                      <w:i/>
                      <w:kern w:val="2"/>
                      <w:sz w:val="24"/>
                      <w:szCs w:val="24"/>
                      <w14:ligatures w14:val="standardContextual"/>
                    </w:rPr>
                  </m:ctrlPr>
                </m:eqArrPr>
                <m:e>
                  <m:r>
                    <w:rPr>
                      <w:rFonts w:ascii="Cambria Math" w:hAnsi="Cambria Math" w:cs="Times New Roman"/>
                      <w:kern w:val="2"/>
                      <w:sz w:val="24"/>
                      <w:szCs w:val="24"/>
                      <w14:ligatures w14:val="standardContextual"/>
                    </w:rPr>
                    <m:t xml:space="preserve">0,   </m:t>
                  </m:r>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m:t>
                  </m:r>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L</m:t>
                      </m:r>
                    </m:sup>
                  </m:sSubSup>
                </m:e>
                <m:e>
                  <m:f>
                    <m:fPr>
                      <m:ctrlPr>
                        <w:rPr>
                          <w:rFonts w:ascii="Cambria Math" w:hAnsi="Cambria Math" w:cs="Times New Roman"/>
                          <w:i/>
                          <w:kern w:val="2"/>
                          <w:sz w:val="24"/>
                          <w:szCs w:val="24"/>
                          <w14:ligatures w14:val="standardContextual"/>
                        </w:rPr>
                      </m:ctrlPr>
                    </m:fPr>
                    <m:num>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m:t>
                      </m:r>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L</m:t>
                          </m:r>
                        </m:sup>
                      </m:sSubSup>
                    </m:num>
                    <m:den>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U</m:t>
                          </m:r>
                        </m:sup>
                      </m:sSubSup>
                      <m:r>
                        <w:rPr>
                          <w:rFonts w:ascii="Cambria Math" w:hAnsi="Cambria Math" w:cs="Times New Roman"/>
                          <w:kern w:val="2"/>
                          <w:sz w:val="24"/>
                          <w:szCs w:val="24"/>
                          <w14:ligatures w14:val="standardContextual"/>
                        </w:rPr>
                        <m:t>-</m:t>
                      </m:r>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L</m:t>
                          </m:r>
                        </m:sup>
                      </m:sSubSup>
                    </m:den>
                  </m:f>
                  <m:r>
                    <w:rPr>
                      <w:rFonts w:ascii="Cambria Math" w:hAnsi="Cambria Math" w:cs="Times New Roman"/>
                      <w:kern w:val="2"/>
                      <w:sz w:val="24"/>
                      <w:szCs w:val="24"/>
                      <w14:ligatures w14:val="standardContextual"/>
                    </w:rPr>
                    <m:t xml:space="preserve">,   </m:t>
                  </m:r>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L</m:t>
                      </m:r>
                    </m:sup>
                  </m:sSubSup>
                  <m:r>
                    <w:rPr>
                      <w:rFonts w:ascii="Cambria Math" w:hAnsi="Cambria Math" w:cs="Times New Roman"/>
                      <w:kern w:val="2"/>
                      <w:sz w:val="24"/>
                      <w:szCs w:val="24"/>
                      <w14:ligatures w14:val="standardContextual"/>
                    </w:rPr>
                    <m:t>&lt;</m:t>
                  </m:r>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&lt;</m:t>
                  </m:r>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U</m:t>
                      </m:r>
                    </m:sup>
                  </m:sSubSup>
                </m:e>
                <m:e>
                  <m:r>
                    <w:rPr>
                      <w:rFonts w:ascii="Cambria Math" w:hAnsi="Cambria Math" w:cs="Times New Roman"/>
                      <w:kern w:val="2"/>
                      <w:sz w:val="24"/>
                      <w:szCs w:val="24"/>
                      <w14:ligatures w14:val="standardContextual"/>
                    </w:rPr>
                    <m:t xml:space="preserve">1 ,   </m:t>
                  </m:r>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&gt;</m:t>
                  </m:r>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U</m:t>
                      </m:r>
                    </m:sup>
                  </m:sSubSup>
                </m:e>
              </m:eqArr>
            </m:e>
          </m:d>
        </m:oMath>
      </m:oMathPara>
    </w:p>
    <w:p w14:paraId="16E05235" w14:textId="6D5727EA" w:rsidR="00546593" w:rsidRPr="00BC3C05" w:rsidRDefault="00546593" w:rsidP="00546593">
      <w:pPr>
        <w:spacing w:after="0" w:line="360" w:lineRule="auto"/>
        <w:rPr>
          <w:rFonts w:ascii="Times New Roman" w:hAnsi="Times New Roman" w:cs="Times New Roman"/>
          <w:kern w:val="2"/>
          <w:sz w:val="24"/>
          <w:szCs w:val="24"/>
          <w14:ligatures w14:val="standardContextual"/>
        </w:rPr>
      </w:pPr>
      <w:r>
        <w:rPr>
          <w:rFonts w:ascii="Times New Roman" w:hAnsi="Times New Roman"/>
          <w:sz w:val="24"/>
        </w:rPr>
        <w:t>Under Plan 2, borrowers repay 9% of annual earnings above the country-specific lower overseas threshold. The upper threshold determines the income-related interest loading, which rises linearly from RPI to RPI plus 3 percentage points (UK Government, n.d.-a, n.d.-</w:t>
      </w:r>
      <w:r>
        <w:rPr>
          <w:rFonts w:ascii="Times New Roman" w:hAnsi="Times New Roman"/>
          <w:sz w:val="24"/>
        </w:rPr>
        <w:lastRenderedPageBreak/>
        <w:t>c; Student Loans Company, 2021). We fix the 2021/22 lower</w:t>
      </w:r>
      <w:r w:rsidR="006660FA">
        <w:rPr>
          <w:rFonts w:ascii="Times New Roman" w:hAnsi="Times New Roman"/>
          <w:sz w:val="24"/>
        </w:rPr>
        <w:t xml:space="preserve"> (</w:t>
      </w:r>
      <m:oMath>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L</m:t>
            </m:r>
          </m:sup>
        </m:sSubSup>
        <m:r>
          <w:rPr>
            <w:rFonts w:ascii="Cambria Math" w:hAnsi="Cambria Math" w:cs="Times New Roman"/>
            <w:kern w:val="2"/>
            <w:sz w:val="24"/>
            <w:szCs w:val="24"/>
            <w14:ligatures w14:val="standardContextual"/>
          </w:rPr>
          <m:t>)</m:t>
        </m:r>
      </m:oMath>
      <w:r>
        <w:rPr>
          <w:rFonts w:ascii="Times New Roman" w:hAnsi="Times New Roman"/>
          <w:sz w:val="24"/>
        </w:rPr>
        <w:t xml:space="preserve"> and upper</w:t>
      </w:r>
      <w:r w:rsidR="006660FA">
        <w:rPr>
          <w:rFonts w:ascii="Times New Roman" w:hAnsi="Times New Roman"/>
          <w:sz w:val="24"/>
        </w:rPr>
        <w:t xml:space="preserve"> (</w:t>
      </w:r>
      <m:oMath>
        <m:sSubSup>
          <m:sSubSupPr>
            <m:ctrlPr>
              <w:rPr>
                <w:rFonts w:ascii="Cambria Math" w:hAnsi="Cambria Math" w:cs="Times New Roman"/>
                <w:i/>
                <w:kern w:val="2"/>
                <w:sz w:val="24"/>
                <w:szCs w:val="24"/>
                <w14:ligatures w14:val="standardContextual"/>
              </w:rPr>
            </m:ctrlPr>
          </m:sSubSupPr>
          <m:e>
            <m:r>
              <w:rPr>
                <w:rFonts w:ascii="Cambria Math" w:hAnsi="Cambria Math" w:cs="Times New Roman"/>
                <w:kern w:val="2"/>
                <w:sz w:val="24"/>
                <w:szCs w:val="24"/>
                <w14:ligatures w14:val="standardContextual"/>
              </w:rPr>
              <m:t>τ</m:t>
            </m:r>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U</m:t>
            </m:r>
          </m:sup>
        </m:sSubSup>
        <m:r>
          <w:rPr>
            <w:rFonts w:ascii="Cambria Math" w:hAnsi="Cambria Math" w:cs="Times New Roman"/>
            <w:kern w:val="2"/>
            <w:sz w:val="24"/>
            <w:szCs w:val="24"/>
            <w14:ligatures w14:val="standardContextual"/>
          </w:rPr>
          <m:t>)</m:t>
        </m:r>
      </m:oMath>
      <w:r>
        <w:rPr>
          <w:rFonts w:ascii="Times New Roman" w:hAnsi="Times New Roman"/>
          <w:sz w:val="24"/>
        </w:rPr>
        <w:t xml:space="preserve"> thresholds throughout the simulation, hold RPI at 4.3%, </w:t>
      </w:r>
      <m:oMath>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jt</m:t>
            </m:r>
          </m:sub>
        </m:sSub>
      </m:oMath>
      <w:r w:rsidR="006660FA">
        <w:rPr>
          <w:rFonts w:ascii="Times New Roman" w:eastAsiaTheme="minorEastAsia" w:hAnsi="Times New Roman"/>
          <w:kern w:val="2"/>
          <w:sz w:val="24"/>
          <w:szCs w:val="24"/>
          <w14:ligatures w14:val="standardContextual"/>
        </w:rPr>
        <w:t xml:space="preserve"> is </w:t>
      </w:r>
      <w:r>
        <w:rPr>
          <w:rFonts w:ascii="Times New Roman" w:hAnsi="Times New Roman"/>
          <w:sz w:val="24"/>
        </w:rPr>
        <w:t>assume</w:t>
      </w:r>
      <w:r w:rsidR="006660FA">
        <w:rPr>
          <w:rFonts w:ascii="Times New Roman" w:hAnsi="Times New Roman"/>
          <w:sz w:val="24"/>
        </w:rPr>
        <w:t>d to have</w:t>
      </w:r>
      <w:r>
        <w:rPr>
          <w:rFonts w:ascii="Times New Roman" w:hAnsi="Times New Roman"/>
          <w:sz w:val="24"/>
        </w:rPr>
        <w:t xml:space="preserve"> nominal wage growth of </w:t>
      </w:r>
      <m:oMath>
        <m:r>
          <w:rPr>
            <w:rFonts w:ascii="Cambria Math" w:eastAsiaTheme="minorEastAsia" w:hAnsi="Cambria Math"/>
          </w:rPr>
          <m:t>g</m:t>
        </m:r>
        <m:r>
          <w:rPr>
            <w:rFonts w:ascii="Cambria Math" w:eastAsiaTheme="minorEastAsia" w:hAnsi="Cambria Math"/>
            <w:sz w:val="24"/>
          </w:rPr>
          <m:t>=2%</m:t>
        </m:r>
      </m:oMath>
      <w:r>
        <w:rPr>
          <w:rFonts w:ascii="Times New Roman" w:hAnsi="Times New Roman"/>
          <w:sz w:val="24"/>
        </w:rPr>
        <w:t xml:space="preserve"> per year, and </w:t>
      </w:r>
      <w:r w:rsidR="006660FA">
        <w:rPr>
          <w:rFonts w:ascii="Times New Roman" w:hAnsi="Times New Roman"/>
          <w:sz w:val="24"/>
        </w:rPr>
        <w:t>the loan is written off when</w:t>
      </w:r>
      <w:r>
        <w:rPr>
          <w:rFonts w:ascii="Times New Roman" w:hAnsi="Times New Roman"/>
          <w:sz w:val="24"/>
        </w:rPr>
        <w:t xml:space="preserve"> </w:t>
      </w:r>
      <w:r>
        <w:rPr>
          <w:rFonts w:ascii="Times New Roman" w:hAnsi="Times New Roman"/>
          <w:sz w:val="24"/>
        </w:rPr>
        <w:t>T=</w:t>
      </w:r>
      <w:r>
        <w:rPr>
          <w:rFonts w:ascii="Times New Roman" w:hAnsi="Times New Roman"/>
          <w:sz w:val="24"/>
        </w:rPr>
        <w:t>30-year (UK Government, n.d.-b).</w:t>
      </w:r>
      <w:r w:rsidR="006660FA">
        <w:rPr>
          <w:rFonts w:ascii="Times New Roman" w:hAnsi="Times New Roman"/>
          <w:sz w:val="24"/>
        </w:rPr>
        <w:t xml:space="preserve"> The 2021 table is recovered and archived in </w:t>
      </w:r>
      <w:r w:rsidR="006660FA" w:rsidRPr="006660FA">
        <w:rPr>
          <w:rFonts w:ascii="Times New Roman" w:hAnsi="Times New Roman"/>
          <w:sz w:val="24"/>
        </w:rPr>
        <w:t>Student Loans Company (n.d.).</w:t>
      </w:r>
      <w:r w:rsidR="006660FA">
        <w:t xml:space="preserve"> </w:t>
      </w:r>
      <w:r>
        <w:rPr>
          <w:rFonts w:ascii="Times New Roman" w:hAnsi="Times New Roman"/>
          <w:sz w:val="24"/>
        </w:rPr>
        <w:t>With these assumptions, the initial balance and interest recursion</w:t>
      </w:r>
      <w:r w:rsidR="006660FA">
        <w:rPr>
          <w:rFonts w:ascii="Times New Roman" w:hAnsi="Times New Roman"/>
          <w:sz w:val="24"/>
        </w:rPr>
        <w:t>s</w:t>
      </w:r>
      <w:r>
        <w:rPr>
          <w:rFonts w:ascii="Times New Roman" w:hAnsi="Times New Roman"/>
          <w:sz w:val="24"/>
        </w:rPr>
        <w:t xml:space="preserve"> are</w:t>
      </w:r>
    </w:p>
    <w:p w14:paraId="36BE6E6E" w14:textId="77777777" w:rsidR="00546593" w:rsidRPr="00BC3C05" w:rsidRDefault="00546593" w:rsidP="00546593">
      <w:pPr>
        <w:spacing w:after="0" w:line="360" w:lineRule="auto"/>
        <w:rPr>
          <w:rFonts w:ascii="Times New Roman" w:eastAsiaTheme="minorEastAsia" w:hAnsi="Times New Roman" w:cs="Times New Roman"/>
          <w:kern w:val="2"/>
          <w:sz w:val="24"/>
          <w:szCs w:val="24"/>
          <w14:ligatures w14:val="standardContextual"/>
        </w:rPr>
      </w:pPr>
      <m:oMathPara>
        <m:oMath>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B</m:t>
              </m:r>
            </m:e>
            <m:sub>
              <m:r>
                <w:rPr>
                  <w:rFonts w:ascii="Cambria Math" w:hAnsi="Cambria Math" w:cs="Times New Roman"/>
                  <w:kern w:val="2"/>
                  <w:sz w:val="24"/>
                  <w:szCs w:val="24"/>
                  <w14:ligatures w14:val="standardContextual"/>
                </w:rPr>
                <m:t>j0</m:t>
              </m:r>
            </m:sub>
          </m:sSub>
          <m:r>
            <w:rPr>
              <w:rFonts w:ascii="Cambria Math" w:hAnsi="Cambria Math" w:cs="Times New Roman"/>
              <w:kern w:val="2"/>
              <w:sz w:val="24"/>
              <w:szCs w:val="24"/>
              <w14:ligatures w14:val="standardContextual"/>
            </w:rPr>
            <m:t xml:space="preserve">=L,   </m:t>
          </m:r>
          <m:sSub>
            <m:sSubPr>
              <m:ctrlPr>
                <w:rPr>
                  <w:rFonts w:ascii="Cambria Math" w:hAnsi="Cambria Math" w:cs="Times New Roman"/>
                  <w:i/>
                  <w:kern w:val="2"/>
                  <w:sz w:val="24"/>
                  <w:szCs w:val="24"/>
                  <w14:ligatures w14:val="standardContextual"/>
                </w:rPr>
              </m:ctrlPr>
            </m:sSubPr>
            <m:e>
              <m:acc>
                <m:accPr>
                  <m:chr m:val="̃"/>
                  <m:ctrlPr>
                    <w:rPr>
                      <w:rFonts w:ascii="Cambria Math" w:hAnsi="Cambria Math" w:cs="Times New Roman"/>
                      <w:i/>
                      <w:kern w:val="2"/>
                      <w:sz w:val="24"/>
                      <w:szCs w:val="24"/>
                      <w14:ligatures w14:val="standardContextual"/>
                    </w:rPr>
                  </m:ctrlPr>
                </m:accPr>
                <m:e>
                  <m:r>
                    <w:rPr>
                      <w:rFonts w:ascii="Cambria Math" w:hAnsi="Cambria Math" w:cs="Times New Roman"/>
                      <w:kern w:val="2"/>
                      <w:sz w:val="24"/>
                      <w:szCs w:val="24"/>
                      <w14:ligatures w14:val="standardContextual"/>
                    </w:rPr>
                    <m:t>B</m:t>
                  </m:r>
                </m:e>
              </m:acc>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m:t>
          </m:r>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B</m:t>
              </m:r>
            </m:e>
            <m:sub>
              <m:r>
                <w:rPr>
                  <w:rFonts w:ascii="Cambria Math" w:hAnsi="Cambria Math" w:cs="Times New Roman"/>
                  <w:kern w:val="2"/>
                  <w:sz w:val="24"/>
                  <w:szCs w:val="24"/>
                  <w14:ligatures w14:val="standardContextual"/>
                </w:rPr>
                <m:t>j,t-1</m:t>
              </m:r>
            </m:sub>
          </m:sSub>
          <m:r>
            <w:rPr>
              <w:rFonts w:ascii="Cambria Math" w:hAnsi="Cambria Math" w:cs="Times New Roman"/>
              <w:kern w:val="2"/>
              <w:sz w:val="24"/>
              <w:szCs w:val="24"/>
              <w14:ligatures w14:val="standardContextual"/>
            </w:rPr>
            <m:t>(1+</m:t>
          </m:r>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i</m:t>
              </m:r>
            </m:e>
            <m:sub>
              <m:r>
                <w:rPr>
                  <w:rFonts w:ascii="Cambria Math" w:hAnsi="Cambria Math" w:cs="Times New Roman"/>
                  <w:kern w:val="2"/>
                  <w:sz w:val="24"/>
                  <w:szCs w:val="24"/>
                  <w14:ligatures w14:val="standardContextual"/>
                </w:rPr>
                <m:t>jt</m:t>
              </m:r>
            </m:sub>
          </m:sSub>
          <m:r>
            <w:rPr>
              <w:rFonts w:ascii="Cambria Math" w:hAnsi="Cambria Math" w:cs="Times New Roman"/>
              <w:kern w:val="2"/>
              <w:sz w:val="24"/>
              <w:szCs w:val="24"/>
              <w14:ligatures w14:val="standardContextual"/>
            </w:rPr>
            <m:t>)</m:t>
          </m:r>
        </m:oMath>
      </m:oMathPara>
    </w:p>
    <w:p w14:paraId="429F4E1F" w14:textId="77777777" w:rsidR="00546593" w:rsidRPr="00BC3C05" w:rsidRDefault="00546593" w:rsidP="00546593">
      <w:pPr>
        <w:spacing w:after="0" w:line="360" w:lineRule="auto"/>
        <w:rPr>
          <w:rFonts w:ascii="Times New Roman" w:hAnsi="Times New Roman" w:cs="Times New Roman"/>
          <w:kern w:val="2"/>
          <w:sz w:val="24"/>
          <w:szCs w:val="24"/>
          <w14:ligatures w14:val="standardContextual"/>
        </w:rPr>
      </w:pPr>
      <w:r>
        <w:rPr>
          <w:rFonts w:ascii="Times New Roman" w:hAnsi="Times New Roman"/>
          <w:sz w:val="24"/>
        </w:rPr>
        <w:t>The annual payment equals 9% of earnings above the lower threshold, capped at the balance after interest. The ending balance then becomes the opening balance for the following year.</w:t>
      </w:r>
    </w:p>
    <w:p w14:paraId="7484E522" w14:textId="77777777" w:rsidR="00546593" w:rsidRPr="00BC3C05" w:rsidRDefault="00546593" w:rsidP="00546593">
      <w:pPr>
        <w:spacing w:after="0" w:line="360" w:lineRule="auto"/>
        <w:rPr>
          <w:rFonts w:ascii="Times New Roman" w:eastAsiaTheme="minorEastAsia" w:hAnsi="Times New Roman" w:cs="Times New Roman"/>
          <w:kern w:val="2"/>
          <w:sz w:val="24"/>
          <w:szCs w:val="24"/>
          <w14:ligatures w14:val="standardContextual"/>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0.09</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L</m:t>
                      </m:r>
                    </m:sup>
                  </m:sSubSup>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e>
          </m:d>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jt</m:t>
              </m:r>
            </m:sub>
          </m:sSub>
        </m:oMath>
      </m:oMathPara>
    </w:p>
    <w:p w14:paraId="29573C71" w14:textId="77777777" w:rsidR="00546593" w:rsidRPr="00BC3C05" w:rsidRDefault="00546593" w:rsidP="00546593">
      <w:pPr>
        <w:spacing w:after="0" w:line="360" w:lineRule="auto"/>
        <w:rPr>
          <w:rFonts w:ascii="Times New Roman" w:hAnsi="Times New Roman" w:cs="Times New Roman"/>
          <w:kern w:val="2"/>
          <w:sz w:val="24"/>
          <w:szCs w:val="24"/>
          <w14:ligatures w14:val="standardContextual"/>
        </w:rPr>
      </w:pPr>
      <w:r>
        <w:rPr>
          <w:rFonts w:ascii="Times New Roman" w:hAnsi="Times New Roman"/>
          <w:sz w:val="24"/>
        </w:rPr>
        <w:t>Discounting the resulting contractual payment stream at the annual subjective discount rate gives</w:t>
      </w:r>
    </w:p>
    <w:p w14:paraId="12B694E5" w14:textId="77777777" w:rsidR="00546593" w:rsidRPr="00BC3C05" w:rsidRDefault="00546593" w:rsidP="00546593">
      <w:pPr>
        <w:spacing w:after="0" w:line="360" w:lineRule="auto"/>
        <w:rPr>
          <w:rFonts w:ascii="Times New Roman" w:eastAsiaTheme="minorEastAsia" w:hAnsi="Times New Roman" w:cs="Times New Roman"/>
          <w:kern w:val="2"/>
          <w:sz w:val="24"/>
          <w:szCs w:val="24"/>
          <w14:ligatures w14:val="standardContextual"/>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oMath>
      </m:oMathPara>
    </w:p>
    <w:p w14:paraId="017AC081" w14:textId="4535C02F" w:rsidR="00546593" w:rsidRPr="00BC3C05" w:rsidRDefault="00546593" w:rsidP="00546593">
      <w:pPr>
        <w:spacing w:after="0" w:line="360" w:lineRule="auto"/>
        <w:ind w:firstLine="720"/>
        <w:rPr>
          <w:rFonts w:ascii="Times New Roman" w:hAnsi="Times New Roman" w:cs="Times New Roman"/>
          <w:kern w:val="2"/>
          <w:sz w:val="24"/>
          <w:szCs w:val="24"/>
          <w14:ligatures w14:val="standardContextual"/>
        </w:rPr>
      </w:pPr>
      <w:r>
        <w:rPr>
          <w:rFonts w:ascii="Times New Roman" w:hAnsi="Times New Roman"/>
          <w:sz w:val="24"/>
        </w:rPr>
        <w:t>The country-specific experienced price shock is the log difference between the average post-Brexit international fee and the subjective present value of the former loan.</w:t>
      </w:r>
      <w:r w:rsidR="006660FA">
        <w:rPr>
          <w:rFonts w:ascii="Times New Roman" w:hAnsi="Times New Roman"/>
          <w:sz w:val="24"/>
        </w:rPr>
        <w:t xml:space="preserve"> </w:t>
      </w:r>
    </w:p>
    <w:p w14:paraId="5D37C7E3" w14:textId="77777777" w:rsidR="00546593" w:rsidRPr="00BC3C05" w:rsidRDefault="00546593" w:rsidP="00546593">
      <w:pPr>
        <w:spacing w:after="0" w:line="360" w:lineRule="auto"/>
        <w:rPr>
          <w:rFonts w:ascii="Times New Roman" w:hAnsi="Times New Roman" w:cs="Times New Roman"/>
          <w:kern w:val="2"/>
          <w:sz w:val="24"/>
          <w:szCs w:val="24"/>
          <w14:ligatures w14:val="standardContextual"/>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m:t>
              </m:r>
              <m:r>
                <m:rPr>
                  <m:sty m:val="p"/>
                </m:rPr>
                <w:rPr>
                  <w:rFonts w:ascii="Cambria Math" w:hAnsi="Cambria Math"/>
                </w:rPr>
                <m:t>,</m:t>
              </m:r>
              <m:r>
                <w:rPr>
                  <w:rFonts w:ascii="Cambria Math" w:hAnsi="Cambria Math"/>
                </w:rPr>
                <m:t>200</m:t>
              </m:r>
            </m:e>
          </m:d>
          <m:r>
            <m:rPr>
              <m:sty m:val="p"/>
            </m:rPr>
            <w:rPr>
              <w:rFonts w:ascii="Cambria Math" w:hAnsi="Cambria Math"/>
            </w:rPr>
            <m:t>-log</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e>
          </m:d>
        </m:oMath>
      </m:oMathPara>
    </w:p>
    <w:p w14:paraId="3FFC440E" w14:textId="6617F4F7" w:rsidR="00546593" w:rsidRPr="00BC3C05" w:rsidRDefault="00546593" w:rsidP="00546593">
      <w:pPr>
        <w:spacing w:after="0" w:line="360" w:lineRule="auto"/>
        <w:rPr>
          <w:rFonts w:ascii="Times New Roman" w:hAnsi="Times New Roman" w:cs="Times New Roman"/>
          <w:kern w:val="2"/>
          <w:sz w:val="24"/>
          <w:szCs w:val="24"/>
          <w14:ligatures w14:val="standardContextual"/>
        </w:rPr>
      </w:pPr>
      <w:r>
        <w:rPr>
          <w:rFonts w:ascii="Times New Roman" w:hAnsi="Times New Roman"/>
          <w:sz w:val="24"/>
        </w:rPr>
        <w:t>The post-Brexit price is £22,200</w:t>
      </w:r>
      <w:r w:rsidR="00ED60A5">
        <w:rPr>
          <w:rFonts w:ascii="Times New Roman" w:hAnsi="Times New Roman"/>
          <w:sz w:val="24"/>
        </w:rPr>
        <w:t xml:space="preserve"> as in Clifton-Sprigg et al. (2025)</w:t>
      </w:r>
      <w:r>
        <w:rPr>
          <w:rFonts w:ascii="Times New Roman" w:hAnsi="Times New Roman"/>
          <w:sz w:val="24"/>
        </w:rPr>
        <w:t>. The pre-Brexit price is the subjective present value of repayments generated by the origin-country wage path. We use the 2024 average annual salary</w:t>
      </w:r>
      <w:r w:rsidR="006660FA">
        <w:rPr>
          <w:rFonts w:ascii="Times New Roman" w:hAnsi="Times New Roman"/>
          <w:sz w:val="24"/>
        </w:rPr>
        <w:t xml:space="preserve"> from Eurostat</w:t>
      </w:r>
      <w:r>
        <w:rPr>
          <w:rFonts w:ascii="Times New Roman" w:hAnsi="Times New Roman"/>
          <w:sz w:val="24"/>
        </w:rPr>
        <w:t xml:space="preserve"> because a student entering in 2021 completes a standard three-year degree in 2024, then convert euro wages into pounds using the 2021/22 rate of 0.8</w:t>
      </w:r>
      <w:r w:rsidR="00ED60A5">
        <w:rPr>
          <w:rFonts w:ascii="Times New Roman" w:hAnsi="Times New Roman"/>
          <w:sz w:val="24"/>
        </w:rPr>
        <w:t>9</w:t>
      </w:r>
      <w:r>
        <w:rPr>
          <w:rFonts w:ascii="Times New Roman" w:hAnsi="Times New Roman"/>
          <w:sz w:val="24"/>
        </w:rPr>
        <w:t xml:space="preserve">. The post-Brexit fee is treated as payable during study once UK government loan access disappears. </w:t>
      </w:r>
    </w:p>
    <w:p w14:paraId="15E37F46" w14:textId="07C0CE7F" w:rsidR="00546593" w:rsidRPr="00ED60A5" w:rsidRDefault="00ED60A5" w:rsidP="00ED60A5">
      <w:pPr>
        <w:spacing w:line="360" w:lineRule="auto"/>
        <w:ind w:firstLine="720"/>
        <w:rPr>
          <w:rFonts w:ascii="Times New Roman" w:hAnsi="Times New Roman"/>
          <w:sz w:val="24"/>
        </w:rPr>
      </w:pPr>
      <w:r w:rsidRPr="00ED60A5">
        <w:rPr>
          <w:rFonts w:ascii="Times New Roman" w:hAnsi="Times New Roman"/>
          <w:sz w:val="24"/>
        </w:rPr>
        <w:t xml:space="preserve">The subjective discount rate </w:t>
      </w:r>
      <m:oMath>
        <m:r>
          <w:rPr>
            <w:rFonts w:ascii="Cambria Math" w:hAnsi="Cambria Math"/>
            <w:sz w:val="24"/>
          </w:rPr>
          <m:t>δ</m:t>
        </m:r>
      </m:oMath>
      <w:r w:rsidRPr="00ED60A5">
        <w:rPr>
          <w:rFonts w:ascii="Times New Roman" w:hAnsi="Times New Roman"/>
          <w:sz w:val="24"/>
        </w:rPr>
        <w:t xml:space="preserve"> follows the idea in Li et al. (2022) and is therefore a calibration parameter that cannot be independently estimated without micro data.</w:t>
      </w:r>
      <w:r w:rsidR="006660FA">
        <w:rPr>
          <w:rFonts w:ascii="Times New Roman" w:hAnsi="Times New Roman"/>
          <w:sz w:val="24"/>
        </w:rPr>
        <w:t xml:space="preserve"> We vary that rate across a sequence of values until the estimated elasticities converge with the literature.</w:t>
      </w:r>
      <w:r w:rsidRPr="00ED60A5">
        <w:rPr>
          <w:rFonts w:ascii="Times New Roman" w:hAnsi="Times New Roman"/>
          <w:sz w:val="24"/>
        </w:rPr>
        <w:t xml:space="preserve"> Generally speaking, the literature on student subjective discounting is very scarce. Thus far, we don’t have a stable program for estimating the discount rates students experience at the time of application versus the ones they actually face. Guided by the estimates summarized in the literature review (Li et al., 2022; Matousek et al., 2022; Warner &amp; Pleeter, 2001), we evaluate annual rates from 3% to 35%. The 3% case provides a low-discount</w:t>
      </w:r>
      <w:r w:rsidR="006660FA">
        <w:rPr>
          <w:rFonts w:ascii="Times New Roman" w:hAnsi="Times New Roman"/>
          <w:sz w:val="24"/>
        </w:rPr>
        <w:t xml:space="preserve"> “objective” rate</w:t>
      </w:r>
      <w:r>
        <w:rPr>
          <w:rFonts w:ascii="Times New Roman" w:hAnsi="Times New Roman"/>
          <w:sz w:val="24"/>
        </w:rPr>
        <w:t xml:space="preserve"> (the actuary rate)</w:t>
      </w:r>
      <w:r w:rsidRPr="00ED60A5">
        <w:rPr>
          <w:rFonts w:ascii="Times New Roman" w:hAnsi="Times New Roman"/>
          <w:sz w:val="24"/>
        </w:rPr>
        <w:t>, the upper part of the interval captures the strong present orientation found in experimental and consequential financial choices</w:t>
      </w:r>
      <w:r>
        <w:rPr>
          <w:rFonts w:ascii="Times New Roman" w:hAnsi="Times New Roman"/>
          <w:sz w:val="24"/>
        </w:rPr>
        <w:t xml:space="preserve"> (</w:t>
      </w:r>
      <w:r w:rsidRPr="00ED60A5">
        <w:rPr>
          <w:rFonts w:ascii="Times New Roman" w:hAnsi="Times New Roman"/>
          <w:sz w:val="24"/>
        </w:rPr>
        <w:t xml:space="preserve">Matousek et </w:t>
      </w:r>
      <w:r w:rsidRPr="00ED60A5">
        <w:rPr>
          <w:rFonts w:ascii="Times New Roman" w:hAnsi="Times New Roman"/>
          <w:sz w:val="24"/>
        </w:rPr>
        <w:lastRenderedPageBreak/>
        <w:t>al., 2022</w:t>
      </w:r>
      <w:r>
        <w:rPr>
          <w:rFonts w:ascii="Times New Roman" w:hAnsi="Times New Roman"/>
          <w:sz w:val="24"/>
        </w:rPr>
        <w:t>)</w:t>
      </w:r>
      <w:r w:rsidRPr="00ED60A5">
        <w:rPr>
          <w:rFonts w:ascii="Times New Roman" w:hAnsi="Times New Roman"/>
          <w:sz w:val="24"/>
        </w:rPr>
        <w:t>. This use of financing access is also consistent with Solís (2017), who shows that credit availability can substantially increase enrollment.</w:t>
      </w:r>
    </w:p>
    <w:p w14:paraId="539664B0" w14:textId="7804A136" w:rsidR="00546593" w:rsidRPr="00BC3C05" w:rsidRDefault="006660FA" w:rsidP="00ED60A5">
      <w:pPr>
        <w:spacing w:after="0" w:line="360" w:lineRule="auto"/>
        <w:ind w:firstLine="720"/>
        <w:rPr>
          <w:rFonts w:ascii="Times New Roman" w:hAnsi="Times New Roman" w:cs="Times New Roman"/>
          <w:kern w:val="2"/>
          <w:sz w:val="24"/>
          <w:szCs w:val="24"/>
          <w14:ligatures w14:val="standardContextual"/>
        </w:rPr>
      </w:pPr>
      <w:r>
        <w:rPr>
          <w:rFonts w:ascii="Times New Roman" w:hAnsi="Times New Roman"/>
          <w:sz w:val="24"/>
        </w:rPr>
        <w:t>Furthermore,</w:t>
      </w:r>
      <w:r w:rsidR="00546593">
        <w:rPr>
          <w:rFonts w:ascii="Times New Roman" w:hAnsi="Times New Roman"/>
          <w:sz w:val="24"/>
        </w:rPr>
        <w:t xml:space="preserve"> we examine whether the loan adjustment changes the association between the country-specific elasticities and national income. At each subjective discount rate, we estimate</w:t>
      </w:r>
    </w:p>
    <w:tbl>
      <w:tblPr>
        <w:tblW w:w="0" w:type="auto"/>
        <w:tblLook w:val="04A0" w:firstRow="1" w:lastRow="0" w:firstColumn="1" w:lastColumn="0" w:noHBand="0" w:noVBand="1"/>
      </w:tblPr>
      <w:tblGrid>
        <w:gridCol w:w="8500"/>
        <w:gridCol w:w="516"/>
      </w:tblGrid>
      <w:tr w:rsidR="00546593" w:rsidRPr="00BC3C05" w14:paraId="54A84C8D" w14:textId="77777777" w:rsidTr="00CA40A3">
        <w:trPr>
          <w:tblHeader/>
        </w:trPr>
        <w:tc>
          <w:tcPr>
            <w:tcW w:w="8500" w:type="dxa"/>
          </w:tcPr>
          <w:p w14:paraId="4BA19FFC" w14:textId="2D84AC6A" w:rsidR="00546593" w:rsidRPr="00BC3C05" w:rsidRDefault="00546593" w:rsidP="00CA40A3">
            <w:pPr>
              <w:spacing w:after="0" w:line="360" w:lineRule="auto"/>
              <w:rPr>
                <w:rFonts w:ascii="Times New Roman" w:eastAsia="Times New Roman" w:hAnsi="Times New Roman" w:cs="Times New Roman"/>
                <w:sz w:val="24"/>
                <w:szCs w:val="24"/>
                <w:lang w:eastAsia="en-GB"/>
              </w:rPr>
            </w:pPr>
            <m:oMathPara>
              <m:oMathParaPr>
                <m:jc m:val="left"/>
              </m:oMathParaPr>
              <m:oMath>
                <m:f>
                  <m:fPr>
                    <m:ctrlPr>
                      <w:rPr>
                        <w:rFonts w:ascii="Cambria Math" w:eastAsia="Times New Roman" w:hAnsi="Cambria Math" w:cs="Times New Roman"/>
                        <w:i/>
                        <w:sz w:val="24"/>
                        <w:szCs w:val="24"/>
                        <w:lang w:eastAsia="en-GB"/>
                      </w:rPr>
                    </m:ctrlPr>
                  </m:fPr>
                  <m:num>
                    <m:acc>
                      <m:accPr>
                        <m:ctrlPr>
                          <w:rPr>
                            <w:rFonts w:ascii="Cambria Math" w:eastAsia="Times New Roman" w:hAnsi="Cambria Math" w:cs="Times New Roman"/>
                            <w:i/>
                            <w:sz w:val="24"/>
                            <w:szCs w:val="24"/>
                            <w:lang w:eastAsia="en-GB"/>
                          </w:rPr>
                        </m:ctrlPr>
                      </m:accPr>
                      <m:e>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β</m:t>
                            </m:r>
                          </m:e>
                          <m:sub>
                            <m:r>
                              <w:rPr>
                                <w:rFonts w:ascii="Cambria Math" w:eastAsia="Times New Roman" w:hAnsi="Cambria Math" w:cs="Times New Roman"/>
                                <w:sz w:val="24"/>
                                <w:szCs w:val="24"/>
                                <w:lang w:eastAsia="en-GB"/>
                              </w:rPr>
                              <m:t>j</m:t>
                            </m:r>
                          </m:sub>
                        </m:sSub>
                      </m:e>
                    </m:acc>
                  </m:num>
                  <m:den>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k</m:t>
                        </m:r>
                      </m:e>
                      <m:sub>
                        <m:r>
                          <w:rPr>
                            <w:rFonts w:ascii="Cambria Math" w:eastAsia="Times New Roman" w:hAnsi="Cambria Math" w:cs="Times New Roman"/>
                            <w:sz w:val="24"/>
                            <w:szCs w:val="24"/>
                            <w:lang w:eastAsia="en-GB"/>
                          </w:rPr>
                          <m:t>j</m:t>
                        </m:r>
                      </m:sub>
                    </m:sSub>
                    <m:r>
                      <w:rPr>
                        <w:rFonts w:ascii="Cambria Math" w:eastAsia="Times New Roman" w:hAnsi="Cambria Math" w:cs="Times New Roman"/>
                        <w:sz w:val="24"/>
                        <w:szCs w:val="24"/>
                        <w:lang w:eastAsia="en-GB"/>
                      </w:rPr>
                      <m:t>(</m:t>
                    </m:r>
                    <m:r>
                      <w:rPr>
                        <w:rFonts w:ascii="Cambria Math" w:hAnsi="Cambria Math" w:cs="Times New Roman"/>
                        <w:kern w:val="2"/>
                        <w:sz w:val="24"/>
                        <w:szCs w:val="24"/>
                        <w14:ligatures w14:val="standardContextual"/>
                      </w:rPr>
                      <m:t>δ)</m:t>
                    </m:r>
                  </m:den>
                </m:f>
                <m:r>
                  <w:rPr>
                    <w:rFonts w:ascii="Cambria Math" w:eastAsia="Times New Roman" w:hAnsi="Cambria Math" w:cs="Times New Roman"/>
                    <w:sz w:val="24"/>
                    <w:szCs w:val="24"/>
                    <w:lang w:eastAsia="en-GB"/>
                  </w:rPr>
                  <m:t xml:space="preserve"> =</m:t>
                </m:r>
                <m:r>
                  <w:rPr>
                    <w:rFonts w:ascii="Cambria Math" w:eastAsia="Times New Roman" w:hAnsi="Cambria Math" w:cs="Times New Roman"/>
                    <w:sz w:val="24"/>
                    <w:szCs w:val="24"/>
                    <w:lang w:eastAsia="en-GB"/>
                  </w:rPr>
                  <m:t>α</m:t>
                </m:r>
                <m:r>
                  <w:rPr>
                    <w:rFonts w:ascii="Cambria Math" w:eastAsia="Times New Roman" w:hAnsi="Cambria Math" w:cs="Times New Roman"/>
                    <w:sz w:val="24"/>
                    <w:szCs w:val="24"/>
                    <w:lang w:eastAsia="en-GB"/>
                  </w:rPr>
                  <m:t>+</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γ</m:t>
                    </m:r>
                  </m:e>
                  <m:sub>
                    <m:r>
                      <w:rPr>
                        <w:rFonts w:ascii="Cambria Math" w:eastAsia="Times New Roman" w:hAnsi="Cambria Math" w:cs="Times New Roman"/>
                        <w:sz w:val="24"/>
                        <w:szCs w:val="24"/>
                        <w:lang w:eastAsia="en-GB"/>
                      </w:rPr>
                      <m:t>δ</m:t>
                    </m:r>
                  </m:sub>
                </m:sSub>
                <m:func>
                  <m:funcPr>
                    <m:ctrlPr>
                      <w:rPr>
                        <w:rFonts w:ascii="Cambria Math" w:eastAsia="Times New Roman" w:hAnsi="Cambria Math" w:cs="Times New Roman"/>
                        <w:i/>
                        <w:sz w:val="24"/>
                        <w:szCs w:val="24"/>
                        <w:lang w:eastAsia="en-GB"/>
                      </w:rPr>
                    </m:ctrlPr>
                  </m:funcPr>
                  <m:fName>
                    <m:r>
                      <m:rPr>
                        <m:sty m:val="p"/>
                      </m:rPr>
                      <w:rPr>
                        <w:rFonts w:ascii="Cambria Math" w:eastAsia="Times New Roman" w:hAnsi="Cambria Math" w:cs="Times New Roman"/>
                        <w:sz w:val="24"/>
                        <w:szCs w:val="24"/>
                        <w:lang w:eastAsia="en-GB"/>
                      </w:rPr>
                      <m:t>log</m:t>
                    </m:r>
                  </m:fName>
                  <m:e>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GDPp</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c</m:t>
                            </m:r>
                          </m:e>
                          <m:sub>
                            <m:r>
                              <w:rPr>
                                <w:rFonts w:ascii="Cambria Math" w:eastAsia="Times New Roman" w:hAnsi="Cambria Math" w:cs="Times New Roman"/>
                                <w:sz w:val="24"/>
                                <w:szCs w:val="24"/>
                                <w:lang w:eastAsia="en-GB"/>
                              </w:rPr>
                              <m:t>j</m:t>
                            </m:r>
                          </m:sub>
                        </m:sSub>
                      </m:e>
                    </m:d>
                  </m:e>
                </m:func>
                <m:r>
                  <w:rPr>
                    <w:rFonts w:ascii="Cambria Math" w:eastAsia="Times New Roman" w:hAnsi="Cambria Math" w:cs="Times New Roman"/>
                    <w:sz w:val="24"/>
                    <w:szCs w:val="24"/>
                    <w:lang w:eastAsia="en-GB"/>
                  </w:rPr>
                  <m:t>+</m:t>
                </m:r>
                <m:sSup>
                  <m:sSupPr>
                    <m:ctrlPr>
                      <w:rPr>
                        <w:rFonts w:ascii="Cambria Math" w:eastAsia="Times New Roman" w:hAnsi="Cambria Math" w:cs="Times New Roman"/>
                        <w:i/>
                        <w:sz w:val="24"/>
                        <w:szCs w:val="24"/>
                        <w:lang w:eastAsia="en-GB"/>
                      </w:rPr>
                    </m:ctrlPr>
                  </m:sSupPr>
                  <m:e>
                    <m:r>
                      <w:rPr>
                        <w:rFonts w:ascii="Cambria Math" w:eastAsia="Times New Roman" w:hAnsi="Cambria Math" w:cs="Times New Roman"/>
                        <w:sz w:val="24"/>
                        <w:szCs w:val="24"/>
                        <w:lang w:eastAsia="en-GB"/>
                      </w:rPr>
                      <m:t>X</m:t>
                    </m:r>
                  </m:e>
                  <m:sup>
                    <m:r>
                      <w:rPr>
                        <w:rFonts w:ascii="Cambria Math" w:eastAsia="Times New Roman" w:hAnsi="Cambria Math" w:cs="Times New Roman"/>
                        <w:sz w:val="24"/>
                        <w:szCs w:val="24"/>
                        <w:lang w:eastAsia="en-GB"/>
                      </w:rPr>
                      <m:t>'</m:t>
                    </m:r>
                  </m:sup>
                </m:sSup>
                <m:r>
                  <w:rPr>
                    <w:rFonts w:ascii="Cambria Math" w:eastAsia="Times New Roman" w:hAnsi="Cambria Math" w:cs="Times New Roman"/>
                    <w:sz w:val="24"/>
                    <w:szCs w:val="24"/>
                    <w:lang w:eastAsia="en-GB"/>
                  </w:rPr>
                  <m:t xml:space="preserve">ρ+ </m:t>
                </m:r>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u</m:t>
                    </m:r>
                  </m:e>
                  <m:sub>
                    <m:r>
                      <w:rPr>
                        <w:rFonts w:ascii="Cambria Math" w:eastAsia="Times New Roman" w:hAnsi="Cambria Math" w:cs="Times New Roman"/>
                        <w:sz w:val="24"/>
                        <w:szCs w:val="24"/>
                        <w:lang w:eastAsia="en-GB"/>
                      </w:rPr>
                      <m:t xml:space="preserve"> </m:t>
                    </m:r>
                  </m:sub>
                </m:sSub>
              </m:oMath>
            </m:oMathPara>
          </w:p>
        </w:tc>
        <w:tc>
          <w:tcPr>
            <w:tcW w:w="516" w:type="dxa"/>
            <w:vAlign w:val="center"/>
          </w:tcPr>
          <w:p w14:paraId="12835D8B" w14:textId="77777777" w:rsidR="00546593" w:rsidRPr="00BC3C05" w:rsidRDefault="00546593" w:rsidP="00CA40A3">
            <w:pPr>
              <w:spacing w:after="0" w:line="360" w:lineRule="auto"/>
              <w:rPr>
                <w:rFonts w:ascii="Times New Roman" w:eastAsia="Times New Roman" w:hAnsi="Times New Roman" w:cs="Times New Roman"/>
                <w:sz w:val="24"/>
                <w:szCs w:val="24"/>
                <w:lang w:eastAsia="en-GB"/>
              </w:rPr>
            </w:pPr>
            <w:r w:rsidRPr="00BC3C05">
              <w:rPr>
                <w:rFonts w:ascii="Times New Roman" w:eastAsia="Times New Roman" w:hAnsi="Times New Roman" w:cs="Times New Roman"/>
                <w:sz w:val="24"/>
                <w:szCs w:val="24"/>
                <w:lang w:eastAsia="en-GB"/>
              </w:rPr>
              <w:t>(4)</w:t>
            </w:r>
          </w:p>
        </w:tc>
      </w:tr>
    </w:tbl>
    <w:p w14:paraId="1E57A63E" w14:textId="77777777" w:rsidR="0042694A" w:rsidRPr="00BC3C05" w:rsidRDefault="0042694A" w:rsidP="0042694A">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We then report the values of the elasticities under income neutrality (</w:t>
      </w:r>
      <w:bookmarkStart w:id="3" w:name="_Hlk237465055"/>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γ</m:t>
            </m:r>
          </m:e>
          <m:sub>
            <m:r>
              <w:rPr>
                <w:rFonts w:ascii="Cambria Math" w:eastAsia="Times New Roman" w:hAnsi="Cambria Math" w:cs="Times New Roman"/>
                <w:sz w:val="24"/>
                <w:szCs w:val="24"/>
                <w:lang w:eastAsia="en-GB"/>
              </w:rPr>
              <m:t>δ</m:t>
            </m:r>
          </m:sub>
        </m:sSub>
        <m:r>
          <w:rPr>
            <w:rFonts w:ascii="Cambria Math" w:eastAsia="Times New Roman" w:hAnsi="Cambria Math" w:cs="Times New Roman"/>
            <w:sz w:val="24"/>
            <w:szCs w:val="24"/>
            <w:lang w:eastAsia="en-GB"/>
          </w:rPr>
          <m:t>=0</m:t>
        </m:r>
      </m:oMath>
      <w:bookmarkEnd w:id="3"/>
      <w:r w:rsidRPr="00BC3C05">
        <w:rPr>
          <w:rFonts w:ascii="Times New Roman" w:eastAsiaTheme="minorEastAsia" w:hAnsi="Times New Roman" w:cs="Times New Roman"/>
          <w:sz w:val="24"/>
          <w:szCs w:val="24"/>
          <w:lang w:eastAsia="en-GB"/>
        </w:rPr>
        <w:t>)</w:t>
      </w:r>
      <w:r w:rsidRPr="00BC3C05">
        <w:rPr>
          <w:rFonts w:ascii="Times New Roman" w:hAnsi="Times New Roman" w:cs="Times New Roman"/>
          <w:kern w:val="2"/>
          <w:sz w:val="24"/>
          <w:szCs w:val="24"/>
          <w14:ligatures w14:val="standardContextual"/>
        </w:rPr>
        <w:t>, because a systematic relationship between the estimated elasticity and national income is difficult to interpret as preference heterogeneity when national wealth also determines the economic value of the pre-Brexit loan. If poorer and richer countries face systematically different repayment burdens, an income gradient in </w:t>
      </w:r>
      <m:oMath>
        <m:f>
          <m:fPr>
            <m:ctrlPr>
              <w:rPr>
                <w:rFonts w:ascii="Cambria Math" w:hAnsi="Cambria Math" w:cs="Times New Roman"/>
                <w:i/>
                <w:iCs/>
                <w:kern w:val="2"/>
                <w:sz w:val="24"/>
                <w:szCs w:val="24"/>
                <w14:ligatures w14:val="standardContextual"/>
              </w:rPr>
            </m:ctrlPr>
          </m:fPr>
          <m:num>
            <m:acc>
              <m:accPr>
                <m:ctrlPr>
                  <w:rPr>
                    <w:rFonts w:ascii="Cambria Math" w:hAnsi="Cambria Math" w:cs="Times New Roman"/>
                    <w:i/>
                    <w:iCs/>
                    <w:kern w:val="2"/>
                    <w:sz w:val="24"/>
                    <w:szCs w:val="24"/>
                    <w14:ligatures w14:val="standardContextual"/>
                  </w:rPr>
                </m:ctrlPr>
              </m:accPr>
              <m:e>
                <m:sSub>
                  <m:sSubPr>
                    <m:ctrlPr>
                      <w:rPr>
                        <w:rFonts w:ascii="Cambria Math" w:hAnsi="Cambria Math" w:cs="Times New Roman"/>
                        <w:i/>
                        <w:iCs/>
                        <w:kern w:val="2"/>
                        <w:sz w:val="24"/>
                        <w:szCs w:val="24"/>
                        <w14:ligatures w14:val="standardContextual"/>
                      </w:rPr>
                    </m:ctrlPr>
                  </m:sSubPr>
                  <m:e>
                    <m:r>
                      <w:rPr>
                        <w:rFonts w:ascii="Cambria Math" w:hAnsi="Cambria Math" w:cs="Times New Roman"/>
                        <w:kern w:val="2"/>
                        <w:sz w:val="24"/>
                        <w:szCs w:val="24"/>
                        <w14:ligatures w14:val="standardContextual"/>
                      </w:rPr>
                      <m:t>β</m:t>
                    </m:r>
                  </m:e>
                  <m:sub>
                    <m:r>
                      <w:rPr>
                        <w:rFonts w:ascii="Cambria Math" w:hAnsi="Cambria Math" w:cs="Times New Roman"/>
                        <w:kern w:val="2"/>
                        <w:sz w:val="24"/>
                        <w:szCs w:val="24"/>
                        <w14:ligatures w14:val="standardContextual"/>
                      </w:rPr>
                      <m:t>j</m:t>
                    </m:r>
                  </m:sub>
                </m:sSub>
              </m:e>
            </m:acc>
          </m:num>
          <m:den>
            <m:sSub>
              <m:sSubPr>
                <m:ctrlPr>
                  <w:rPr>
                    <w:rFonts w:ascii="Cambria Math" w:hAnsi="Cambria Math" w:cs="Times New Roman"/>
                    <w:i/>
                    <w:iCs/>
                    <w:kern w:val="2"/>
                    <w:sz w:val="24"/>
                    <w:szCs w:val="24"/>
                    <w14:ligatures w14:val="standardContextual"/>
                  </w:rPr>
                </m:ctrlPr>
              </m:sSubPr>
              <m:e>
                <m:r>
                  <w:rPr>
                    <w:rFonts w:ascii="Cambria Math" w:hAnsi="Cambria Math" w:cs="Times New Roman"/>
                    <w:kern w:val="2"/>
                    <w:sz w:val="24"/>
                    <w:szCs w:val="24"/>
                    <w14:ligatures w14:val="standardContextual"/>
                  </w:rPr>
                  <m:t>k</m:t>
                </m:r>
              </m:e>
              <m:sub>
                <m:r>
                  <w:rPr>
                    <w:rFonts w:ascii="Cambria Math" w:hAnsi="Cambria Math" w:cs="Times New Roman"/>
                    <w:kern w:val="2"/>
                    <w:sz w:val="24"/>
                    <w:szCs w:val="24"/>
                    <w14:ligatures w14:val="standardContextual"/>
                  </w:rPr>
                  <m:t>j</m:t>
                </m:r>
              </m:sub>
            </m:sSub>
            <m:r>
              <w:rPr>
                <w:rFonts w:ascii="Cambria Math" w:hAnsi="Cambria Math" w:cs="Times New Roman"/>
                <w:kern w:val="2"/>
                <w:sz w:val="24"/>
                <w:szCs w:val="24"/>
                <w14:ligatures w14:val="standardContextual"/>
              </w:rPr>
              <m:t>(δ)</m:t>
            </m:r>
          </m:den>
        </m:f>
        <m:r>
          <w:rPr>
            <w:rFonts w:ascii="Cambria Math" w:hAnsi="Cambria Math" w:cs="Times New Roman"/>
            <w:kern w:val="2"/>
            <w:sz w:val="24"/>
            <w:szCs w:val="24"/>
            <w14:ligatures w14:val="standardContextual"/>
          </w:rPr>
          <m:t xml:space="preserve"> </m:t>
        </m:r>
      </m:oMath>
      <w:r w:rsidRPr="00BC3C05">
        <w:rPr>
          <w:rFonts w:ascii="Times New Roman" w:hAnsi="Times New Roman" w:cs="Times New Roman"/>
          <w:kern w:val="2"/>
          <w:sz w:val="24"/>
          <w:szCs w:val="24"/>
          <w14:ligatures w14:val="standardContextual"/>
        </w:rPr>
        <w:t>may simply indicate that the denominator has not yet fully captured heterogeneity in the effective treatment. For this purpose, the value of </w:t>
      </w:r>
      <w:r w:rsidRPr="00BC3C05">
        <w:rPr>
          <w:rFonts w:ascii="Times New Roman" w:hAnsi="Times New Roman" w:cs="Times New Roman"/>
          <w:i/>
          <w:iCs/>
          <w:kern w:val="2"/>
          <w:sz w:val="24"/>
          <w:szCs w:val="24"/>
          <w14:ligatures w14:val="standardContextual"/>
        </w:rPr>
        <w:t>δ</w:t>
      </w:r>
      <w:r w:rsidRPr="00BC3C05">
        <w:rPr>
          <w:rFonts w:ascii="Times New Roman" w:hAnsi="Times New Roman" w:cs="Times New Roman"/>
          <w:kern w:val="2"/>
          <w:sz w:val="24"/>
          <w:szCs w:val="24"/>
          <w14:ligatures w14:val="standardContextual"/>
        </w:rPr>
        <w:t> for which </w:t>
      </w: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γ</m:t>
            </m:r>
          </m:e>
          <m:sub>
            <m:r>
              <w:rPr>
                <w:rFonts w:ascii="Cambria Math" w:eastAsia="Times New Roman" w:hAnsi="Cambria Math" w:cs="Times New Roman"/>
                <w:sz w:val="24"/>
                <w:szCs w:val="24"/>
                <w:lang w:eastAsia="en-GB"/>
              </w:rPr>
              <m:t>δ</m:t>
            </m:r>
          </m:sub>
        </m:sSub>
        <m:r>
          <w:rPr>
            <w:rFonts w:ascii="Cambria Math" w:eastAsia="Times New Roman" w:hAnsi="Cambria Math" w:cs="Times New Roman"/>
            <w:sz w:val="24"/>
            <w:szCs w:val="24"/>
            <w:lang w:eastAsia="en-GB"/>
          </w:rPr>
          <m:t>=0</m:t>
        </m:r>
      </m:oMath>
      <w:r w:rsidRPr="00BC3C05">
        <w:rPr>
          <w:rFonts w:ascii="Times New Roman" w:hAnsi="Times New Roman" w:cs="Times New Roman"/>
          <w:kern w:val="2"/>
          <w:sz w:val="24"/>
          <w:szCs w:val="24"/>
          <w14:ligatures w14:val="standardContextual"/>
        </w:rPr>
        <w:t xml:space="preserve"> provides a particularly informative calibration point. At that point, the loan valuation has absorbed the component of the treatment that is systematically associated with national income, so the remaining cross-country variation in elasticity is no longer mechanically organized along the rich-poor gradient. </w:t>
      </w:r>
    </w:p>
    <w:p w14:paraId="7E5484D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0B785D36" w14:textId="77777777" w:rsidR="00BC3C05" w:rsidRPr="00BC3C05" w:rsidRDefault="00BC3C05" w:rsidP="00BC3C05">
      <w:pPr>
        <w:numPr>
          <w:ilvl w:val="0"/>
          <w:numId w:val="6"/>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Results</w:t>
      </w:r>
    </w:p>
    <w:p w14:paraId="239C89E8" w14:textId="77777777" w:rsidR="00BC3C05" w:rsidRPr="00BC3C05" w:rsidRDefault="00BC3C05" w:rsidP="00BC3C05">
      <w:pPr>
        <w:spacing w:after="0" w:line="360" w:lineRule="auto"/>
        <w:ind w:left="240"/>
        <w:rPr>
          <w:rFonts w:ascii="Times New Roman" w:hAnsi="Times New Roman" w:cs="Times New Roman"/>
          <w:kern w:val="2"/>
          <w:sz w:val="24"/>
          <w:szCs w:val="24"/>
          <w14:ligatures w14:val="standardContextual"/>
        </w:rPr>
      </w:pPr>
    </w:p>
    <w:p w14:paraId="47633FF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Estimated baseline elasticities</w:t>
      </w:r>
    </w:p>
    <w:p w14:paraId="459A4A9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Figure 3 reports country-specific elasticities from the difference-in-differences estimates, translating the treatment effects into implied demand responses to the Brexit shock.</w:t>
      </w:r>
    </w:p>
    <w:p w14:paraId="4B2C447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7C4C741B" w14:textId="77777777" w:rsidR="00BC3C05" w:rsidRPr="00BC3C05" w:rsidRDefault="00BC3C05" w:rsidP="00BC3C05">
      <w:pPr>
        <w:keepNext/>
        <w:spacing w:after="0" w:line="36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lastRenderedPageBreak/>
        <w:t>Figure 3.</w:t>
      </w:r>
      <w:r w:rsidRPr="00BC3C05">
        <w:rPr>
          <w:rFonts w:ascii="Times New Roman" w:hAnsi="Times New Roman" w:cs="Times New Roman"/>
          <w:i/>
          <w:iCs/>
          <w:kern w:val="2"/>
          <w14:ligatures w14:val="standardContextual"/>
        </w:rPr>
        <w:t xml:space="preserve"> Decomposition of the post-Brexit demand elasticities by treated country.</w:t>
      </w:r>
    </w:p>
    <w:p w14:paraId="1C0F23F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7C433F76" wp14:editId="3AE683D5">
            <wp:extent cx="5727700" cy="4091214"/>
            <wp:effectExtent l="0" t="0" r="0" b="0"/>
            <wp:docPr id="30" name="Picture" descr="Country-level signed demand elasticities calculated from post-Brexit application effects and the common log price increase." title="Country-level signed demand elasticities calculated from post-Brexit application effects and the common log price increas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p>
    <w:p w14:paraId="0BE2E996" w14:textId="77777777" w:rsidR="00BC3C05" w:rsidRPr="00BC3C05" w:rsidRDefault="00BC3C05" w:rsidP="00BC3C05">
      <w:pPr>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Note</w:t>
      </w:r>
      <w:r w:rsidRPr="00BC3C05">
        <w:rPr>
          <w:rFonts w:ascii="Times New Roman" w:hAnsi="Times New Roman" w:cs="Times New Roman"/>
          <w:i/>
          <w:iCs/>
          <w:kern w:val="2"/>
          <w14:ligatures w14:val="standardContextual"/>
        </w:rPr>
        <w:t>: Signed structural log elasticities divide each country-specific effect βj by the common log price change of 0.8755. Arc elasticities use [exp(βj) − 1]/1.4, while the mechanical percentage-change measure uses the observed change in applications divided by 1.4. R uses natural logarithms. The saturated estimates use Driscoll–Kraay standard errors with one lag. See the online appendix.</w:t>
      </w:r>
    </w:p>
    <w:p w14:paraId="1B27DDD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63761303"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estimates show a large and widespread post-reform contraction. Country-specific effects correspond to applicant reductions ranging from about 30% for Malta to about 89% for Lithuania and 85% for Bulgaria, relative to the control group. The average effect implies a decline of approximately 67%. The implied signed elasticities are negative in every treated country, but their magnitudes vary substantially. Under the common price-shock assumption, lower-income origins such as Bulgaria, Romania, Lithuania, Croatia, and Latvia appear more responsive than Malta, Spain, Luxembourg, the Netherlands, and Austria. The loan adjustment below shows why this ranking should not be interpreted as stable preference heterogeneity.</w:t>
      </w:r>
    </w:p>
    <w:p w14:paraId="2DD34FAC" w14:textId="2DCCC82F" w:rsidR="00BC3C05" w:rsidRDefault="00BC3C05" w:rsidP="00CB3347">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country-specific effects are also positively associated with GDP per capita, meaning wealthier countries experienced smaller declines</w:t>
      </w:r>
      <w:r w:rsidR="00CB3347">
        <w:rPr>
          <w:rFonts w:ascii="Times New Roman" w:hAnsi="Times New Roman" w:cs="Times New Roman"/>
          <w:kern w:val="2"/>
          <w:sz w:val="24"/>
          <w:szCs w:val="24"/>
          <w14:ligatures w14:val="standardContextual"/>
        </w:rPr>
        <w:t xml:space="preserve"> (the correlation is ---- and is statistically significant)</w:t>
      </w:r>
      <w:r w:rsidRPr="00BC3C05">
        <w:rPr>
          <w:rFonts w:ascii="Times New Roman" w:hAnsi="Times New Roman" w:cs="Times New Roman"/>
          <w:kern w:val="2"/>
          <w:sz w:val="24"/>
          <w:szCs w:val="24"/>
          <w14:ligatures w14:val="standardContextual"/>
        </w:rPr>
        <w:t xml:space="preserve">. This gradient is strongest in fixed-effects specifications and remains visible when the saturated model includes the observed macroeconomic controls.  </w:t>
      </w:r>
    </w:p>
    <w:p w14:paraId="5C1229A2" w14:textId="36F1B0C3" w:rsidR="009F7249" w:rsidRPr="00BC3C05" w:rsidRDefault="009F7249" w:rsidP="00CB3347">
      <w:pPr>
        <w:spacing w:after="0" w:line="360" w:lineRule="auto"/>
        <w:ind w:firstLine="720"/>
        <w:rPr>
          <w:rFonts w:ascii="Times New Roman" w:hAnsi="Times New Roman" w:cs="Times New Roman"/>
          <w:kern w:val="2"/>
          <w:sz w:val="24"/>
          <w:szCs w:val="24"/>
          <w14:ligatures w14:val="standardContextual"/>
        </w:rPr>
      </w:pPr>
    </w:p>
    <w:p w14:paraId="1B3F976D" w14:textId="373EF7C8" w:rsidR="009F7249" w:rsidRPr="00BC3C05" w:rsidRDefault="009F7249" w:rsidP="009F7249">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Figure 6 reports country-specific elasticities under homogeneous </w:t>
      </w: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k</m:t>
            </m:r>
          </m:e>
          <m:sub>
            <m:r>
              <w:rPr>
                <w:rFonts w:ascii="Cambria Math" w:hAnsi="Cambria Math" w:cs="Times New Roman"/>
                <w:kern w:val="2"/>
                <w:sz w:val="24"/>
                <w:szCs w:val="24"/>
                <w14:ligatures w14:val="standardContextual"/>
              </w:rPr>
              <m:t>j</m:t>
            </m:r>
          </m:sub>
        </m:sSub>
      </m:oMath>
      <w:r w:rsidRPr="00BC3C05">
        <w:rPr>
          <w:rFonts w:ascii="Times New Roman" w:hAnsi="Times New Roman" w:cs="Times New Roman"/>
          <w:kern w:val="2"/>
          <w:sz w:val="24"/>
          <w:szCs w:val="24"/>
          <w14:ligatures w14:val="standardContextual"/>
        </w:rPr>
        <w:t>, showing no meaningful change in the estimates beyond a slight downward shift in the ATT that does not warrant further investigation.</w:t>
      </w:r>
    </w:p>
    <w:p w14:paraId="71A0ED83" w14:textId="1D68CFFA" w:rsidR="009F7249" w:rsidRPr="00BC3C05" w:rsidRDefault="009F7249" w:rsidP="009F7249">
      <w:pPr>
        <w:spacing w:after="0" w:line="360" w:lineRule="auto"/>
        <w:ind w:firstLine="720"/>
        <w:rPr>
          <w:rFonts w:ascii="Times New Roman" w:hAnsi="Times New Roman" w:cs="Times New Roman"/>
          <w:kern w:val="2"/>
          <w:sz w:val="24"/>
          <w:szCs w:val="24"/>
          <w14:ligatures w14:val="standardContextual"/>
        </w:rPr>
      </w:pPr>
    </w:p>
    <w:p w14:paraId="45C4AE47" w14:textId="5B8F3D2E" w:rsidR="009F7249" w:rsidRPr="00BC3C05" w:rsidRDefault="009F7249" w:rsidP="009F7249">
      <w:pPr>
        <w:keepNext/>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Figure 6.</w:t>
      </w:r>
      <w:r w:rsidRPr="00BC3C05">
        <w:rPr>
          <w:rFonts w:ascii="Times New Roman" w:hAnsi="Times New Roman" w:cs="Times New Roman"/>
          <w:i/>
          <w:iCs/>
          <w:kern w:val="2"/>
          <w14:ligatures w14:val="standardContextual"/>
        </w:rPr>
        <w:t xml:space="preserve"> Saturated </w:t>
      </w:r>
      <w:proofErr w:type="spellStart"/>
      <w:r w:rsidRPr="00BC3C05">
        <w:rPr>
          <w:rFonts w:ascii="Times New Roman" w:hAnsi="Times New Roman" w:cs="Times New Roman"/>
          <w:i/>
          <w:iCs/>
          <w:kern w:val="2"/>
          <w14:ligatures w14:val="standardContextual"/>
        </w:rPr>
        <w:t>DiD</w:t>
      </w:r>
      <w:proofErr w:type="spellEnd"/>
      <w:r w:rsidRPr="00BC3C05">
        <w:rPr>
          <w:rFonts w:ascii="Times New Roman" w:hAnsi="Times New Roman" w:cs="Times New Roman"/>
          <w:i/>
          <w:iCs/>
          <w:kern w:val="2"/>
          <w14:ligatures w14:val="standardContextual"/>
        </w:rPr>
        <w:t xml:space="preserve"> specifications with macroeconomic controls added. Namely GDP per capita (PPP, constant prices), population and the percentage of youth unemployment as separate models.</w:t>
      </w:r>
    </w:p>
    <w:p w14:paraId="255EC504" w14:textId="40BCE3D4" w:rsidR="009F7249" w:rsidRPr="00BC3C05" w:rsidRDefault="009F7249" w:rsidP="009F7249">
      <w:pPr>
        <w:spacing w:after="0" w:line="240" w:lineRule="auto"/>
        <w:rPr>
          <w:rFonts w:ascii="Times New Roman" w:hAnsi="Times New Roman" w:cs="Times New Roman"/>
          <w:i/>
          <w:iCs/>
          <w:kern w:val="2"/>
          <w:sz w:val="24"/>
          <w:szCs w:val="24"/>
          <w14:ligatures w14:val="standardContextual"/>
        </w:rPr>
      </w:pPr>
      <w:r w:rsidRPr="00BC3C05">
        <w:rPr>
          <w:rFonts w:ascii="Times New Roman" w:hAnsi="Times New Roman" w:cs="Times New Roman"/>
          <w:b/>
          <w:bCs/>
          <w:i/>
          <w:iCs/>
          <w:kern w:val="2"/>
          <w:sz w:val="24"/>
          <w:szCs w:val="24"/>
          <w14:ligatures w14:val="standardContextual"/>
        </w:rPr>
        <w:t>Note:</w:t>
      </w:r>
      <w:r w:rsidRPr="00BC3C05">
        <w:rPr>
          <w:rFonts w:ascii="Times New Roman" w:hAnsi="Times New Roman" w:cs="Times New Roman"/>
          <w:i/>
          <w:iCs/>
          <w:kern w:val="2"/>
          <w:sz w:val="24"/>
          <w:szCs w:val="24"/>
          <w14:ligatures w14:val="standardContextual"/>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14:paraId="0D78EE54" w14:textId="16E380EF" w:rsidR="009F7249" w:rsidRDefault="009F7249" w:rsidP="00737A6C">
      <w:pPr>
        <w:spacing w:after="0" w:line="360" w:lineRule="auto"/>
        <w:rPr>
          <w:rFonts w:ascii="Times New Roman" w:hAnsi="Times New Roman"/>
          <w:b/>
          <w:bCs/>
          <w:i/>
          <w:kern w:val="2"/>
          <w:sz w:val="24"/>
          <w:szCs w:val="24"/>
          <w14:ligatures w14:val="standardContextual"/>
        </w:rPr>
      </w:pPr>
    </w:p>
    <w:p w14:paraId="793CB3EC" w14:textId="0B86F918" w:rsidR="009F7249" w:rsidRDefault="009F7249" w:rsidP="00737A6C">
      <w:pPr>
        <w:spacing w:after="0" w:line="360" w:lineRule="auto"/>
        <w:rPr>
          <w:rFonts w:ascii="Times New Roman" w:hAnsi="Times New Roman"/>
          <w:b/>
          <w:bCs/>
          <w:i/>
          <w:kern w:val="2"/>
          <w:sz w:val="24"/>
          <w:szCs w:val="24"/>
          <w14:ligatures w14:val="standardContextual"/>
        </w:rPr>
      </w:pPr>
    </w:p>
    <w:p w14:paraId="34AE3BF9" w14:textId="7EFD701E" w:rsidR="009F7249" w:rsidRDefault="009F7249" w:rsidP="00737A6C">
      <w:pPr>
        <w:spacing w:after="0" w:line="360" w:lineRule="auto"/>
        <w:rPr>
          <w:rFonts w:ascii="Times New Roman" w:hAnsi="Times New Roman"/>
          <w:b/>
          <w:bCs/>
          <w:i/>
          <w:kern w:val="2"/>
          <w:sz w:val="24"/>
          <w:szCs w:val="24"/>
          <w14:ligatures w14:val="standardContextual"/>
        </w:rPr>
      </w:pPr>
    </w:p>
    <w:p w14:paraId="3C093961" w14:textId="26F8EDEA" w:rsidR="00737A6C" w:rsidRPr="00BC3C05" w:rsidRDefault="00737A6C" w:rsidP="00737A6C">
      <w:pPr>
        <w:spacing w:after="0" w:line="360" w:lineRule="auto"/>
        <w:rPr>
          <w:rFonts w:ascii="Times New Roman" w:hAnsi="Times New Roman" w:cs="Times New Roman"/>
          <w:b/>
          <w:bCs/>
          <w:kern w:val="2"/>
          <w:sz w:val="24"/>
          <w:szCs w:val="24"/>
          <w14:ligatures w14:val="standardContextual"/>
        </w:rPr>
      </w:pPr>
      <w:r>
        <w:rPr>
          <w:rFonts w:ascii="Times New Roman" w:hAnsi="Times New Roman"/>
          <w:b/>
          <w:bCs/>
          <w:i/>
          <w:kern w:val="2"/>
          <w:sz w:val="24"/>
          <w:szCs w:val="24"/>
          <w14:ligatures w14:val="standardContextual"/>
        </w:rPr>
        <w:t>Loan corrected elasticities and income neutrality</w:t>
      </w:r>
    </w:p>
    <w:p w14:paraId="1EA44A09" w14:textId="14A5718B" w:rsidR="00BC3C05" w:rsidRDefault="009F7249" w:rsidP="00BC3C05">
      <w:pPr>
        <w:spacing w:after="0" w:line="360" w:lineRule="auto"/>
        <w:rPr>
          <w:rFonts w:ascii="Times New Roman" w:eastAsiaTheme="minorEastAsia" w:hAnsi="Times New Roman" w:cs="Times New Roman"/>
          <w:kern w:val="2"/>
          <w:sz w:val="24"/>
          <w:szCs w:val="24"/>
          <w14:ligatures w14:val="standardContextual"/>
        </w:rPr>
      </w:pPr>
      <w:r>
        <w:rPr>
          <w:rFonts w:ascii="Times New Roman" w:hAnsi="Times New Roman" w:cs="Times New Roman"/>
          <w:noProof/>
          <w:kern w:val="2"/>
          <w:sz w:val="24"/>
          <w:szCs w:val="24"/>
        </w:rPr>
        <w:drawing>
          <wp:anchor distT="0" distB="0" distL="114300" distR="114300" simplePos="0" relativeHeight="251665408" behindDoc="0" locked="0" layoutInCell="1" allowOverlap="1" wp14:anchorId="70FF1BCC" wp14:editId="003FC905">
            <wp:simplePos x="0" y="0"/>
            <wp:positionH relativeFrom="column">
              <wp:posOffset>-65987</wp:posOffset>
            </wp:positionH>
            <wp:positionV relativeFrom="paragraph">
              <wp:posOffset>600</wp:posOffset>
            </wp:positionV>
            <wp:extent cx="5731510" cy="2869565"/>
            <wp:effectExtent l="0" t="0" r="0" b="635"/>
            <wp:wrapTopAndBottom/>
            <wp:docPr id="652139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39653" name="Picture 652139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69565"/>
                    </a:xfrm>
                    <a:prstGeom prst="rect">
                      <a:avLst/>
                    </a:prstGeom>
                  </pic:spPr>
                </pic:pic>
              </a:graphicData>
            </a:graphic>
          </wp:anchor>
        </w:drawing>
      </w:r>
      <w:r>
        <w:rPr>
          <w:rFonts w:ascii="Times New Roman" w:hAnsi="Times New Roman" w:cs="Times New Roman"/>
          <w:noProof/>
          <w:kern w:val="2"/>
          <w:sz w:val="24"/>
          <w:szCs w:val="24"/>
        </w:rPr>
        <w:drawing>
          <wp:anchor distT="0" distB="0" distL="114300" distR="114300" simplePos="0" relativeHeight="251663360" behindDoc="0" locked="0" layoutInCell="1" allowOverlap="1" wp14:anchorId="0CF32C56" wp14:editId="1D0FBFDA">
            <wp:simplePos x="0" y="0"/>
            <wp:positionH relativeFrom="column">
              <wp:posOffset>255524</wp:posOffset>
            </wp:positionH>
            <wp:positionV relativeFrom="paragraph">
              <wp:posOffset>669290</wp:posOffset>
            </wp:positionV>
            <wp:extent cx="5164455" cy="3215005"/>
            <wp:effectExtent l="0" t="0" r="4445" b="0"/>
            <wp:wrapTopAndBottom/>
            <wp:docPr id="149718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8714" name="Picture 14971887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4455" cy="3215005"/>
                    </a:xfrm>
                    <a:prstGeom prst="rect">
                      <a:avLst/>
                    </a:prstGeom>
                  </pic:spPr>
                </pic:pic>
              </a:graphicData>
            </a:graphic>
            <wp14:sizeRelH relativeFrom="margin">
              <wp14:pctWidth>0</wp14:pctWidth>
            </wp14:sizeRelH>
            <wp14:sizeRelV relativeFrom="margin">
              <wp14:pctHeight>0</wp14:pctHeight>
            </wp14:sizeRelV>
          </wp:anchor>
        </w:drawing>
      </w:r>
      <w:r w:rsidR="00737A6C">
        <w:rPr>
          <w:rFonts w:ascii="Times New Roman" w:hAnsi="Times New Roman" w:cs="Times New Roman"/>
          <w:kern w:val="2"/>
          <w:sz w:val="24"/>
          <w:szCs w:val="24"/>
          <w14:ligatures w14:val="standardContextual"/>
        </w:rPr>
        <w:tab/>
        <w:t xml:space="preserve">In this section we extend the results from the previous section and apply the present calculation to compute the heterogeneous </w:t>
      </w:r>
      <m:oMath>
        <m:sSub>
          <m:sSubPr>
            <m:ctrlPr>
              <w:rPr>
                <w:rFonts w:ascii="Cambria Math" w:hAnsi="Cambria Math" w:cs="Times New Roman"/>
                <w:i/>
                <w:kern w:val="2"/>
                <w:sz w:val="24"/>
                <w:szCs w:val="24"/>
                <w14:ligatures w14:val="standardContextual"/>
              </w:rPr>
            </m:ctrlPr>
          </m:sSubPr>
          <m:e>
            <m:r>
              <w:rPr>
                <w:rFonts w:ascii="Cambria Math" w:hAnsi="Cambria Math" w:cs="Times New Roman"/>
                <w:kern w:val="2"/>
                <w:sz w:val="24"/>
                <w:szCs w:val="24"/>
                <w14:ligatures w14:val="standardContextual"/>
              </w:rPr>
              <m:t>k</m:t>
            </m:r>
          </m:e>
          <m:sub>
            <m:r>
              <w:rPr>
                <w:rFonts w:ascii="Cambria Math" w:hAnsi="Cambria Math" w:cs="Times New Roman"/>
                <w:kern w:val="2"/>
                <w:sz w:val="24"/>
                <w:szCs w:val="24"/>
                <w14:ligatures w14:val="standardContextual"/>
              </w:rPr>
              <m:t>j</m:t>
            </m:r>
          </m:sub>
        </m:sSub>
        <m:d>
          <m:dPr>
            <m:ctrlPr>
              <w:rPr>
                <w:rFonts w:ascii="Cambria Math" w:hAnsi="Cambria Math" w:cs="Times New Roman"/>
                <w:i/>
                <w:kern w:val="2"/>
                <w:sz w:val="24"/>
                <w:szCs w:val="24"/>
                <w14:ligatures w14:val="standardContextual"/>
              </w:rPr>
            </m:ctrlPr>
          </m:dPr>
          <m:e>
            <m:r>
              <w:rPr>
                <w:rFonts w:ascii="Cambria Math" w:hAnsi="Cambria Math" w:cs="Times New Roman"/>
                <w:kern w:val="2"/>
                <w:sz w:val="24"/>
                <w:szCs w:val="24"/>
                <w14:ligatures w14:val="standardContextual"/>
              </w:rPr>
              <m:t>δ</m:t>
            </m:r>
          </m:e>
        </m:d>
      </m:oMath>
      <w:r w:rsidR="00737A6C">
        <w:rPr>
          <w:rFonts w:ascii="Times New Roman" w:eastAsiaTheme="minorEastAsia" w:hAnsi="Times New Roman" w:cs="Times New Roman"/>
          <w:kern w:val="2"/>
          <w:sz w:val="24"/>
          <w:szCs w:val="24"/>
          <w14:ligatures w14:val="standardContextual"/>
        </w:rPr>
        <w:t xml:space="preserve">. </w:t>
      </w:r>
    </w:p>
    <w:p w14:paraId="3F20C738" w14:textId="466CCB34" w:rsidR="00737A6C" w:rsidRDefault="00737A6C" w:rsidP="00BC3C05">
      <w:pPr>
        <w:spacing w:after="0" w:line="360" w:lineRule="auto"/>
        <w:rPr>
          <w:rFonts w:ascii="Times New Roman" w:eastAsiaTheme="minorEastAsia" w:hAnsi="Times New Roman" w:cs="Times New Roman"/>
          <w:kern w:val="2"/>
          <w:sz w:val="24"/>
          <w:szCs w:val="24"/>
          <w14:ligatures w14:val="standardContextual"/>
        </w:rPr>
      </w:pPr>
    </w:p>
    <w:p w14:paraId="57E587E1" w14:textId="2A01AB27" w:rsidR="00737A6C" w:rsidRPr="00BC3C05" w:rsidRDefault="009F7249"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i/>
          <w:iCs/>
          <w:noProof/>
          <w:kern w:val="2"/>
          <w14:ligatures w14:val="standardContextual"/>
        </w:rPr>
        <w:lastRenderedPageBreak/>
        <w:drawing>
          <wp:anchor distT="0" distB="0" distL="114300" distR="114300" simplePos="0" relativeHeight="251667456" behindDoc="0" locked="0" layoutInCell="1" allowOverlap="1" wp14:anchorId="3FB90185" wp14:editId="7CBD50BD">
            <wp:simplePos x="0" y="0"/>
            <wp:positionH relativeFrom="column">
              <wp:posOffset>253093</wp:posOffset>
            </wp:positionH>
            <wp:positionV relativeFrom="paragraph">
              <wp:posOffset>188958</wp:posOffset>
            </wp:positionV>
            <wp:extent cx="5560060" cy="3971290"/>
            <wp:effectExtent l="0" t="0" r="2540" b="3810"/>
            <wp:wrapTopAndBottom/>
            <wp:docPr id="368650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0299" name="Picture 368650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0060" cy="3971290"/>
                    </a:xfrm>
                    <a:prstGeom prst="rect">
                      <a:avLst/>
                    </a:prstGeom>
                  </pic:spPr>
                </pic:pic>
              </a:graphicData>
            </a:graphic>
            <wp14:sizeRelH relativeFrom="margin">
              <wp14:pctWidth>0</wp14:pctWidth>
            </wp14:sizeRelH>
            <wp14:sizeRelV relativeFrom="margin">
              <wp14:pctHeight>0</wp14:pctHeight>
            </wp14:sizeRelV>
          </wp:anchor>
        </w:drawing>
      </w:r>
    </w:p>
    <w:p w14:paraId="1FB8F8DD" w14:textId="78FD39E7" w:rsidR="00BC3C05" w:rsidRDefault="00BC3C05" w:rsidP="00BC3C05">
      <w:pPr>
        <w:spacing w:after="0" w:line="360" w:lineRule="auto"/>
        <w:rPr>
          <w:rFonts w:ascii="Times New Roman" w:hAnsi="Times New Roman" w:cs="Times New Roman"/>
          <w:kern w:val="2"/>
          <w:sz w:val="24"/>
          <w:szCs w:val="24"/>
          <w14:ligatures w14:val="standardContextual"/>
        </w:rPr>
      </w:pPr>
    </w:p>
    <w:p w14:paraId="3A7A0D60" w14:textId="19896056" w:rsidR="00B60B7C" w:rsidRDefault="00B60B7C" w:rsidP="00BC3C05">
      <w:pPr>
        <w:spacing w:after="0" w:line="360" w:lineRule="auto"/>
        <w:rPr>
          <w:rFonts w:ascii="Times New Roman" w:hAnsi="Times New Roman" w:cs="Times New Roman"/>
          <w:kern w:val="2"/>
          <w:sz w:val="24"/>
          <w:szCs w:val="24"/>
          <w14:ligatures w14:val="standardContextual"/>
        </w:rPr>
      </w:pPr>
    </w:p>
    <w:p w14:paraId="338E0B41" w14:textId="5283C421" w:rsidR="00B60B7C" w:rsidRDefault="00B60B7C" w:rsidP="00BC3C05">
      <w:pPr>
        <w:spacing w:after="0" w:line="360" w:lineRule="auto"/>
        <w:rPr>
          <w:rFonts w:ascii="Times New Roman" w:hAnsi="Times New Roman" w:cs="Times New Roman"/>
          <w:kern w:val="2"/>
          <w:sz w:val="24"/>
          <w:szCs w:val="24"/>
          <w14:ligatures w14:val="standardContextual"/>
        </w:rPr>
      </w:pPr>
    </w:p>
    <w:p w14:paraId="58350AE7" w14:textId="62F8A7D7" w:rsidR="00B60B7C" w:rsidRDefault="00B60B7C" w:rsidP="00BC3C05">
      <w:pPr>
        <w:spacing w:after="0" w:line="360" w:lineRule="auto"/>
        <w:rPr>
          <w:rFonts w:ascii="Times New Roman" w:hAnsi="Times New Roman" w:cs="Times New Roman"/>
          <w:kern w:val="2"/>
          <w:sz w:val="24"/>
          <w:szCs w:val="24"/>
          <w14:ligatures w14:val="standardContextual"/>
        </w:rPr>
      </w:pPr>
    </w:p>
    <w:p w14:paraId="661C0487" w14:textId="2BC60FDC" w:rsidR="00B60B7C" w:rsidRDefault="00B60B7C" w:rsidP="00BC3C05">
      <w:pPr>
        <w:spacing w:after="0" w:line="360" w:lineRule="auto"/>
        <w:rPr>
          <w:rFonts w:ascii="Times New Roman" w:hAnsi="Times New Roman" w:cs="Times New Roman"/>
          <w:kern w:val="2"/>
          <w:sz w:val="24"/>
          <w:szCs w:val="24"/>
          <w14:ligatures w14:val="standardContextual"/>
        </w:rPr>
      </w:pPr>
    </w:p>
    <w:p w14:paraId="38A7BA8C" w14:textId="07051C83" w:rsidR="00B60B7C" w:rsidRDefault="00B60B7C" w:rsidP="00BC3C05">
      <w:pPr>
        <w:spacing w:after="0" w:line="360" w:lineRule="auto"/>
        <w:rPr>
          <w:rFonts w:ascii="Times New Roman" w:hAnsi="Times New Roman" w:cs="Times New Roman"/>
          <w:kern w:val="2"/>
          <w:sz w:val="24"/>
          <w:szCs w:val="24"/>
          <w14:ligatures w14:val="standardContextual"/>
        </w:rPr>
      </w:pPr>
    </w:p>
    <w:p w14:paraId="104345D8" w14:textId="3EA50F2E" w:rsidR="00B60B7C" w:rsidRDefault="00B60B7C" w:rsidP="00BC3C05">
      <w:pPr>
        <w:spacing w:after="0" w:line="360" w:lineRule="auto"/>
        <w:rPr>
          <w:rFonts w:ascii="Times New Roman" w:hAnsi="Times New Roman" w:cs="Times New Roman"/>
          <w:kern w:val="2"/>
          <w:sz w:val="24"/>
          <w:szCs w:val="24"/>
          <w14:ligatures w14:val="standardContextual"/>
        </w:rPr>
      </w:pPr>
    </w:p>
    <w:p w14:paraId="1431B717" w14:textId="6FA19AF3" w:rsidR="00B60B7C" w:rsidRDefault="00B60B7C" w:rsidP="00BC3C05">
      <w:pPr>
        <w:spacing w:after="0" w:line="360" w:lineRule="auto"/>
        <w:rPr>
          <w:rFonts w:ascii="Times New Roman" w:hAnsi="Times New Roman" w:cs="Times New Roman"/>
          <w:kern w:val="2"/>
          <w:sz w:val="24"/>
          <w:szCs w:val="24"/>
          <w14:ligatures w14:val="standardContextual"/>
        </w:rPr>
      </w:pPr>
    </w:p>
    <w:p w14:paraId="6EEDCE90" w14:textId="77777777" w:rsidR="00B60B7C" w:rsidRDefault="00B60B7C" w:rsidP="00BC3C05">
      <w:pPr>
        <w:spacing w:after="0" w:line="360" w:lineRule="auto"/>
        <w:rPr>
          <w:rFonts w:ascii="Times New Roman" w:hAnsi="Times New Roman" w:cs="Times New Roman"/>
          <w:kern w:val="2"/>
          <w:sz w:val="24"/>
          <w:szCs w:val="24"/>
          <w14:ligatures w14:val="standardContextual"/>
        </w:rPr>
      </w:pPr>
    </w:p>
    <w:p w14:paraId="7435DE8B" w14:textId="4AC0BA8A" w:rsidR="00B60B7C" w:rsidRDefault="00B60B7C" w:rsidP="00BC3C05">
      <w:pPr>
        <w:spacing w:after="0" w:line="360" w:lineRule="auto"/>
        <w:rPr>
          <w:rFonts w:ascii="Times New Roman" w:hAnsi="Times New Roman" w:cs="Times New Roman"/>
          <w:kern w:val="2"/>
          <w:sz w:val="24"/>
          <w:szCs w:val="24"/>
          <w14:ligatures w14:val="standardContextual"/>
        </w:rPr>
      </w:pPr>
    </w:p>
    <w:p w14:paraId="1E6BF59C" w14:textId="7A2AE4B9" w:rsidR="00B60B7C" w:rsidRDefault="00B60B7C" w:rsidP="00BC3C05">
      <w:pPr>
        <w:spacing w:after="0" w:line="360" w:lineRule="auto"/>
        <w:rPr>
          <w:rFonts w:ascii="Times New Roman" w:hAnsi="Times New Roman" w:cs="Times New Roman"/>
          <w:kern w:val="2"/>
          <w:sz w:val="24"/>
          <w:szCs w:val="24"/>
          <w14:ligatures w14:val="standardContextual"/>
        </w:rPr>
      </w:pPr>
    </w:p>
    <w:p w14:paraId="379898A3" w14:textId="6EC7B812" w:rsidR="00B60B7C" w:rsidRDefault="00B60B7C" w:rsidP="00BC3C05">
      <w:pPr>
        <w:spacing w:after="0" w:line="360" w:lineRule="auto"/>
        <w:rPr>
          <w:rFonts w:ascii="Times New Roman" w:hAnsi="Times New Roman" w:cs="Times New Roman"/>
          <w:kern w:val="2"/>
          <w:sz w:val="24"/>
          <w:szCs w:val="24"/>
          <w14:ligatures w14:val="standardContextual"/>
        </w:rPr>
      </w:pPr>
    </w:p>
    <w:p w14:paraId="34B58A15" w14:textId="4E596C93" w:rsidR="00B60B7C" w:rsidRDefault="009F7249" w:rsidP="00BC3C05">
      <w:pPr>
        <w:spacing w:after="0" w:line="360" w:lineRule="auto"/>
        <w:rPr>
          <w:rFonts w:ascii="Times New Roman" w:hAnsi="Times New Roman" w:cs="Times New Roman"/>
          <w:kern w:val="2"/>
          <w:sz w:val="24"/>
          <w:szCs w:val="24"/>
          <w14:ligatures w14:val="standardContextual"/>
        </w:rPr>
      </w:pPr>
      <w:r>
        <w:rPr>
          <w:rFonts w:ascii="Times New Roman" w:hAnsi="Times New Roman" w:cs="Times New Roman"/>
          <w:noProof/>
          <w:kern w:val="2"/>
          <w:sz w:val="24"/>
          <w:szCs w:val="24"/>
        </w:rPr>
        <w:lastRenderedPageBreak/>
        <w:drawing>
          <wp:anchor distT="0" distB="0" distL="114300" distR="114300" simplePos="0" relativeHeight="251664384" behindDoc="0" locked="0" layoutInCell="1" allowOverlap="1" wp14:anchorId="663E23EA" wp14:editId="77EFCC99">
            <wp:simplePos x="0" y="0"/>
            <wp:positionH relativeFrom="column">
              <wp:posOffset>520700</wp:posOffset>
            </wp:positionH>
            <wp:positionV relativeFrom="paragraph">
              <wp:posOffset>176439</wp:posOffset>
            </wp:positionV>
            <wp:extent cx="5038090" cy="5001260"/>
            <wp:effectExtent l="0" t="0" r="3810" b="2540"/>
            <wp:wrapTopAndBottom/>
            <wp:docPr id="777178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78157" name="Picture 777178157"/>
                    <pic:cNvPicPr/>
                  </pic:nvPicPr>
                  <pic:blipFill rotWithShape="1">
                    <a:blip r:embed="rId15" cstate="print">
                      <a:extLst>
                        <a:ext uri="{28A0092B-C50C-407E-A947-70E740481C1C}">
                          <a14:useLocalDpi xmlns:a14="http://schemas.microsoft.com/office/drawing/2010/main" val="0"/>
                        </a:ext>
                      </a:extLst>
                    </a:blip>
                    <a:srcRect l="2347" t="1617" r="3028" b="8145"/>
                    <a:stretch>
                      <a:fillRect/>
                    </a:stretch>
                  </pic:blipFill>
                  <pic:spPr bwMode="auto">
                    <a:xfrm>
                      <a:off x="0" y="0"/>
                      <a:ext cx="5038090" cy="500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6AEA57" w14:textId="77777777" w:rsidR="00B60B7C" w:rsidRDefault="00B60B7C" w:rsidP="00BC3C05">
      <w:pPr>
        <w:spacing w:after="0" w:line="360" w:lineRule="auto"/>
        <w:rPr>
          <w:rFonts w:ascii="Times New Roman" w:hAnsi="Times New Roman" w:cs="Times New Roman"/>
          <w:kern w:val="2"/>
          <w:sz w:val="24"/>
          <w:szCs w:val="24"/>
          <w14:ligatures w14:val="standardContextual"/>
        </w:rPr>
      </w:pPr>
    </w:p>
    <w:p w14:paraId="1BACDE02" w14:textId="77777777" w:rsidR="00B60B7C" w:rsidRDefault="00B60B7C" w:rsidP="00BC3C05">
      <w:pPr>
        <w:spacing w:after="0" w:line="360" w:lineRule="auto"/>
        <w:rPr>
          <w:rFonts w:ascii="Times New Roman" w:hAnsi="Times New Roman" w:cs="Times New Roman"/>
          <w:kern w:val="2"/>
          <w:sz w:val="24"/>
          <w:szCs w:val="24"/>
          <w14:ligatures w14:val="standardContextual"/>
        </w:rPr>
      </w:pPr>
    </w:p>
    <w:p w14:paraId="40EC21F8" w14:textId="77777777" w:rsidR="00B60B7C" w:rsidRDefault="00B60B7C" w:rsidP="00737A6C">
      <w:pPr>
        <w:spacing w:after="0" w:line="360" w:lineRule="auto"/>
        <w:rPr>
          <w:rFonts w:ascii="Times New Roman" w:hAnsi="Times New Roman" w:cs="Times New Roman"/>
          <w:kern w:val="2"/>
          <w:sz w:val="24"/>
          <w:szCs w:val="24"/>
          <w14:ligatures w14:val="standardContextual"/>
        </w:rPr>
      </w:pPr>
    </w:p>
    <w:p w14:paraId="48EDDB14" w14:textId="5FD31C28" w:rsidR="00BC3C05" w:rsidRPr="00737A6C" w:rsidRDefault="00BC3C05" w:rsidP="00737A6C">
      <w:pPr>
        <w:spacing w:after="0" w:line="360" w:lineRule="auto"/>
        <w:rPr>
          <w:rFonts w:ascii="Times New Roman" w:hAnsi="Times New Roman" w:cs="Times New Roman"/>
          <w:b/>
          <w:bCs/>
          <w:kern w:val="2"/>
          <w:sz w:val="24"/>
          <w:szCs w:val="24"/>
          <w14:ligatures w14:val="standardContextual"/>
        </w:rPr>
      </w:pPr>
      <w:r w:rsidRPr="00BC3C05">
        <w:rPr>
          <w:rFonts w:ascii="Times New Roman" w:hAnsi="Times New Roman"/>
          <w:b/>
          <w:bCs/>
          <w:i/>
          <w:kern w:val="2"/>
          <w:sz w:val="24"/>
          <w:szCs w:val="24"/>
          <w14:ligatures w14:val="standardContextual"/>
        </w:rPr>
        <w:t>Descriptive initial and later post-reform effects</w:t>
      </w:r>
    </w:p>
    <w:p w14:paraId="67FA68B4" w14:textId="77777777" w:rsidR="00BC3C05" w:rsidRPr="006660FA" w:rsidRDefault="00BC3C05" w:rsidP="00BC3C05">
      <w:pPr>
        <w:spacing w:after="0" w:line="360" w:lineRule="auto"/>
        <w:rPr>
          <w:rFonts w:ascii="Times New Roman" w:hAnsi="Times New Roman" w:cs="Times New Roman"/>
          <w:kern w:val="2"/>
          <w:sz w:val="24"/>
          <w:szCs w:val="24"/>
          <w14:ligatures w14:val="standardContextual"/>
        </w:rPr>
      </w:pPr>
      <w:r w:rsidRPr="006660FA">
        <w:rPr>
          <w:rFonts w:ascii="Times New Roman" w:hAnsi="Times New Roman" w:cs="Times New Roman"/>
          <w:kern w:val="2"/>
          <w:sz w:val="24"/>
          <w:szCs w:val="24"/>
          <w14:ligatures w14:val="standardContextual"/>
        </w:rPr>
        <w:t>Figure 5</w:t>
      </w:r>
      <w:r w:rsidRPr="006660FA">
        <w:rPr>
          <w:rFonts w:ascii="Times New Roman" w:hAnsi="Times New Roman"/>
          <w:kern w:val="2"/>
          <w:sz w:val="24"/>
          <w:szCs w:val="24"/>
          <w14:ligatures w14:val="standardContextual"/>
        </w:rPr>
        <w:t xml:space="preserve"> compares </w:t>
      </w:r>
      <w:r w:rsidRPr="006660FA">
        <w:rPr>
          <w:rFonts w:ascii="Times New Roman" w:hAnsi="Times New Roman" w:cs="Times New Roman"/>
          <w:kern w:val="2"/>
          <w:sz w:val="24"/>
          <w:szCs w:val="24"/>
          <w14:ligatures w14:val="standardContextual"/>
        </w:rPr>
        <w:t xml:space="preserve">country-specific log effects in the initial 2021–2023 window </w:t>
      </w:r>
      <w:r w:rsidRPr="006660FA">
        <w:rPr>
          <w:rFonts w:ascii="Times New Roman" w:hAnsi="Times New Roman"/>
          <w:kern w:val="2"/>
          <w:sz w:val="24"/>
          <w:szCs w:val="24"/>
          <w14:ligatures w14:val="standardContextual"/>
        </w:rPr>
        <w:t xml:space="preserve">with </w:t>
      </w:r>
      <w:r w:rsidRPr="006660FA">
        <w:rPr>
          <w:rFonts w:ascii="Times New Roman" w:hAnsi="Times New Roman" w:cs="Times New Roman"/>
          <w:kern w:val="2"/>
          <w:sz w:val="24"/>
          <w:szCs w:val="24"/>
          <w14:ligatures w14:val="standardContextual"/>
        </w:rPr>
        <w:t>those in 2024–2025.</w:t>
      </w:r>
      <w:r w:rsidRPr="006660FA">
        <w:rPr>
          <w:rFonts w:ascii="Times New Roman" w:hAnsi="Times New Roman"/>
          <w:kern w:val="2"/>
          <w:sz w:val="24"/>
          <w:szCs w:val="24"/>
          <w14:ligatures w14:val="standardContextual"/>
        </w:rPr>
        <w:t xml:space="preserve"> The </w:t>
      </w:r>
      <w:r w:rsidRPr="006660FA">
        <w:rPr>
          <w:rFonts w:ascii="Times New Roman" w:hAnsi="Times New Roman" w:cs="Times New Roman"/>
          <w:kern w:val="2"/>
          <w:sz w:val="24"/>
          <w:szCs w:val="24"/>
          <w14:ligatures w14:val="standardContextual"/>
        </w:rPr>
        <w:t>differences</w:t>
      </w:r>
      <w:r w:rsidRPr="006660FA">
        <w:rPr>
          <w:rFonts w:ascii="Times New Roman" w:hAnsi="Times New Roman"/>
          <w:kern w:val="2"/>
          <w:sz w:val="24"/>
          <w:szCs w:val="24"/>
          <w14:ligatures w14:val="standardContextual"/>
        </w:rPr>
        <w:t xml:space="preserve"> between the dots </w:t>
      </w:r>
      <w:r w:rsidRPr="006660FA">
        <w:rPr>
          <w:rFonts w:ascii="Times New Roman" w:hAnsi="Times New Roman" w:cs="Times New Roman"/>
          <w:kern w:val="2"/>
          <w:sz w:val="24"/>
          <w:szCs w:val="24"/>
          <w14:ligatures w14:val="standardContextual"/>
        </w:rPr>
        <w:t xml:space="preserve">describe how the estimated post-reform association changed across </w:t>
      </w:r>
      <w:r w:rsidRPr="006660FA">
        <w:rPr>
          <w:rFonts w:ascii="Times New Roman" w:hAnsi="Times New Roman"/>
          <w:kern w:val="2"/>
          <w:sz w:val="24"/>
          <w:szCs w:val="24"/>
          <w14:ligatures w14:val="standardContextual"/>
        </w:rPr>
        <w:t xml:space="preserve">the </w:t>
      </w:r>
      <w:r w:rsidRPr="006660FA">
        <w:rPr>
          <w:rFonts w:ascii="Times New Roman" w:hAnsi="Times New Roman" w:cs="Times New Roman"/>
          <w:kern w:val="2"/>
          <w:sz w:val="24"/>
          <w:szCs w:val="24"/>
          <w14:ligatures w14:val="standardContextual"/>
        </w:rPr>
        <w:t>two periods</w:t>
      </w:r>
      <w:r w:rsidRPr="006660FA">
        <w:rPr>
          <w:rFonts w:ascii="Times New Roman" w:hAnsi="Times New Roman"/>
          <w:kern w:val="2"/>
          <w:sz w:val="24"/>
          <w:szCs w:val="24"/>
          <w14:ligatures w14:val="standardContextual"/>
        </w:rPr>
        <w:t>.</w:t>
      </w:r>
    </w:p>
    <w:p w14:paraId="0C8FA473" w14:textId="77777777" w:rsidR="00BC3C05" w:rsidRPr="00BC3C05" w:rsidRDefault="00BC3C05" w:rsidP="00BC3C05">
      <w:pPr>
        <w:keepNext/>
        <w:spacing w:after="0" w:line="240" w:lineRule="auto"/>
        <w:rPr>
          <w:rFonts w:ascii="Times New Roman" w:hAnsi="Times New Roman" w:cs="Times New Roman"/>
          <w:i/>
          <w:iCs/>
          <w:kern w:val="2"/>
          <w14:ligatures w14:val="standardContextual"/>
        </w:rPr>
      </w:pPr>
      <w:r w:rsidRPr="00BC3C05">
        <w:rPr>
          <w:rFonts w:ascii="Times New Roman" w:hAnsi="Times New Roman"/>
          <w:b/>
          <w:i/>
          <w:iCs/>
          <w:kern w:val="2"/>
          <w14:ligatures w14:val="standardContextual"/>
        </w:rPr>
        <w:lastRenderedPageBreak/>
        <w:t>Figure 5.</w:t>
      </w:r>
      <w:r w:rsidRPr="00BC3C05">
        <w:rPr>
          <w:rFonts w:ascii="Times New Roman" w:hAnsi="Times New Roman"/>
          <w:i/>
          <w:iCs/>
          <w:kern w:val="2"/>
          <w14:ligatures w14:val="standardContextual"/>
        </w:rPr>
        <w:t xml:space="preserve"> Initial and later post-reform log effects on the same measurement axis.</w:t>
      </w:r>
    </w:p>
    <w:p w14:paraId="7DA4883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06601FA7" wp14:editId="30AAF128">
            <wp:extent cx="5727700" cy="4091214"/>
            <wp:effectExtent l="0" t="0" r="0" b="0"/>
            <wp:docPr id="36" name="Picture" descr="Country-level initial 2021 to 2023 and later 2024 to 2025 post-reform log effects shown on the same scale." title="Country-level initial 2021 to 2023 and later 2024 to 2025 post-reform log effects shown on the same scal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2C09DDC0" w14:textId="77777777" w:rsidR="00BC3C05" w:rsidRPr="00BC3C05" w:rsidRDefault="00BC3C05" w:rsidP="00BC3C05">
      <w:pPr>
        <w:spacing w:after="0" w:line="36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Note</w:t>
      </w:r>
      <w:r w:rsidRPr="00BC3C05">
        <w:rPr>
          <w:rFonts w:ascii="Times New Roman" w:hAnsi="Times New Roman" w:cs="Times New Roman"/>
          <w:i/>
          <w:iCs/>
          <w:kern w:val="2"/>
          <w14:ligatures w14:val="standardContextual"/>
        </w:rPr>
        <w:t>: The figure reports country-specific log effects, not elasticities. The initial period is 2021–2023 and the later period is 2024–2025. Both sets of estimates use Driscoll–Kraay standard errors with one lag. The period split is descriptive and does not separately identify a COVID effect.</w:t>
      </w:r>
    </w:p>
    <w:p w14:paraId="118CE4B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652E414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For nearly all EU-origin countries, the 2024–2025 estimates remain strongly negative and are often more negative than the 2021–2023 estimates, with </w:t>
      </w:r>
      <m:oMath>
        <m:sSub>
          <m:sSubPr>
            <m:ctrlPr>
              <w:rPr>
                <w:rFonts w:ascii="Cambria Math" w:hAnsi="Cambria Math" w:cs="Times New Roman"/>
                <w:i/>
                <w:kern w:val="2"/>
                <w:sz w:val="24"/>
                <w:szCs w:val="24"/>
                <w14:ligatures w14:val="standardContextual"/>
              </w:rPr>
            </m:ctrlPr>
          </m:sSubPr>
          <m:e>
            <m:r>
              <m:rPr>
                <m:sty m:val="p"/>
              </m:rPr>
              <w:rPr>
                <w:rFonts w:ascii="Cambria Math" w:eastAsiaTheme="minorEastAsia" w:hAnsi="Cambria Math" w:cs="Times New Roman"/>
                <w:kern w:val="2"/>
                <w:sz w:val="24"/>
                <w:szCs w:val="24"/>
                <w14:ligatures w14:val="standardContextual"/>
              </w:rPr>
              <m:t>Δ</m:t>
            </m:r>
            <m:ctrlPr>
              <w:rPr>
                <w:rFonts w:ascii="Cambria Math" w:eastAsiaTheme="minorEastAsia" w:hAnsi="Cambria Math" w:cs="Times New Roman"/>
                <w:kern w:val="2"/>
                <w:sz w:val="24"/>
                <w:szCs w:val="24"/>
                <w14:ligatures w14:val="standardContextual"/>
              </w:rPr>
            </m:ctrlPr>
          </m:e>
          <m:sub>
            <m:r>
              <w:rPr>
                <w:rFonts w:ascii="Cambria Math" w:hAnsi="Cambria Math" w:cs="Times New Roman"/>
                <w:kern w:val="2"/>
                <w:sz w:val="24"/>
                <w:szCs w:val="24"/>
                <w14:ligatures w14:val="standardContextual"/>
              </w:rPr>
              <m:t>j</m:t>
            </m:r>
          </m:sub>
        </m:sSub>
        <m:r>
          <w:rPr>
            <w:rFonts w:ascii="Cambria Math" w:hAnsi="Cambria Math" w:cs="Times New Roman"/>
            <w:kern w:val="2"/>
            <w:sz w:val="24"/>
            <w:szCs w:val="24"/>
            <w14:ligatures w14:val="standardContextual"/>
          </w:rPr>
          <m:t>&lt;0</m:t>
        </m:r>
      </m:oMath>
      <w:r w:rsidRPr="00BC3C05">
        <w:rPr>
          <w:rFonts w:ascii="Times New Roman" w:hAnsi="Times New Roman" w:cs="Times New Roman"/>
          <w:kern w:val="2"/>
          <w:sz w:val="24"/>
          <w:szCs w:val="24"/>
          <w14:ligatures w14:val="standardContextual"/>
        </w:rPr>
        <w:t xml:space="preserve">. Such a pattern suggests that the initial reduction was sustained or deepened as successive applicant cohorts adjusted to the higher price, updated their expectations about studying in the United Kingdom, and redirected applications toward alternative destinations. This persistence is inconsistent with a fully transitory disruption such as COVID or other contemporaneous changes that occurred immediately after the pandemic's onset in 2020. In fact, if temporarily restricted mobility was the driving reason behind the collapse, then the 2024- 2025 coefficients should’ve been closer to zero than the initial estimates and </w:t>
      </w:r>
      <m:oMath>
        <m:sSub>
          <m:sSubPr>
            <m:ctrlPr>
              <w:rPr>
                <w:rFonts w:ascii="Cambria Math" w:hAnsi="Cambria Math" w:cs="Times New Roman"/>
                <w:i/>
                <w:kern w:val="2"/>
                <w:sz w:val="24"/>
                <w:szCs w:val="24"/>
                <w14:ligatures w14:val="standardContextual"/>
              </w:rPr>
            </m:ctrlPr>
          </m:sSubPr>
          <m:e>
            <m:r>
              <m:rPr>
                <m:sty m:val="p"/>
              </m:rPr>
              <w:rPr>
                <w:rFonts w:ascii="Cambria Math" w:eastAsiaTheme="minorEastAsia" w:hAnsi="Cambria Math" w:cs="Times New Roman"/>
                <w:kern w:val="2"/>
                <w:sz w:val="24"/>
                <w:szCs w:val="24"/>
                <w14:ligatures w14:val="standardContextual"/>
              </w:rPr>
              <m:t>Δ</m:t>
            </m:r>
            <m:ctrlPr>
              <w:rPr>
                <w:rFonts w:ascii="Cambria Math" w:eastAsiaTheme="minorEastAsia" w:hAnsi="Cambria Math" w:cs="Times New Roman"/>
                <w:kern w:val="2"/>
                <w:sz w:val="24"/>
                <w:szCs w:val="24"/>
                <w14:ligatures w14:val="standardContextual"/>
              </w:rPr>
            </m:ctrlPr>
          </m:e>
          <m:sub>
            <m:r>
              <w:rPr>
                <w:rFonts w:ascii="Cambria Math" w:hAnsi="Cambria Math" w:cs="Times New Roman"/>
                <w:kern w:val="2"/>
                <w:sz w:val="24"/>
                <w:szCs w:val="24"/>
                <w14:ligatures w14:val="standardContextual"/>
              </w:rPr>
              <m:t>j</m:t>
            </m:r>
          </m:sub>
        </m:sSub>
      </m:oMath>
      <w:r w:rsidRPr="00BC3C05">
        <w:rPr>
          <w:rFonts w:ascii="Times New Roman" w:hAnsi="Times New Roman" w:cs="Times New Roman"/>
          <w:kern w:val="2"/>
          <w:sz w:val="24"/>
          <w:szCs w:val="24"/>
          <w14:ligatures w14:val="standardContextual"/>
        </w:rPr>
        <w:t xml:space="preserve"> positive.</w:t>
      </w:r>
    </w:p>
    <w:p w14:paraId="3A8A241E" w14:textId="77777777" w:rsidR="00BC3C05" w:rsidRPr="00BC3C05" w:rsidRDefault="00BC3C05" w:rsidP="00BC3C05">
      <w:pPr>
        <w:spacing w:after="0" w:line="360" w:lineRule="auto"/>
        <w:ind w:firstLine="720"/>
        <w:rPr>
          <w:rFonts w:ascii="Times New Roman" w:eastAsia="Times New Roman" w:hAnsi="Times New Roman" w:cs="Times New Roman"/>
          <w:sz w:val="24"/>
          <w:szCs w:val="24"/>
          <w:lang w:eastAsia="en-GB"/>
        </w:rPr>
      </w:pPr>
      <w:r w:rsidRPr="00BC3C05">
        <w:rPr>
          <w:rFonts w:ascii="Times New Roman" w:hAnsi="Times New Roman" w:cs="Times New Roman"/>
          <w:kern w:val="2"/>
          <w:sz w:val="24"/>
          <w:szCs w:val="24"/>
          <w14:ligatures w14:val="standardContextual"/>
        </w:rPr>
        <w:t>The initial estimates range from −0.321 for Malta to −2.026 for Lithuania; the corresponding 2024–2025 estimates are −0.423 and −2.394. Excluding Portugal, whose 2021 count has a documented reporting issue, the later coefficients are generally larger in absolute value. These patterns support persistence at the country level, again contradicting a COVID-</w:t>
      </w:r>
      <w:r w:rsidRPr="00BC3C05">
        <w:rPr>
          <w:rFonts w:ascii="Times New Roman" w:hAnsi="Times New Roman" w:cs="Times New Roman"/>
          <w:kern w:val="2"/>
          <w:sz w:val="24"/>
          <w:szCs w:val="24"/>
          <w14:ligatures w14:val="standardContextual"/>
        </w:rPr>
        <w:lastRenderedPageBreak/>
        <w:t>driven or mobility-attraction story, implying that UK higher education grew steadily less popular among EU students until the system reached a stable equilibrium.</w:t>
      </w:r>
    </w:p>
    <w:p w14:paraId="6098740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507A95A9" w14:textId="60901108"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ATT wealth heterogeneity</w:t>
      </w:r>
    </w:p>
    <w:p w14:paraId="09CC66F7" w14:textId="77777777" w:rsidR="00BC3C05" w:rsidRPr="00BC3C05" w:rsidRDefault="00BC3C05" w:rsidP="00BC3C05">
      <w:pPr>
        <w:spacing w:after="0" w:line="240" w:lineRule="auto"/>
        <w:rPr>
          <w:rFonts w:ascii="Times New Roman" w:hAnsi="Times New Roman" w:cs="Times New Roman"/>
          <w:i/>
          <w:iCs/>
          <w:kern w:val="2"/>
          <w:sz w:val="24"/>
          <w:szCs w:val="24"/>
          <w14:ligatures w14:val="standardContextual"/>
        </w:rPr>
      </w:pPr>
      <w:r w:rsidRPr="00BC3C05">
        <w:rPr>
          <w:rFonts w:ascii="Times New Roman" w:hAnsi="Times New Roman" w:cs="Times New Roman"/>
          <w:b/>
          <w:bCs/>
          <w:i/>
          <w:iCs/>
          <w:kern w:val="2"/>
          <w:sz w:val="24"/>
          <w:szCs w:val="24"/>
          <w14:ligatures w14:val="standardContextual"/>
        </w:rPr>
        <w:t>Table 3</w:t>
      </w:r>
      <w:r w:rsidRPr="00BC3C05">
        <w:rPr>
          <w:rFonts w:ascii="Times New Roman" w:hAnsi="Times New Roman" w:cs="Times New Roman"/>
          <w:i/>
          <w:iCs/>
          <w:kern w:val="2"/>
          <w:sz w:val="24"/>
          <w:szCs w:val="24"/>
          <w14:ligatures w14:val="standardContextual"/>
        </w:rPr>
        <w:t>.</w:t>
      </w:r>
      <w:r w:rsidRPr="00BC3C05">
        <w:rPr>
          <w:rFonts w:ascii="Times New Roman" w:hAnsi="Times New Roman"/>
          <w:i/>
          <w:iCs/>
          <w:kern w:val="2"/>
          <w:sz w:val="24"/>
          <w:szCs w:val="24"/>
          <w14:ligatures w14:val="standardContextual"/>
        </w:rPr>
        <w:t xml:space="preserve"> </w:t>
      </w:r>
      <w:r w:rsidRPr="00BC3C05">
        <w:rPr>
          <w:rFonts w:ascii="Times New Roman" w:hAnsi="Times New Roman" w:cs="Times New Roman"/>
          <w:i/>
          <w:iCs/>
          <w:kern w:val="2"/>
          <w:sz w:val="24"/>
          <w:szCs w:val="24"/>
          <w14:ligatures w14:val="standardContextual"/>
        </w:rPr>
        <w:t>Average treatment effect</w:t>
      </w:r>
      <w:r w:rsidRPr="00BC3C05">
        <w:rPr>
          <w:rFonts w:ascii="Times New Roman" w:hAnsi="Times New Roman"/>
          <w:i/>
          <w:iCs/>
          <w:kern w:val="2"/>
          <w:sz w:val="24"/>
          <w:szCs w:val="24"/>
          <w14:ligatures w14:val="standardContextual"/>
        </w:rPr>
        <w:t xml:space="preserve"> and </w:t>
      </w:r>
      <w:r w:rsidRPr="00BC3C05">
        <w:rPr>
          <w:rFonts w:ascii="Times New Roman" w:hAnsi="Times New Roman" w:cs="Times New Roman"/>
          <w:i/>
          <w:iCs/>
          <w:kern w:val="2"/>
          <w:sz w:val="24"/>
          <w:szCs w:val="24"/>
          <w14:ligatures w14:val="standardContextual"/>
        </w:rPr>
        <w:t xml:space="preserve">macroeconomic </w:t>
      </w:r>
      <w:r w:rsidRPr="00BC3C05">
        <w:rPr>
          <w:rFonts w:ascii="Times New Roman" w:hAnsi="Times New Roman"/>
          <w:i/>
          <w:iCs/>
          <w:kern w:val="2"/>
          <w:sz w:val="24"/>
          <w:szCs w:val="24"/>
          <w14:ligatures w14:val="standardContextual"/>
        </w:rPr>
        <w:t>interactions</w:t>
      </w:r>
      <w:r w:rsidRPr="00BC3C05">
        <w:rPr>
          <w:rFonts w:ascii="Times New Roman" w:hAnsi="Times New Roman" w:cs="Times New Roman"/>
          <w:i/>
          <w:iCs/>
          <w:kern w:val="2"/>
          <w:sz w:val="24"/>
          <w:szCs w:val="24"/>
          <w14:ligatures w14:val="standardContextual"/>
        </w:rPr>
        <w:t xml:space="preserve"> with country</w:t>
      </w:r>
      <w:r w:rsidRPr="00BC3C05">
        <w:rPr>
          <w:rFonts w:ascii="Times New Roman" w:hAnsi="Times New Roman"/>
          <w:i/>
          <w:iCs/>
          <w:kern w:val="2"/>
          <w:sz w:val="24"/>
          <w:szCs w:val="24"/>
          <w14:ligatures w14:val="standardContextual"/>
        </w:rPr>
        <w:t xml:space="preserve"> and </w:t>
      </w:r>
      <w:r w:rsidRPr="00BC3C05">
        <w:rPr>
          <w:rFonts w:ascii="Times New Roman" w:hAnsi="Times New Roman" w:cs="Times New Roman"/>
          <w:i/>
          <w:iCs/>
          <w:kern w:val="2"/>
          <w:sz w:val="24"/>
          <w:szCs w:val="24"/>
          <w14:ligatures w14:val="standardContextual"/>
        </w:rPr>
        <w:t>year fixed effects and</w:t>
      </w:r>
      <w:r w:rsidRPr="00BC3C05">
        <w:rPr>
          <w:rFonts w:ascii="Times New Roman" w:hAnsi="Times New Roman"/>
          <w:i/>
          <w:iCs/>
          <w:kern w:val="2"/>
          <w:sz w:val="24"/>
          <w:szCs w:val="24"/>
          <w14:ligatures w14:val="standardContextual"/>
        </w:rPr>
        <w:t xml:space="preserve"> Driscoll</w:t>
      </w:r>
      <w:r w:rsidRPr="00BC3C05">
        <w:rPr>
          <w:rFonts w:ascii="Times New Roman" w:hAnsi="Times New Roman" w:cs="Times New Roman"/>
          <w:i/>
          <w:iCs/>
          <w:kern w:val="2"/>
          <w:sz w:val="24"/>
          <w:szCs w:val="24"/>
          <w14:ligatures w14:val="standardContextual"/>
        </w:rPr>
        <w:t>–</w:t>
      </w:r>
      <w:r w:rsidRPr="00BC3C05">
        <w:rPr>
          <w:rFonts w:ascii="Times New Roman" w:hAnsi="Times New Roman"/>
          <w:i/>
          <w:iCs/>
          <w:kern w:val="2"/>
          <w:sz w:val="24"/>
          <w:szCs w:val="24"/>
          <w14:ligatures w14:val="standardContextual"/>
        </w:rPr>
        <w:t xml:space="preserve">Kraay </w:t>
      </w:r>
      <w:r w:rsidRPr="00BC3C05">
        <w:rPr>
          <w:rFonts w:ascii="Times New Roman" w:hAnsi="Times New Roman" w:cs="Times New Roman"/>
          <w:i/>
          <w:iCs/>
          <w:kern w:val="2"/>
          <w:sz w:val="24"/>
          <w:szCs w:val="24"/>
          <w14:ligatures w14:val="standardContextual"/>
        </w:rPr>
        <w:t xml:space="preserve">standard errors </w:t>
      </w:r>
      <w:r w:rsidRPr="00BC3C05">
        <w:rPr>
          <w:rFonts w:ascii="Times New Roman" w:hAnsi="Times New Roman"/>
          <w:i/>
          <w:iCs/>
          <w:kern w:val="2"/>
          <w:sz w:val="24"/>
          <w:szCs w:val="24"/>
          <w14:ligatures w14:val="standardContextual"/>
        </w:rPr>
        <w:t>(L</w:t>
      </w:r>
      <w:r w:rsidRPr="00BC3C05">
        <w:rPr>
          <w:rFonts w:ascii="Times New Roman" w:hAnsi="Times New Roman" w:cs="Times New Roman"/>
          <w:i/>
          <w:iCs/>
          <w:kern w:val="2"/>
          <w:sz w:val="24"/>
          <w:szCs w:val="24"/>
          <w14:ligatures w14:val="standardContextual"/>
        </w:rPr>
        <w:t xml:space="preserve"> = </w:t>
      </w:r>
      <w:r w:rsidRPr="00BC3C05">
        <w:rPr>
          <w:rFonts w:ascii="Times New Roman" w:hAnsi="Times New Roman"/>
          <w:i/>
          <w:iCs/>
          <w:kern w:val="2"/>
          <w:sz w:val="24"/>
          <w:szCs w:val="24"/>
          <w14:ligatures w14:val="standardContextual"/>
        </w:rPr>
        <w:t>1)</w:t>
      </w:r>
    </w:p>
    <w:tbl>
      <w:tblPr>
        <w:tblW w:w="4920" w:type="pct"/>
        <w:tblLook w:val="0020" w:firstRow="1" w:lastRow="0" w:firstColumn="0" w:lastColumn="0" w:noHBand="0" w:noVBand="0"/>
      </w:tblPr>
      <w:tblGrid>
        <w:gridCol w:w="636"/>
        <w:gridCol w:w="1345"/>
        <w:gridCol w:w="1610"/>
        <w:gridCol w:w="1879"/>
        <w:gridCol w:w="1839"/>
        <w:gridCol w:w="1573"/>
      </w:tblGrid>
      <w:tr w:rsidR="00BC3C05" w:rsidRPr="00BC3C05" w14:paraId="6A4F8C02" w14:textId="77777777" w:rsidTr="004A46E4">
        <w:trPr>
          <w:tblHeader/>
        </w:trPr>
        <w:tc>
          <w:tcPr>
            <w:tcW w:w="0" w:type="auto"/>
          </w:tcPr>
          <w:p w14:paraId="0196BAC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0" w:type="auto"/>
            <w:vAlign w:val="center"/>
          </w:tcPr>
          <w:p w14:paraId="0E88C5E8"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(I)</w:t>
            </w:r>
          </w:p>
        </w:tc>
        <w:tc>
          <w:tcPr>
            <w:tcW w:w="0" w:type="auto"/>
            <w:vAlign w:val="center"/>
          </w:tcPr>
          <w:p w14:paraId="301D05B0"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(II)</w:t>
            </w:r>
          </w:p>
        </w:tc>
        <w:tc>
          <w:tcPr>
            <w:tcW w:w="0" w:type="auto"/>
            <w:vAlign w:val="center"/>
          </w:tcPr>
          <w:p w14:paraId="646FFCF3"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(III)</w:t>
            </w:r>
          </w:p>
        </w:tc>
        <w:tc>
          <w:tcPr>
            <w:tcW w:w="0" w:type="auto"/>
            <w:vAlign w:val="center"/>
          </w:tcPr>
          <w:p w14:paraId="3747EDD4"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(IV)</w:t>
            </w:r>
          </w:p>
        </w:tc>
        <w:tc>
          <w:tcPr>
            <w:tcW w:w="0" w:type="auto"/>
            <w:vAlign w:val="center"/>
          </w:tcPr>
          <w:p w14:paraId="5D7B9D54"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(V)</w:t>
            </w:r>
          </w:p>
        </w:tc>
      </w:tr>
    </w:tbl>
    <w:tbl>
      <w:tblPr>
        <w:tblStyle w:val="Style1"/>
        <w:tblW w:w="4920" w:type="pct"/>
        <w:tblLook w:val="0020" w:firstRow="1" w:lastRow="0" w:firstColumn="0" w:lastColumn="0" w:noHBand="0" w:noVBand="0"/>
      </w:tblPr>
      <w:tblGrid>
        <w:gridCol w:w="2971"/>
        <w:gridCol w:w="1193"/>
        <w:gridCol w:w="1065"/>
        <w:gridCol w:w="1193"/>
        <w:gridCol w:w="1193"/>
        <w:gridCol w:w="1237"/>
      </w:tblGrid>
      <w:tr w:rsidR="00BC3C05" w:rsidRPr="00BC3C05" w14:paraId="5BA768B9" w14:textId="77777777" w:rsidTr="004A46E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08BB2988"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ATT</m:t>
              </m:r>
            </m:oMath>
            <w:r w:rsidRPr="00BC3C05">
              <w:rPr>
                <w:rFonts w:ascii="Times New Roman" w:eastAsiaTheme="minorEastAsia" w:hAnsi="Times New Roman" w:cs="Times New Roman"/>
              </w:rPr>
              <w:t xml:space="preserve"> </w:t>
            </w:r>
          </w:p>
        </w:tc>
        <w:tc>
          <w:tcPr>
            <w:tcW w:w="0" w:type="auto"/>
          </w:tcPr>
          <w:p w14:paraId="0F35031A"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-1.109</w:t>
            </w:r>
            <w:r w:rsidRPr="00BC3C05">
              <w:rPr>
                <w:rFonts w:ascii="Times New Roman" w:hAnsi="Times New Roman" w:cs="Times New Roman"/>
                <w:highlight w:val="yellow"/>
                <w:vertAlign w:val="superscript"/>
              </w:rPr>
              <w:t>***</w:t>
            </w:r>
          </w:p>
        </w:tc>
        <w:tc>
          <w:tcPr>
            <w:tcW w:w="0" w:type="auto"/>
          </w:tcPr>
          <w:p w14:paraId="7FC4B4DD"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-1.05</w:t>
            </w:r>
            <w:r w:rsidRPr="00BC3C05">
              <w:rPr>
                <w:rFonts w:ascii="Times New Roman" w:hAnsi="Times New Roman" w:cs="Times New Roman"/>
                <w:highlight w:val="yellow"/>
                <w:vertAlign w:val="superscript"/>
              </w:rPr>
              <w:t>***</w:t>
            </w:r>
          </w:p>
        </w:tc>
        <w:tc>
          <w:tcPr>
            <w:tcW w:w="0" w:type="auto"/>
          </w:tcPr>
          <w:p w14:paraId="385B79DF"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-0.981</w:t>
            </w:r>
            <w:r w:rsidRPr="00BC3C05">
              <w:rPr>
                <w:rFonts w:ascii="Times New Roman" w:hAnsi="Times New Roman" w:cs="Times New Roman"/>
                <w:highlight w:val="yellow"/>
                <w:vertAlign w:val="superscript"/>
              </w:rPr>
              <w:t>***</w:t>
            </w:r>
          </w:p>
        </w:tc>
        <w:tc>
          <w:tcPr>
            <w:tcW w:w="0" w:type="auto"/>
          </w:tcPr>
          <w:p w14:paraId="285F35F5"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-0.961</w:t>
            </w:r>
            <w:r w:rsidRPr="00BC3C05">
              <w:rPr>
                <w:rFonts w:ascii="Times New Roman" w:hAnsi="Times New Roman" w:cs="Times New Roman"/>
                <w:highlight w:val="yellow"/>
                <w:vertAlign w:val="superscript"/>
              </w:rPr>
              <w:t>***</w:t>
            </w:r>
          </w:p>
        </w:tc>
        <w:tc>
          <w:tcPr>
            <w:tcW w:w="0" w:type="auto"/>
          </w:tcPr>
          <w:p w14:paraId="67A5B897"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-1.211</w:t>
            </w:r>
            <w:r w:rsidRPr="00BC3C05">
              <w:rPr>
                <w:rFonts w:ascii="Times New Roman" w:hAnsi="Times New Roman" w:cs="Times New Roman"/>
                <w:highlight w:val="yellow"/>
                <w:vertAlign w:val="superscript"/>
              </w:rPr>
              <w:t>***</w:t>
            </w:r>
          </w:p>
        </w:tc>
      </w:tr>
      <w:tr w:rsidR="00BC3C05" w:rsidRPr="00BC3C05" w14:paraId="102F7B67" w14:textId="77777777" w:rsidTr="004A46E4">
        <w:tc>
          <w:tcPr>
            <w:tcW w:w="0" w:type="auto"/>
            <w:vAlign w:val="center"/>
          </w:tcPr>
          <w:p w14:paraId="40696250" w14:textId="77777777" w:rsidR="00BC3C05" w:rsidRPr="00BC3C05" w:rsidRDefault="00BC3C05" w:rsidP="00BC3C05">
            <w:pPr>
              <w:spacing w:line="360" w:lineRule="auto"/>
              <w:rPr>
                <w:rFonts w:ascii="Times New Roman" w:hAnsi="Times New Roman" w:cs="Times New Roman"/>
              </w:rPr>
            </w:pPr>
          </w:p>
        </w:tc>
        <w:tc>
          <w:tcPr>
            <w:tcW w:w="0" w:type="auto"/>
          </w:tcPr>
          <w:p w14:paraId="25ED807D"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(0.098)</w:t>
            </w:r>
          </w:p>
        </w:tc>
        <w:tc>
          <w:tcPr>
            <w:tcW w:w="0" w:type="auto"/>
          </w:tcPr>
          <w:p w14:paraId="236704B1"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(0.110)</w:t>
            </w:r>
          </w:p>
        </w:tc>
        <w:tc>
          <w:tcPr>
            <w:tcW w:w="0" w:type="auto"/>
          </w:tcPr>
          <w:p w14:paraId="422BC681"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(0.101)</w:t>
            </w:r>
          </w:p>
        </w:tc>
        <w:tc>
          <w:tcPr>
            <w:tcW w:w="0" w:type="auto"/>
          </w:tcPr>
          <w:p w14:paraId="246B124A"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(0.092)</w:t>
            </w:r>
          </w:p>
        </w:tc>
        <w:tc>
          <w:tcPr>
            <w:tcW w:w="0" w:type="auto"/>
          </w:tcPr>
          <w:p w14:paraId="3AA9690A"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(0.120)</w:t>
            </w:r>
          </w:p>
        </w:tc>
      </w:tr>
      <w:tr w:rsidR="00BC3C05" w:rsidRPr="00BC3C05" w14:paraId="6DDA327B" w14:textId="77777777" w:rsidTr="004A46E4">
        <w:tc>
          <w:tcPr>
            <w:tcW w:w="0" w:type="auto"/>
            <w:vAlign w:val="center"/>
          </w:tcPr>
          <w:p w14:paraId="089DDEEF"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log</m:t>
              </m:r>
              <m:d>
                <m:dPr>
                  <m:ctrlPr>
                    <w:rPr>
                      <w:rFonts w:ascii="Cambria Math" w:hAnsi="Cambria Math" w:cs="Times New Roman"/>
                    </w:rPr>
                  </m:ctrlPr>
                </m:dPr>
                <m:e>
                  <m:r>
                    <w:rPr>
                      <w:rFonts w:ascii="Cambria Math" w:hAnsi="Cambria Math" w:cs="Times New Roman"/>
                    </w:rPr>
                    <m:t>GDPpc</m:t>
                  </m:r>
                </m:e>
              </m:d>
            </m:oMath>
            <w:r w:rsidRPr="00BC3C05">
              <w:rPr>
                <w:rFonts w:ascii="Times New Roman" w:eastAsiaTheme="minorEastAsia" w:hAnsi="Times New Roman" w:cs="Times New Roman"/>
              </w:rPr>
              <w:t xml:space="preserve"> </w:t>
            </w:r>
          </w:p>
        </w:tc>
        <w:tc>
          <w:tcPr>
            <w:tcW w:w="0" w:type="auto"/>
          </w:tcPr>
          <w:p w14:paraId="2B7E395D"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246B63A7"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-0.720</w:t>
            </w:r>
            <w:r w:rsidRPr="00BC3C05">
              <w:rPr>
                <w:rFonts w:ascii="Times New Roman" w:hAnsi="Times New Roman" w:cs="Times New Roman"/>
                <w:highlight w:val="yellow"/>
                <w:vertAlign w:val="superscript"/>
              </w:rPr>
              <w:t>*</w:t>
            </w:r>
          </w:p>
        </w:tc>
        <w:tc>
          <w:tcPr>
            <w:tcW w:w="0" w:type="auto"/>
          </w:tcPr>
          <w:p w14:paraId="46DAC05B"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-0.447</w:t>
            </w:r>
          </w:p>
        </w:tc>
        <w:tc>
          <w:tcPr>
            <w:tcW w:w="0" w:type="auto"/>
          </w:tcPr>
          <w:p w14:paraId="51122FDC"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-0.687</w:t>
            </w:r>
            <w:r w:rsidRPr="00BC3C05">
              <w:rPr>
                <w:rFonts w:ascii="Times New Roman" w:hAnsi="Times New Roman" w:cs="Times New Roman"/>
                <w:highlight w:val="yellow"/>
                <w:vertAlign w:val="superscript"/>
              </w:rPr>
              <w:t>*</w:t>
            </w:r>
          </w:p>
        </w:tc>
        <w:tc>
          <w:tcPr>
            <w:tcW w:w="0" w:type="auto"/>
          </w:tcPr>
          <w:p w14:paraId="41C2EBBB"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0.018</w:t>
            </w:r>
          </w:p>
        </w:tc>
      </w:tr>
      <w:tr w:rsidR="00BC3C05" w:rsidRPr="00BC3C05" w14:paraId="392BA643" w14:textId="77777777" w:rsidTr="004A46E4">
        <w:tc>
          <w:tcPr>
            <w:tcW w:w="0" w:type="auto"/>
            <w:vAlign w:val="center"/>
          </w:tcPr>
          <w:p w14:paraId="66CF98CF" w14:textId="77777777" w:rsidR="00BC3C05" w:rsidRPr="00BC3C05" w:rsidRDefault="00BC3C05" w:rsidP="00BC3C05">
            <w:pPr>
              <w:spacing w:line="360" w:lineRule="auto"/>
              <w:rPr>
                <w:rFonts w:ascii="Times New Roman" w:hAnsi="Times New Roman" w:cs="Times New Roman"/>
              </w:rPr>
            </w:pPr>
          </w:p>
        </w:tc>
        <w:tc>
          <w:tcPr>
            <w:tcW w:w="0" w:type="auto"/>
          </w:tcPr>
          <w:p w14:paraId="45262E44"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64C9C436"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(0.265)</w:t>
            </w:r>
          </w:p>
        </w:tc>
        <w:tc>
          <w:tcPr>
            <w:tcW w:w="0" w:type="auto"/>
          </w:tcPr>
          <w:p w14:paraId="2B793FD5"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(0.266)</w:t>
            </w:r>
          </w:p>
        </w:tc>
        <w:tc>
          <w:tcPr>
            <w:tcW w:w="0" w:type="auto"/>
          </w:tcPr>
          <w:p w14:paraId="65929DA7"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(0.290)</w:t>
            </w:r>
          </w:p>
        </w:tc>
        <w:tc>
          <w:tcPr>
            <w:tcW w:w="0" w:type="auto"/>
          </w:tcPr>
          <w:p w14:paraId="44B6F040"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(0.300)</w:t>
            </w:r>
          </w:p>
        </w:tc>
      </w:tr>
      <w:tr w:rsidR="00BC3C05" w:rsidRPr="00BC3C05" w14:paraId="76F6F8DB" w14:textId="77777777" w:rsidTr="004A46E4">
        <w:tc>
          <w:tcPr>
            <w:tcW w:w="0" w:type="auto"/>
            <w:vAlign w:val="center"/>
          </w:tcPr>
          <w:p w14:paraId="5A96181A"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64</m:t>
                  </m:r>
                </m:e>
              </m:d>
            </m:oMath>
            <w:r w:rsidRPr="00BC3C05">
              <w:rPr>
                <w:rFonts w:ascii="Times New Roman" w:eastAsiaTheme="minorEastAsia" w:hAnsi="Times New Roman" w:cs="Times New Roman"/>
              </w:rPr>
              <w:t xml:space="preserve"> </w:t>
            </w:r>
          </w:p>
        </w:tc>
        <w:tc>
          <w:tcPr>
            <w:tcW w:w="0" w:type="auto"/>
          </w:tcPr>
          <w:p w14:paraId="4B278D63"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4767F70A"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7A7D1FEF"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3.077</w:t>
            </w:r>
            <w:r w:rsidRPr="00BC3C05">
              <w:rPr>
                <w:rFonts w:ascii="Times New Roman" w:hAnsi="Times New Roman" w:cs="Times New Roman"/>
                <w:highlight w:val="yellow"/>
                <w:vertAlign w:val="superscript"/>
              </w:rPr>
              <w:t>***</w:t>
            </w:r>
          </w:p>
        </w:tc>
        <w:tc>
          <w:tcPr>
            <w:tcW w:w="0" w:type="auto"/>
          </w:tcPr>
          <w:p w14:paraId="2D3F03D8"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3.213</w:t>
            </w:r>
            <w:r w:rsidRPr="00BC3C05">
              <w:rPr>
                <w:rFonts w:ascii="Times New Roman" w:hAnsi="Times New Roman" w:cs="Times New Roman"/>
                <w:highlight w:val="yellow"/>
                <w:vertAlign w:val="superscript"/>
              </w:rPr>
              <w:t>***</w:t>
            </w:r>
          </w:p>
        </w:tc>
        <w:tc>
          <w:tcPr>
            <w:tcW w:w="0" w:type="auto"/>
          </w:tcPr>
          <w:p w14:paraId="65833E39"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2.631</w:t>
            </w:r>
            <w:r w:rsidRPr="00BC3C05">
              <w:rPr>
                <w:rFonts w:ascii="Times New Roman" w:hAnsi="Times New Roman" w:cs="Times New Roman"/>
                <w:highlight w:val="yellow"/>
                <w:vertAlign w:val="superscript"/>
              </w:rPr>
              <w:t>***</w:t>
            </w:r>
          </w:p>
        </w:tc>
      </w:tr>
      <w:tr w:rsidR="00BC3C05" w:rsidRPr="00BC3C05" w14:paraId="504BBD7A" w14:textId="77777777" w:rsidTr="004A46E4">
        <w:tc>
          <w:tcPr>
            <w:tcW w:w="0" w:type="auto"/>
            <w:vAlign w:val="center"/>
          </w:tcPr>
          <w:p w14:paraId="7BB5D5D4" w14:textId="77777777" w:rsidR="00BC3C05" w:rsidRPr="00BC3C05" w:rsidRDefault="00BC3C05" w:rsidP="00BC3C05">
            <w:pPr>
              <w:spacing w:line="360" w:lineRule="auto"/>
              <w:rPr>
                <w:rFonts w:ascii="Times New Roman" w:hAnsi="Times New Roman" w:cs="Times New Roman"/>
              </w:rPr>
            </w:pPr>
          </w:p>
        </w:tc>
        <w:tc>
          <w:tcPr>
            <w:tcW w:w="0" w:type="auto"/>
          </w:tcPr>
          <w:p w14:paraId="09D911FE"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6793E702"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3012183C"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(0.460)</w:t>
            </w:r>
          </w:p>
        </w:tc>
        <w:tc>
          <w:tcPr>
            <w:tcW w:w="0" w:type="auto"/>
          </w:tcPr>
          <w:p w14:paraId="41388DD6"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(0.519)</w:t>
            </w:r>
          </w:p>
        </w:tc>
        <w:tc>
          <w:tcPr>
            <w:tcW w:w="0" w:type="auto"/>
          </w:tcPr>
          <w:p w14:paraId="31A634FE"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(0.462)</w:t>
            </w:r>
          </w:p>
        </w:tc>
      </w:tr>
      <w:tr w:rsidR="00BC3C05" w:rsidRPr="00BC3C05" w14:paraId="741AAC47" w14:textId="77777777" w:rsidTr="004A46E4">
        <w:tc>
          <w:tcPr>
            <w:tcW w:w="0" w:type="auto"/>
            <w:vAlign w:val="center"/>
          </w:tcPr>
          <w:p w14:paraId="04B0DCEC"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sidRPr="00BC3C05">
              <w:rPr>
                <w:rFonts w:ascii="Times New Roman" w:eastAsiaTheme="minorEastAsia" w:hAnsi="Times New Roman" w:cs="Times New Roman"/>
              </w:rPr>
              <w:t xml:space="preserve"> </w:t>
            </w:r>
          </w:p>
        </w:tc>
        <w:tc>
          <w:tcPr>
            <w:tcW w:w="0" w:type="auto"/>
          </w:tcPr>
          <w:p w14:paraId="1017F6EB"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2685D28"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78CA7B74"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AEF0CA1"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-0.014*</w:t>
            </w:r>
          </w:p>
        </w:tc>
        <w:tc>
          <w:tcPr>
            <w:tcW w:w="0" w:type="auto"/>
          </w:tcPr>
          <w:p w14:paraId="0FC42DB8"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-0.008+</w:t>
            </w:r>
          </w:p>
        </w:tc>
      </w:tr>
      <w:tr w:rsidR="00BC3C05" w:rsidRPr="00BC3C05" w14:paraId="6447ABCF" w14:textId="77777777" w:rsidTr="004A46E4">
        <w:tc>
          <w:tcPr>
            <w:tcW w:w="0" w:type="auto"/>
            <w:vAlign w:val="center"/>
          </w:tcPr>
          <w:p w14:paraId="3E502817" w14:textId="77777777" w:rsidR="00BC3C05" w:rsidRPr="00BC3C05" w:rsidRDefault="00BC3C05" w:rsidP="00BC3C05">
            <w:pPr>
              <w:spacing w:line="360" w:lineRule="auto"/>
              <w:rPr>
                <w:rFonts w:ascii="Times New Roman" w:hAnsi="Times New Roman" w:cs="Times New Roman"/>
              </w:rPr>
            </w:pPr>
          </w:p>
        </w:tc>
        <w:tc>
          <w:tcPr>
            <w:tcW w:w="0" w:type="auto"/>
          </w:tcPr>
          <w:p w14:paraId="241EBD6B"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4A557B27"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4C62535F"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732532EF"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(0.004)</w:t>
            </w:r>
          </w:p>
        </w:tc>
        <w:tc>
          <w:tcPr>
            <w:tcW w:w="0" w:type="auto"/>
          </w:tcPr>
          <w:p w14:paraId="751FE957"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(0.004)</w:t>
            </w:r>
          </w:p>
        </w:tc>
      </w:tr>
      <w:tr w:rsidR="00BC3C05" w:rsidRPr="00BC3C05" w14:paraId="01E80091" w14:textId="77777777" w:rsidTr="004A46E4">
        <w:tc>
          <w:tcPr>
            <w:tcW w:w="0" w:type="auto"/>
            <w:vAlign w:val="center"/>
          </w:tcPr>
          <w:p w14:paraId="2C97121F"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GDPpc</m:t>
                  </m:r>
                </m:e>
              </m:d>
            </m:oMath>
            <w:r w:rsidRPr="00BC3C05">
              <w:rPr>
                <w:rFonts w:ascii="Times New Roman" w:eastAsiaTheme="minorEastAsia" w:hAnsi="Times New Roman" w:cs="Times New Roman"/>
              </w:rPr>
              <w:t xml:space="preserve"> </w:t>
            </w:r>
          </w:p>
        </w:tc>
        <w:tc>
          <w:tcPr>
            <w:tcW w:w="0" w:type="auto"/>
          </w:tcPr>
          <w:p w14:paraId="3A9EF4A5"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7F1C3F6B"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79B9F822"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6E7131C0"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78E8744"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0.808</w:t>
            </w:r>
            <w:r w:rsidRPr="00BC3C05">
              <w:rPr>
                <w:rFonts w:ascii="Times New Roman" w:hAnsi="Times New Roman" w:cs="Times New Roman"/>
                <w:highlight w:val="yellow"/>
                <w:vertAlign w:val="superscript"/>
              </w:rPr>
              <w:t>***</w:t>
            </w:r>
          </w:p>
        </w:tc>
      </w:tr>
      <w:tr w:rsidR="00BC3C05" w:rsidRPr="00BC3C05" w14:paraId="02DCFAA0" w14:textId="77777777" w:rsidTr="004A46E4">
        <w:tc>
          <w:tcPr>
            <w:tcW w:w="0" w:type="auto"/>
            <w:vAlign w:val="center"/>
          </w:tcPr>
          <w:p w14:paraId="3C6A6B61" w14:textId="77777777" w:rsidR="00BC3C05" w:rsidRPr="00BC3C05" w:rsidRDefault="00BC3C05" w:rsidP="00BC3C05">
            <w:pPr>
              <w:spacing w:line="360" w:lineRule="auto"/>
              <w:rPr>
                <w:rFonts w:ascii="Times New Roman" w:hAnsi="Times New Roman" w:cs="Times New Roman"/>
              </w:rPr>
            </w:pPr>
          </w:p>
        </w:tc>
        <w:tc>
          <w:tcPr>
            <w:tcW w:w="0" w:type="auto"/>
          </w:tcPr>
          <w:p w14:paraId="59A644A0"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5AA39D8B"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51DFBB28"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F1BC952"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380715D2"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(0.136)</w:t>
            </w:r>
          </w:p>
        </w:tc>
      </w:tr>
      <w:tr w:rsidR="00BC3C05" w:rsidRPr="00BC3C05" w14:paraId="639920B4" w14:textId="77777777" w:rsidTr="004A46E4">
        <w:tc>
          <w:tcPr>
            <w:tcW w:w="0" w:type="auto"/>
            <w:vAlign w:val="center"/>
          </w:tcPr>
          <w:p w14:paraId="72877DBA"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64</m:t>
                  </m:r>
                </m:e>
              </m:d>
            </m:oMath>
            <w:r w:rsidRPr="00BC3C05">
              <w:rPr>
                <w:rFonts w:ascii="Times New Roman" w:eastAsiaTheme="minorEastAsia" w:hAnsi="Times New Roman" w:cs="Times New Roman"/>
              </w:rPr>
              <w:t xml:space="preserve"> </w:t>
            </w:r>
          </w:p>
        </w:tc>
        <w:tc>
          <w:tcPr>
            <w:tcW w:w="0" w:type="auto"/>
          </w:tcPr>
          <w:p w14:paraId="52EF2BDA"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3C722E86"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36FACD7"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6E4665A1"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1DB5D42A"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0.100</w:t>
            </w:r>
            <w:r w:rsidRPr="00BC3C05">
              <w:rPr>
                <w:rFonts w:ascii="Times New Roman" w:hAnsi="Times New Roman" w:cs="Times New Roman"/>
                <w:highlight w:val="yellow"/>
                <w:vertAlign w:val="superscript"/>
              </w:rPr>
              <w:t>***</w:t>
            </w:r>
          </w:p>
        </w:tc>
      </w:tr>
      <w:tr w:rsidR="00BC3C05" w:rsidRPr="00BC3C05" w14:paraId="7FD39C11" w14:textId="77777777" w:rsidTr="004A46E4">
        <w:tc>
          <w:tcPr>
            <w:tcW w:w="0" w:type="auto"/>
            <w:vAlign w:val="center"/>
          </w:tcPr>
          <w:p w14:paraId="0488843E" w14:textId="77777777" w:rsidR="00BC3C05" w:rsidRPr="00BC3C05" w:rsidRDefault="00BC3C05" w:rsidP="00BC3C05">
            <w:pPr>
              <w:spacing w:line="360" w:lineRule="auto"/>
              <w:rPr>
                <w:rFonts w:ascii="Times New Roman" w:hAnsi="Times New Roman" w:cs="Times New Roman"/>
              </w:rPr>
            </w:pPr>
          </w:p>
        </w:tc>
        <w:tc>
          <w:tcPr>
            <w:tcW w:w="0" w:type="auto"/>
          </w:tcPr>
          <w:p w14:paraId="0445F2C1"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A7E7A62"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3129B1C8"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279617A1"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44154A63"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(0.013)</w:t>
            </w:r>
          </w:p>
        </w:tc>
      </w:tr>
      <w:tr w:rsidR="00BC3C05" w:rsidRPr="00BC3C05" w14:paraId="7FB45A0B" w14:textId="77777777" w:rsidTr="004A46E4">
        <w:tc>
          <w:tcPr>
            <w:tcW w:w="0" w:type="auto"/>
            <w:vAlign w:val="center"/>
          </w:tcPr>
          <w:p w14:paraId="74172BCA" w14:textId="77777777" w:rsidR="00BC3C05" w:rsidRPr="00BC3C05" w:rsidRDefault="00BC3C05" w:rsidP="00BC3C05">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sidRPr="00BC3C05">
              <w:rPr>
                <w:rFonts w:ascii="Times New Roman" w:eastAsiaTheme="minorEastAsia" w:hAnsi="Times New Roman" w:cs="Times New Roman"/>
              </w:rPr>
              <w:t xml:space="preserve"> </w:t>
            </w:r>
          </w:p>
        </w:tc>
        <w:tc>
          <w:tcPr>
            <w:tcW w:w="0" w:type="auto"/>
          </w:tcPr>
          <w:p w14:paraId="37F7C8B6"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37DBD059"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06D4C532"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2B9DC0FE"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5E01A218"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0.011</w:t>
            </w:r>
          </w:p>
        </w:tc>
      </w:tr>
      <w:tr w:rsidR="00BC3C05" w:rsidRPr="00BC3C05" w14:paraId="6CE02C4B" w14:textId="77777777" w:rsidTr="004A46E4">
        <w:tc>
          <w:tcPr>
            <w:tcW w:w="0" w:type="auto"/>
            <w:vAlign w:val="center"/>
          </w:tcPr>
          <w:p w14:paraId="44EF4458" w14:textId="77777777" w:rsidR="00BC3C05" w:rsidRPr="00BC3C05" w:rsidRDefault="00BC3C05" w:rsidP="00BC3C05">
            <w:pPr>
              <w:spacing w:line="360" w:lineRule="auto"/>
              <w:rPr>
                <w:rFonts w:ascii="Times New Roman" w:hAnsi="Times New Roman" w:cs="Times New Roman"/>
              </w:rPr>
            </w:pPr>
          </w:p>
        </w:tc>
        <w:tc>
          <w:tcPr>
            <w:tcW w:w="0" w:type="auto"/>
          </w:tcPr>
          <w:p w14:paraId="2A1DB079"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5007D6E4"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57CBC6DD"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3F98E48D" w14:textId="77777777" w:rsidR="00BC3C05" w:rsidRPr="00BC3C05" w:rsidRDefault="00BC3C05" w:rsidP="00BC3C05">
            <w:pPr>
              <w:spacing w:line="360" w:lineRule="auto"/>
              <w:rPr>
                <w:rFonts w:ascii="Times New Roman" w:hAnsi="Times New Roman" w:cs="Times New Roman"/>
                <w:highlight w:val="yellow"/>
              </w:rPr>
            </w:pPr>
          </w:p>
        </w:tc>
        <w:tc>
          <w:tcPr>
            <w:tcW w:w="0" w:type="auto"/>
          </w:tcPr>
          <w:p w14:paraId="6784CE03" w14:textId="77777777" w:rsidR="00BC3C05" w:rsidRPr="00BC3C05" w:rsidRDefault="00BC3C05" w:rsidP="00BC3C05">
            <w:pPr>
              <w:spacing w:line="360" w:lineRule="auto"/>
              <w:rPr>
                <w:rFonts w:ascii="Times New Roman" w:hAnsi="Times New Roman" w:cs="Times New Roman"/>
                <w:highlight w:val="yellow"/>
              </w:rPr>
            </w:pPr>
            <w:r w:rsidRPr="00BC3C05">
              <w:rPr>
                <w:rFonts w:ascii="Times New Roman" w:hAnsi="Times New Roman" w:cs="Times New Roman"/>
                <w:highlight w:val="yellow"/>
              </w:rPr>
              <w:t>(0.006)</w:t>
            </w:r>
          </w:p>
        </w:tc>
      </w:tr>
      <w:tr w:rsidR="00BC3C05" w:rsidRPr="00BC3C05" w14:paraId="7DC9120E" w14:textId="77777777" w:rsidTr="004A46E4">
        <w:tc>
          <w:tcPr>
            <w:tcW w:w="0" w:type="auto"/>
          </w:tcPr>
          <w:p w14:paraId="6F1025F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Obs.</w:t>
            </w:r>
          </w:p>
        </w:tc>
        <w:tc>
          <w:tcPr>
            <w:tcW w:w="0" w:type="auto"/>
          </w:tcPr>
          <w:p w14:paraId="598D642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rPr>
              <w:t>520</w:t>
            </w:r>
          </w:p>
        </w:tc>
        <w:tc>
          <w:tcPr>
            <w:tcW w:w="0" w:type="auto"/>
          </w:tcPr>
          <w:p w14:paraId="2047E38B"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rPr>
              <w:t>468</w:t>
            </w:r>
          </w:p>
        </w:tc>
        <w:tc>
          <w:tcPr>
            <w:tcW w:w="0" w:type="auto"/>
          </w:tcPr>
          <w:p w14:paraId="00F107E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rPr>
              <w:t>468</w:t>
            </w:r>
          </w:p>
        </w:tc>
        <w:tc>
          <w:tcPr>
            <w:tcW w:w="0" w:type="auto"/>
          </w:tcPr>
          <w:p w14:paraId="39C878B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rPr>
              <w:t>468</w:t>
            </w:r>
          </w:p>
        </w:tc>
        <w:tc>
          <w:tcPr>
            <w:tcW w:w="0" w:type="auto"/>
          </w:tcPr>
          <w:p w14:paraId="5ACCCC5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b/>
                <w:bCs/>
              </w:rPr>
              <w:t>468</w:t>
            </w:r>
          </w:p>
        </w:tc>
      </w:tr>
      <w:tr w:rsidR="00BC3C05" w:rsidRPr="00BC3C05" w14:paraId="41FD35D6" w14:textId="77777777" w:rsidTr="004A46E4">
        <w:tc>
          <w:tcPr>
            <w:tcW w:w="0" w:type="auto"/>
          </w:tcPr>
          <w:p w14:paraId="25C6901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R2 Adj</w:t>
            </w:r>
          </w:p>
        </w:tc>
        <w:tc>
          <w:tcPr>
            <w:tcW w:w="0" w:type="auto"/>
          </w:tcPr>
          <w:p w14:paraId="4D9340B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0.957</w:t>
            </w:r>
          </w:p>
        </w:tc>
        <w:tc>
          <w:tcPr>
            <w:tcW w:w="0" w:type="auto"/>
          </w:tcPr>
          <w:p w14:paraId="25275FD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0.958</w:t>
            </w:r>
          </w:p>
        </w:tc>
        <w:tc>
          <w:tcPr>
            <w:tcW w:w="0" w:type="auto"/>
          </w:tcPr>
          <w:p w14:paraId="7294720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0.964</w:t>
            </w:r>
          </w:p>
        </w:tc>
        <w:tc>
          <w:tcPr>
            <w:tcW w:w="0" w:type="auto"/>
          </w:tcPr>
          <w:p w14:paraId="43E755DA"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0.964</w:t>
            </w:r>
          </w:p>
        </w:tc>
        <w:tc>
          <w:tcPr>
            <w:tcW w:w="0" w:type="auto"/>
          </w:tcPr>
          <w:p w14:paraId="1CD567D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0.970</w:t>
            </w:r>
          </w:p>
        </w:tc>
      </w:tr>
      <w:tr w:rsidR="00BC3C05" w:rsidRPr="00BC3C05" w14:paraId="7A7A636F" w14:textId="77777777" w:rsidTr="004A46E4">
        <w:tc>
          <w:tcPr>
            <w:tcW w:w="0" w:type="auto"/>
          </w:tcPr>
          <w:p w14:paraId="2A073C5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R2 Within</w:t>
            </w:r>
          </w:p>
        </w:tc>
        <w:tc>
          <w:tcPr>
            <w:tcW w:w="0" w:type="auto"/>
          </w:tcPr>
          <w:p w14:paraId="72A1C6A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0.585</w:t>
            </w:r>
          </w:p>
        </w:tc>
        <w:tc>
          <w:tcPr>
            <w:tcW w:w="0" w:type="auto"/>
          </w:tcPr>
          <w:p w14:paraId="434E6BE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0.586</w:t>
            </w:r>
          </w:p>
        </w:tc>
        <w:tc>
          <w:tcPr>
            <w:tcW w:w="0" w:type="auto"/>
          </w:tcPr>
          <w:p w14:paraId="328E4D2B"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0.644</w:t>
            </w:r>
          </w:p>
        </w:tc>
        <w:tc>
          <w:tcPr>
            <w:tcW w:w="0" w:type="auto"/>
          </w:tcPr>
          <w:p w14:paraId="183332B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0.652</w:t>
            </w:r>
          </w:p>
        </w:tc>
        <w:tc>
          <w:tcPr>
            <w:tcW w:w="0" w:type="auto"/>
          </w:tcPr>
          <w:p w14:paraId="7F2CF33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0.708</w:t>
            </w:r>
          </w:p>
        </w:tc>
      </w:tr>
    </w:tbl>
    <w:p w14:paraId="444581D9" w14:textId="77777777" w:rsidR="00BC3C05" w:rsidRPr="00BC3C05" w:rsidRDefault="00BC3C05" w:rsidP="00BC3C05">
      <w:pPr>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Note</w:t>
      </w:r>
      <w:r w:rsidRPr="00BC3C05">
        <w:rPr>
          <w:rFonts w:ascii="Times New Roman" w:hAnsi="Times New Roman" w:cs="Times New Roman"/>
          <w:i/>
          <w:iCs/>
          <w:kern w:val="2"/>
          <w14:ligatures w14:val="standardContextual"/>
        </w:rPr>
        <w:t>:</w:t>
      </w:r>
      <w:r w:rsidRPr="00BC3C05">
        <w:rPr>
          <w:rFonts w:ascii="Times New Roman" w:hAnsi="Times New Roman"/>
          <w:i/>
          <w:iCs/>
          <w:kern w:val="2"/>
          <w14:ligatures w14:val="standardContextual"/>
        </w:rPr>
        <w:t xml:space="preserve"> Models I</w:t>
      </w:r>
      <w:r w:rsidRPr="00BC3C05">
        <w:rPr>
          <w:rFonts w:ascii="Times New Roman" w:hAnsi="Times New Roman" w:cs="Times New Roman"/>
          <w:i/>
          <w:iCs/>
          <w:kern w:val="2"/>
          <w14:ligatures w14:val="standardContextual"/>
        </w:rPr>
        <w:t>–</w:t>
      </w:r>
      <w:r w:rsidRPr="00BC3C05">
        <w:rPr>
          <w:rFonts w:ascii="Times New Roman" w:hAnsi="Times New Roman"/>
          <w:i/>
          <w:iCs/>
          <w:kern w:val="2"/>
          <w14:ligatures w14:val="standardContextual"/>
        </w:rPr>
        <w:t>V</w:t>
      </w:r>
      <w:r w:rsidRPr="00BC3C05">
        <w:rPr>
          <w:rFonts w:ascii="Times New Roman" w:hAnsi="Times New Roman" w:cs="Times New Roman"/>
          <w:i/>
          <w:iCs/>
          <w:kern w:val="2"/>
          <w14:ligatures w14:val="standardContextual"/>
        </w:rPr>
        <w:t xml:space="preserve"> use two-way fixed effects.</w:t>
      </w:r>
      <w:r w:rsidRPr="00BC3C05">
        <w:rPr>
          <w:rFonts w:ascii="Times New Roman" w:hAnsi="Times New Roman"/>
          <w:i/>
          <w:iCs/>
          <w:kern w:val="2"/>
          <w14:ligatures w14:val="standardContextual"/>
        </w:rPr>
        <w:t xml:space="preserve"> Model I uses 520 observations </w:t>
      </w:r>
      <w:r w:rsidRPr="00BC3C05">
        <w:rPr>
          <w:rFonts w:ascii="Times New Roman" w:hAnsi="Times New Roman" w:cs="Times New Roman"/>
          <w:i/>
          <w:iCs/>
          <w:kern w:val="2"/>
          <w14:ligatures w14:val="standardContextual"/>
        </w:rPr>
        <w:t xml:space="preserve">for </w:t>
      </w:r>
      <w:r w:rsidRPr="00BC3C05">
        <w:rPr>
          <w:rFonts w:ascii="Times New Roman" w:hAnsi="Times New Roman"/>
          <w:i/>
          <w:iCs/>
          <w:kern w:val="2"/>
          <w14:ligatures w14:val="standardContextual"/>
        </w:rPr>
        <w:t xml:space="preserve">52 countries </w:t>
      </w:r>
      <w:r w:rsidRPr="00BC3C05">
        <w:rPr>
          <w:rFonts w:ascii="Times New Roman" w:hAnsi="Times New Roman" w:cs="Times New Roman"/>
          <w:i/>
          <w:iCs/>
          <w:kern w:val="2"/>
          <w14:ligatures w14:val="standardContextual"/>
        </w:rPr>
        <w:t>in</w:t>
      </w:r>
      <w:r w:rsidRPr="00BC3C05">
        <w:rPr>
          <w:rFonts w:ascii="Times New Roman" w:hAnsi="Times New Roman"/>
          <w:i/>
          <w:iCs/>
          <w:kern w:val="2"/>
          <w14:ligatures w14:val="standardContextual"/>
        </w:rPr>
        <w:t xml:space="preserve"> 2016</w:t>
      </w:r>
      <w:r w:rsidRPr="00BC3C05">
        <w:rPr>
          <w:rFonts w:ascii="Times New Roman" w:hAnsi="Times New Roman" w:cs="Times New Roman"/>
          <w:i/>
          <w:iCs/>
          <w:kern w:val="2"/>
          <w14:ligatures w14:val="standardContextual"/>
        </w:rPr>
        <w:t>–</w:t>
      </w:r>
      <w:r w:rsidRPr="00BC3C05">
        <w:rPr>
          <w:rFonts w:ascii="Times New Roman" w:hAnsi="Times New Roman"/>
          <w:i/>
          <w:iCs/>
          <w:kern w:val="2"/>
          <w14:ligatures w14:val="standardContextual"/>
        </w:rPr>
        <w:t>2025</w:t>
      </w:r>
      <w:r w:rsidRPr="00BC3C05">
        <w:rPr>
          <w:rFonts w:ascii="Times New Roman" w:hAnsi="Times New Roman" w:cs="Times New Roman"/>
          <w:i/>
          <w:iCs/>
          <w:kern w:val="2"/>
          <w14:ligatures w14:val="standardContextual"/>
        </w:rPr>
        <w:t xml:space="preserve">. </w:t>
      </w:r>
      <w:r w:rsidRPr="00BC3C05">
        <w:rPr>
          <w:rFonts w:ascii="Times New Roman" w:hAnsi="Times New Roman"/>
          <w:i/>
          <w:iCs/>
          <w:kern w:val="2"/>
          <w14:ligatures w14:val="standardContextual"/>
        </w:rPr>
        <w:t>Models II</w:t>
      </w:r>
      <w:r w:rsidRPr="00BC3C05">
        <w:rPr>
          <w:rFonts w:ascii="Times New Roman" w:hAnsi="Times New Roman" w:cs="Times New Roman"/>
          <w:i/>
          <w:iCs/>
          <w:kern w:val="2"/>
          <w14:ligatures w14:val="standardContextual"/>
        </w:rPr>
        <w:t>–</w:t>
      </w:r>
      <w:r w:rsidRPr="00BC3C05">
        <w:rPr>
          <w:rFonts w:ascii="Times New Roman" w:hAnsi="Times New Roman"/>
          <w:i/>
          <w:iCs/>
          <w:kern w:val="2"/>
          <w14:ligatures w14:val="standardContextual"/>
        </w:rPr>
        <w:t xml:space="preserve">V use 468 observations </w:t>
      </w:r>
      <w:r w:rsidRPr="00BC3C05">
        <w:rPr>
          <w:rFonts w:ascii="Times New Roman" w:hAnsi="Times New Roman" w:cs="Times New Roman"/>
          <w:i/>
          <w:iCs/>
          <w:kern w:val="2"/>
          <w14:ligatures w14:val="standardContextual"/>
        </w:rPr>
        <w:t xml:space="preserve">in </w:t>
      </w:r>
      <w:r w:rsidRPr="00BC3C05">
        <w:rPr>
          <w:rFonts w:ascii="Times New Roman" w:hAnsi="Times New Roman"/>
          <w:i/>
          <w:iCs/>
          <w:kern w:val="2"/>
          <w14:ligatures w14:val="standardContextual"/>
        </w:rPr>
        <w:t>2016</w:t>
      </w:r>
      <w:r w:rsidRPr="00BC3C05">
        <w:rPr>
          <w:rFonts w:ascii="Times New Roman" w:hAnsi="Times New Roman" w:cs="Times New Roman"/>
          <w:i/>
          <w:iCs/>
          <w:kern w:val="2"/>
          <w14:ligatures w14:val="standardContextual"/>
        </w:rPr>
        <w:t>–</w:t>
      </w:r>
      <w:r w:rsidRPr="00BC3C05">
        <w:rPr>
          <w:rFonts w:ascii="Times New Roman" w:hAnsi="Times New Roman"/>
          <w:i/>
          <w:iCs/>
          <w:kern w:val="2"/>
          <w14:ligatures w14:val="standardContextual"/>
        </w:rPr>
        <w:t xml:space="preserve">2024 because the World Bank </w:t>
      </w:r>
      <w:r w:rsidRPr="00BC3C05">
        <w:rPr>
          <w:rFonts w:ascii="Times New Roman" w:hAnsi="Times New Roman" w:cs="Times New Roman"/>
          <w:i/>
          <w:iCs/>
          <w:kern w:val="2"/>
          <w14:ligatures w14:val="standardContextual"/>
        </w:rPr>
        <w:t>controls are capped at 2024. GDP per capita is NY.GDP.PCAP.PP.KD, purchasing-power-parity GDP per capita in constant 2021 international dollars. Logged GDP and population</w:t>
      </w:r>
      <w:r w:rsidRPr="00BC3C05">
        <w:rPr>
          <w:rFonts w:ascii="Times New Roman" w:hAnsi="Times New Roman"/>
          <w:i/>
          <w:iCs/>
          <w:kern w:val="2"/>
          <w14:ligatures w14:val="standardContextual"/>
        </w:rPr>
        <w:t xml:space="preserve"> are demeaned </w:t>
      </w:r>
      <w:r w:rsidRPr="00BC3C05">
        <w:rPr>
          <w:rFonts w:ascii="Times New Roman" w:hAnsi="Times New Roman" w:cs="Times New Roman"/>
          <w:i/>
          <w:iCs/>
          <w:kern w:val="2"/>
          <w14:ligatures w14:val="standardContextual"/>
        </w:rPr>
        <w:t xml:space="preserve">over the estimation sample </w:t>
      </w:r>
      <w:r w:rsidRPr="00BC3C05">
        <w:rPr>
          <w:rFonts w:ascii="Times New Roman" w:hAnsi="Times New Roman"/>
          <w:i/>
          <w:iCs/>
          <w:kern w:val="2"/>
          <w14:ligatures w14:val="standardContextual"/>
        </w:rPr>
        <w:t xml:space="preserve">before interactions are </w:t>
      </w:r>
      <w:r w:rsidRPr="00BC3C05">
        <w:rPr>
          <w:rFonts w:ascii="Times New Roman" w:hAnsi="Times New Roman" w:cs="Times New Roman"/>
          <w:i/>
          <w:iCs/>
          <w:kern w:val="2"/>
          <w14:ligatures w14:val="standardContextual"/>
        </w:rPr>
        <w:t xml:space="preserve">formed. All models use </w:t>
      </w:r>
      <w:r w:rsidRPr="00BC3C05">
        <w:rPr>
          <w:rFonts w:ascii="Times New Roman" w:hAnsi="Times New Roman"/>
          <w:i/>
          <w:iCs/>
          <w:kern w:val="2"/>
          <w14:ligatures w14:val="standardContextual"/>
        </w:rPr>
        <w:t>Driscoll</w:t>
      </w:r>
      <w:r w:rsidRPr="00BC3C05">
        <w:rPr>
          <w:rFonts w:ascii="Times New Roman" w:hAnsi="Times New Roman" w:cs="Times New Roman"/>
          <w:i/>
          <w:iCs/>
          <w:kern w:val="2"/>
          <w14:ligatures w14:val="standardContextual"/>
        </w:rPr>
        <w:t>–</w:t>
      </w:r>
      <w:r w:rsidRPr="00BC3C05">
        <w:rPr>
          <w:rFonts w:ascii="Times New Roman" w:hAnsi="Times New Roman"/>
          <w:i/>
          <w:iCs/>
          <w:kern w:val="2"/>
          <w14:ligatures w14:val="standardContextual"/>
        </w:rPr>
        <w:t xml:space="preserve">Kraay standard errors </w:t>
      </w:r>
      <w:r w:rsidRPr="00BC3C05">
        <w:rPr>
          <w:rFonts w:ascii="Times New Roman" w:hAnsi="Times New Roman" w:cs="Times New Roman"/>
          <w:i/>
          <w:iCs/>
          <w:kern w:val="2"/>
          <w14:ligatures w14:val="standardContextual"/>
        </w:rPr>
        <w:t>with one lag.</w:t>
      </w:r>
      <w:r w:rsidRPr="00BC3C05">
        <w:rPr>
          <w:rFonts w:ascii="Times New Roman" w:hAnsi="Times New Roman"/>
          <w:i/>
          <w:iCs/>
          <w:kern w:val="2"/>
          <w14:ligatures w14:val="standardContextual"/>
        </w:rPr>
        <w:t xml:space="preserve"> Significance </w:t>
      </w:r>
      <w:r w:rsidRPr="00BC3C05">
        <w:rPr>
          <w:rFonts w:ascii="Times New Roman" w:hAnsi="Times New Roman" w:cs="Times New Roman"/>
          <w:i/>
          <w:iCs/>
          <w:kern w:val="2"/>
          <w14:ligatures w14:val="standardContextual"/>
        </w:rPr>
        <w:t>codes are</w:t>
      </w:r>
      <w:r w:rsidRPr="00BC3C05">
        <w:rPr>
          <w:rFonts w:ascii="Times New Roman" w:hAnsi="Times New Roman"/>
          <w:i/>
          <w:iCs/>
          <w:kern w:val="2"/>
          <w14:ligatures w14:val="standardContextual"/>
        </w:rPr>
        <w:t xml:space="preserve"> + p</w:t>
      </w:r>
      <w:r w:rsidRPr="00BC3C05">
        <w:rPr>
          <w:rFonts w:ascii="Times New Roman" w:hAnsi="Times New Roman" w:cs="Times New Roman"/>
          <w:i/>
          <w:iCs/>
          <w:kern w:val="2"/>
          <w14:ligatures w14:val="standardContextual"/>
        </w:rPr>
        <w:t xml:space="preserve"> &lt; .10</w:t>
      </w:r>
      <w:r w:rsidRPr="00BC3C05">
        <w:rPr>
          <w:rFonts w:ascii="Times New Roman" w:hAnsi="Times New Roman"/>
          <w:i/>
          <w:iCs/>
          <w:kern w:val="2"/>
          <w14:ligatures w14:val="standardContextual"/>
        </w:rPr>
        <w:t>, * p</w:t>
      </w:r>
      <w:r w:rsidRPr="00BC3C05">
        <w:rPr>
          <w:rFonts w:ascii="Times New Roman" w:hAnsi="Times New Roman" w:cs="Times New Roman"/>
          <w:i/>
          <w:iCs/>
          <w:kern w:val="2"/>
          <w14:ligatures w14:val="standardContextual"/>
        </w:rPr>
        <w:t xml:space="preserve"> &lt; </w:t>
      </w:r>
      <w:r w:rsidRPr="00BC3C05">
        <w:rPr>
          <w:rFonts w:ascii="Times New Roman" w:hAnsi="Times New Roman"/>
          <w:i/>
          <w:iCs/>
          <w:kern w:val="2"/>
          <w14:ligatures w14:val="standardContextual"/>
        </w:rPr>
        <w:t>.05, ** p</w:t>
      </w:r>
      <w:r w:rsidRPr="00BC3C05">
        <w:rPr>
          <w:rFonts w:ascii="Times New Roman" w:hAnsi="Times New Roman" w:cs="Times New Roman"/>
          <w:i/>
          <w:iCs/>
          <w:kern w:val="2"/>
          <w14:ligatures w14:val="standardContextual"/>
        </w:rPr>
        <w:t xml:space="preserve"> &lt; </w:t>
      </w:r>
      <w:r w:rsidRPr="00BC3C05">
        <w:rPr>
          <w:rFonts w:ascii="Times New Roman" w:hAnsi="Times New Roman"/>
          <w:i/>
          <w:iCs/>
          <w:kern w:val="2"/>
          <w14:ligatures w14:val="standardContextual"/>
        </w:rPr>
        <w:t xml:space="preserve">.01, </w:t>
      </w:r>
      <w:r w:rsidRPr="00BC3C05">
        <w:rPr>
          <w:rFonts w:ascii="Times New Roman" w:hAnsi="Times New Roman" w:cs="Times New Roman"/>
          <w:i/>
          <w:iCs/>
          <w:kern w:val="2"/>
          <w14:ligatures w14:val="standardContextual"/>
        </w:rPr>
        <w:t xml:space="preserve">and </w:t>
      </w:r>
      <w:r w:rsidRPr="00BC3C05">
        <w:rPr>
          <w:rFonts w:ascii="Times New Roman" w:hAnsi="Times New Roman"/>
          <w:i/>
          <w:iCs/>
          <w:kern w:val="2"/>
          <w14:ligatures w14:val="standardContextual"/>
        </w:rPr>
        <w:t>*** p</w:t>
      </w:r>
      <w:r w:rsidRPr="00BC3C05">
        <w:rPr>
          <w:rFonts w:ascii="Times New Roman" w:hAnsi="Times New Roman" w:cs="Times New Roman"/>
          <w:i/>
          <w:iCs/>
          <w:kern w:val="2"/>
          <w14:ligatures w14:val="standardContextual"/>
        </w:rPr>
        <w:t xml:space="preserve"> &lt; </w:t>
      </w:r>
      <w:r w:rsidRPr="00BC3C05">
        <w:rPr>
          <w:rFonts w:ascii="Times New Roman" w:hAnsi="Times New Roman"/>
          <w:i/>
          <w:iCs/>
          <w:kern w:val="2"/>
          <w14:ligatures w14:val="standardContextual"/>
        </w:rPr>
        <w:t>.001.</w:t>
      </w:r>
    </w:p>
    <w:p w14:paraId="39934AA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lastRenderedPageBreak/>
        <w:drawing>
          <wp:anchor distT="0" distB="0" distL="114300" distR="114300" simplePos="0" relativeHeight="251659264" behindDoc="0" locked="0" layoutInCell="1" allowOverlap="1" wp14:anchorId="28F25ACF" wp14:editId="7492716A">
            <wp:simplePos x="0" y="0"/>
            <wp:positionH relativeFrom="column">
              <wp:posOffset>-80683</wp:posOffset>
            </wp:positionH>
            <wp:positionV relativeFrom="paragraph">
              <wp:posOffset>150</wp:posOffset>
            </wp:positionV>
            <wp:extent cx="5731510" cy="4528185"/>
            <wp:effectExtent l="0" t="0" r="0" b="5715"/>
            <wp:wrapSquare wrapText="bothSides"/>
            <wp:docPr id="19408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7850" name="Picture 19408478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528185"/>
                    </a:xfrm>
                    <a:prstGeom prst="rect">
                      <a:avLst/>
                    </a:prstGeom>
                  </pic:spPr>
                </pic:pic>
              </a:graphicData>
            </a:graphic>
          </wp:anchor>
        </w:drawing>
      </w:r>
    </w:p>
    <w:p w14:paraId="62A3ED4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45D31D0E"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uncontrolled ATT is −1.109, equivalent to exp(−1.109) − 1 = −67.0%. Reconciling it with Conlon et al.’s (2021) long-run elasticity of −0.354 requires a specific attribution. Applied to the 140% gross fee increase, that elasticity assigns a log quantity change of −0.354 × ln(2.4) = −0.310 to price, or exp(−0.310) − 1 = −26.7%. The remaining −0.799 log points would be attributed to non-price channels. At their more elastic bound of −0.648, the price channel accounts for a larger share, leaving a residual log change of −0.542. This decomposition is accounting, not separate causal identification of the residual.</w:t>
      </w:r>
    </w:p>
    <w:p w14:paraId="4F0E6E83"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same arithmetic runs in reverse. Attributing the whole of our ATT to price, the annual fee increase required for an elasticity of −0.354 to generate it is exp(1.11/0.354) =22.9</w:t>
      </w:r>
      <w:r w:rsidRPr="00BC3C05">
        <w:rPr>
          <w:rFonts w:ascii="Times New Roman" w:hAnsi="Times New Roman" w:cs="Times New Roman"/>
          <w:kern w:val="2"/>
          <w:sz w:val="24"/>
          <w:szCs w:val="24"/>
          <w:vertAlign w:val="superscript"/>
          <w14:ligatures w14:val="standardContextual"/>
        </w:rPr>
        <w:footnoteReference w:id="1"/>
      </w:r>
      <w:r w:rsidRPr="00BC3C05">
        <w:rPr>
          <w:rFonts w:ascii="Times New Roman" w:hAnsi="Times New Roman" w:cs="Times New Roman"/>
          <w:kern w:val="2"/>
          <w:sz w:val="24"/>
          <w:szCs w:val="24"/>
          <w14:ligatures w14:val="standardContextual"/>
        </w:rPr>
        <w:t xml:space="preserve">, a rise of 2,194 percent. Against the pre-Brexit home fee of £9,250, that implies an annual charge of approximately £212,200 rather than the roughly £22,200 actually levied once EU applicants moved to international rates. Even the elastic bound of −0.648 requires </w:t>
      </w:r>
      <w:r w:rsidRPr="00BC3C05">
        <w:rPr>
          <w:rFonts w:ascii="Times New Roman" w:hAnsi="Times New Roman" w:cs="Times New Roman"/>
          <w:kern w:val="2"/>
          <w:sz w:val="24"/>
          <w:szCs w:val="24"/>
          <w14:ligatures w14:val="standardContextual"/>
        </w:rPr>
        <w:lastRenderedPageBreak/>
        <w:t xml:space="preserve">exp(1.109 / 0.648) = 5.5, an increase of 454 percent, or about £51,200 a year. However, such change will be possible only for countries where the income-contingent loan is effectively equal to zero in present value terms. To obtain Conlon et al. (2021) number of </w:t>
      </w: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η</m:t>
            </m:r>
          </m:e>
          <m:sub>
            <m:r>
              <w:rPr>
                <w:rFonts w:ascii="Cambria Math" w:hAnsi="Cambria Math" w:cs="Times New Roman"/>
                <w:kern w:val="2"/>
                <w:sz w:val="24"/>
                <w:szCs w:val="24"/>
                <w14:ligatures w14:val="standardContextual"/>
              </w:rPr>
              <m:t>j</m:t>
            </m:r>
          </m:sub>
        </m:sSub>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0.354</m:t>
        </m:r>
      </m:oMath>
      <w:r w:rsidRPr="00BC3C05">
        <w:rPr>
          <w:rFonts w:ascii="Times New Roman" w:hAnsi="Times New Roman" w:cs="Times New Roman"/>
          <w:kern w:val="2"/>
          <w:sz w:val="24"/>
          <w:szCs w:val="24"/>
          <w14:ligatures w14:val="standardContextual"/>
        </w:rPr>
        <w:t xml:space="preserve"> we have to solve for a denominator that gives </w:t>
      </w:r>
      <m:oMath>
        <m:r>
          <w:rPr>
            <w:rFonts w:ascii="Cambria Math" w:hAnsi="Cambria Math" w:cs="Times New Roman"/>
            <w:kern w:val="2"/>
            <w:sz w:val="24"/>
            <w:szCs w:val="24"/>
            <w14:ligatures w14:val="standardContextual"/>
          </w:rPr>
          <m:t>k</m:t>
        </m:r>
        <m:r>
          <m:rPr>
            <m:sty m:val="p"/>
          </m:rPr>
          <w:rPr>
            <w:rFonts w:ascii="Cambria Math" w:hAnsi="Cambria Math" w:cs="Times New Roman"/>
            <w:kern w:val="2"/>
            <w:sz w:val="24"/>
            <w:szCs w:val="24"/>
            <w14:ligatures w14:val="standardContextual"/>
          </w:rPr>
          <m:t>=</m:t>
        </m:r>
        <m:f>
          <m:fPr>
            <m:ctrlPr>
              <w:rPr>
                <w:rFonts w:ascii="Cambria Math" w:hAnsi="Cambria Math" w:cs="Times New Roman"/>
                <w:kern w:val="2"/>
                <w:sz w:val="24"/>
                <w:szCs w:val="24"/>
                <w14:ligatures w14:val="standardContextual"/>
              </w:rPr>
            </m:ctrlPr>
          </m:fPr>
          <m:num>
            <m:r>
              <w:rPr>
                <w:rFonts w:ascii="Cambria Math" w:hAnsi="Cambria Math" w:cs="Times New Roman"/>
                <w:kern w:val="2"/>
                <w:sz w:val="24"/>
                <w:szCs w:val="24"/>
                <w14:ligatures w14:val="standardContextual"/>
              </w:rPr>
              <m:t>1.109</m:t>
            </m:r>
          </m:num>
          <m:den>
            <m:r>
              <w:rPr>
                <w:rFonts w:ascii="Cambria Math" w:hAnsi="Cambria Math" w:cs="Times New Roman"/>
                <w:kern w:val="2"/>
                <w:sz w:val="24"/>
                <w:szCs w:val="24"/>
                <w14:ligatures w14:val="standardContextual"/>
              </w:rPr>
              <m:t>0.354</m:t>
            </m:r>
          </m:den>
        </m:f>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3.13</m:t>
        </m:r>
      </m:oMath>
      <w:r w:rsidRPr="00BC3C05">
        <w:rPr>
          <w:rFonts w:ascii="Times New Roman" w:hAnsi="Times New Roman" w:cs="Times New Roman"/>
          <w:kern w:val="2"/>
          <w:sz w:val="24"/>
          <w:szCs w:val="24"/>
          <w14:ligatures w14:val="standardContextual"/>
        </w:rPr>
        <w:t xml:space="preserve">, so </w:t>
      </w:r>
      <m:oMath>
        <m:r>
          <w:rPr>
            <w:rFonts w:ascii="Cambria Math" w:hAnsi="Cambria Math" w:cs="Times New Roman"/>
            <w:kern w:val="2"/>
            <w:sz w:val="24"/>
            <w:szCs w:val="24"/>
            <w14:ligatures w14:val="standardContextual"/>
          </w:rPr>
          <m:t>P</m:t>
        </m:r>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V</m:t>
            </m:r>
          </m:e>
          <m:sub>
            <m:r>
              <w:rPr>
                <w:rFonts w:ascii="Cambria Math" w:hAnsi="Cambria Math" w:cs="Times New Roman"/>
                <w:kern w:val="2"/>
                <w:sz w:val="24"/>
                <w:szCs w:val="24"/>
                <w14:ligatures w14:val="standardContextual"/>
              </w:rPr>
              <m:t>loan</m:t>
            </m:r>
          </m:sub>
        </m:sSub>
        <m:r>
          <m:rPr>
            <m:sty m:val="p"/>
          </m:rPr>
          <w:rPr>
            <w:rFonts w:ascii="Cambria Math" w:hAnsi="Cambria Math" w:cs="Times New Roman"/>
            <w:kern w:val="2"/>
            <w:sz w:val="24"/>
            <w:szCs w:val="24"/>
            <w14:ligatures w14:val="standardContextual"/>
          </w:rPr>
          <m:t>=</m:t>
        </m:r>
        <m:f>
          <m:fPr>
            <m:ctrlPr>
              <w:rPr>
                <w:rFonts w:ascii="Cambria Math" w:hAnsi="Cambria Math" w:cs="Times New Roman"/>
                <w:kern w:val="2"/>
                <w:sz w:val="24"/>
                <w:szCs w:val="24"/>
                <w14:ligatures w14:val="standardContextual"/>
              </w:rPr>
            </m:ctrlPr>
          </m:fPr>
          <m:num>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22</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200</m:t>
            </m:r>
          </m:num>
          <m:den>
            <m:sSup>
              <m:sSupPr>
                <m:ctrlPr>
                  <w:rPr>
                    <w:rFonts w:ascii="Cambria Math" w:hAnsi="Cambria Math" w:cs="Times New Roman"/>
                    <w:kern w:val="2"/>
                    <w:sz w:val="24"/>
                    <w:szCs w:val="24"/>
                    <w14:ligatures w14:val="standardContextual"/>
                  </w:rPr>
                </m:ctrlPr>
              </m:sSupPr>
              <m:e>
                <m:r>
                  <w:rPr>
                    <w:rFonts w:ascii="Cambria Math" w:hAnsi="Cambria Math" w:cs="Times New Roman"/>
                    <w:kern w:val="2"/>
                    <w:sz w:val="24"/>
                    <w:szCs w:val="24"/>
                    <w14:ligatures w14:val="standardContextual"/>
                  </w:rPr>
                  <m:t>e</m:t>
                </m:r>
              </m:e>
              <m:sup>
                <m:r>
                  <w:rPr>
                    <w:rFonts w:ascii="Cambria Math" w:hAnsi="Cambria Math" w:cs="Times New Roman"/>
                    <w:kern w:val="2"/>
                    <w:sz w:val="24"/>
                    <w:szCs w:val="24"/>
                    <w14:ligatures w14:val="standardContextual"/>
                  </w:rPr>
                  <m:t>3.13</m:t>
                </m:r>
              </m:sup>
            </m:sSup>
          </m:den>
        </m:f>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968</m:t>
        </m:r>
      </m:oMath>
      <w:r w:rsidRPr="00BC3C05">
        <w:rPr>
          <w:rFonts w:ascii="Times New Roman" w:hAnsi="Times New Roman" w:cs="Times New Roman"/>
          <w:kern w:val="2"/>
          <w:sz w:val="24"/>
          <w:szCs w:val="24"/>
          <w14:ligatures w14:val="standardContextual"/>
        </w:rPr>
        <w:t>. That is 10.5 percent of the £9,250 principal, and under our baseline calibration it corresponds to an expected graduate wage of about £18,250 a year. Therefore, the estimates are equal only for an applicant whose income-contingent loan was worth about a tenth of its face value in present-value terms.</w:t>
      </w:r>
    </w:p>
    <w:p w14:paraId="77B27BEA"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Table 3 also relates the post-reform effect to country-level economic characteristics. The ATT remains large and negative as the observed controls are added. In the interacted specification, the GDP-per-capita and working-age-population interactions are positive and precisely estimated, while the youth-unemployment interaction is not statistically distinguishable from zero. These conditional associations are consistent with smaller contractions in wealthier and demographically larger origins, but they do not independently identify the underlying mechanisms.</w:t>
      </w:r>
    </w:p>
    <w:p w14:paraId="578C56B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3DE8919D" w14:textId="77777777" w:rsidR="00BC3C05" w:rsidRPr="00BC3C05" w:rsidRDefault="00BC3C05" w:rsidP="00BC3C05">
      <w:pPr>
        <w:numPr>
          <w:ilvl w:val="0"/>
          <w:numId w:val="7"/>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Robustness</w:t>
      </w:r>
    </w:p>
    <w:p w14:paraId="1E26FEAB" w14:textId="77777777" w:rsidR="00BC3C05" w:rsidRPr="00BC3C05" w:rsidRDefault="00BC3C05" w:rsidP="00BC3C05">
      <w:pPr>
        <w:spacing w:after="0" w:line="360" w:lineRule="auto"/>
        <w:rPr>
          <w:rFonts w:ascii="Times New Roman" w:hAnsi="Times New Roman" w:cs="Times New Roman"/>
          <w:b/>
          <w:bCs/>
          <w:i/>
          <w:kern w:val="2"/>
          <w:sz w:val="24"/>
          <w:szCs w:val="24"/>
          <w14:ligatures w14:val="standardContextual"/>
        </w:rPr>
      </w:pPr>
    </w:p>
    <w:p w14:paraId="5904964C" w14:textId="77777777" w:rsidR="00BC3C05" w:rsidRPr="00BC3C05" w:rsidRDefault="00BC3C05" w:rsidP="00BC3C05">
      <w:pPr>
        <w:spacing w:after="0" w:line="360" w:lineRule="auto"/>
        <w:rPr>
          <w:rFonts w:ascii="Times New Roman" w:hAnsi="Times New Roman" w:cs="Times New Roman"/>
          <w:i/>
          <w:kern w:val="2"/>
          <w:sz w:val="24"/>
          <w:szCs w:val="24"/>
          <w14:ligatures w14:val="standardContextual"/>
        </w:rPr>
      </w:pPr>
      <w:r w:rsidRPr="00BC3C05">
        <w:rPr>
          <w:rFonts w:ascii="Times New Roman" w:hAnsi="Times New Roman" w:cs="Times New Roman"/>
          <w:b/>
          <w:bCs/>
          <w:i/>
          <w:kern w:val="2"/>
          <w:sz w:val="24"/>
          <w:szCs w:val="24"/>
          <w14:ligatures w14:val="standardContextual"/>
        </w:rPr>
        <w:t>Control group robustness</w:t>
      </w:r>
    </w:p>
    <w:p w14:paraId="2006D9F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We assess sensitivity to control-group choice using several alternative donor pools and an Ireland-only comparison. Prior work motivates these checks, but it does not eliminate the need to evaluate them in the present sample (Clifton-Sprigg et al., 2025).</w:t>
      </w:r>
    </w:p>
    <w:p w14:paraId="41E3E7D0" w14:textId="77777777" w:rsidR="00BC3C05" w:rsidRPr="00BC3C05" w:rsidRDefault="00BC3C05" w:rsidP="00BC3C05">
      <w:pPr>
        <w:numPr>
          <w:ilvl w:val="0"/>
          <w:numId w:val="8"/>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event-study estimates provide no evidence of differential pre-trends in the available window.</w:t>
      </w:r>
    </w:p>
    <w:p w14:paraId="5F40FAAA" w14:textId="77777777" w:rsidR="00BC3C05" w:rsidRPr="00BC3C05" w:rsidRDefault="00BC3C05" w:rsidP="00BC3C05">
      <w:pPr>
        <w:numPr>
          <w:ilvl w:val="0"/>
          <w:numId w:val="8"/>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leads-only specification provides no evidence of anticipatory adjustment.</w:t>
      </w:r>
    </w:p>
    <w:p w14:paraId="5ADD3F5F" w14:textId="77777777" w:rsidR="00BC3C05" w:rsidRPr="00BC3C05" w:rsidRDefault="00BC3C05" w:rsidP="00BC3C05">
      <w:pPr>
        <w:numPr>
          <w:ilvl w:val="0"/>
          <w:numId w:val="8"/>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Croatian accession design in Clifton-Sprigg et al. (2025) provides related quasi-experimental evidence from an earlier policy change.</w:t>
      </w:r>
    </w:p>
    <w:p w14:paraId="74D503C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We compare the baseline with four alternatives: very poor countries (14 controls), very rich countries (12 controls), OECD countries (14 controls), and Ireland alone. The three multi-country groups are detailed in Table 4.</w:t>
      </w:r>
    </w:p>
    <w:p w14:paraId="2AFE5164"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Table 4.</w:t>
      </w:r>
      <w:r w:rsidRPr="00BC3C05">
        <w:rPr>
          <w:rFonts w:ascii="Times New Roman" w:hAnsi="Times New Roman" w:cs="Times New Roman"/>
          <w:kern w:val="2"/>
          <w:sz w:val="24"/>
          <w:szCs w:val="24"/>
          <w14:ligatures w14:val="standardContextual"/>
        </w:rPr>
        <w:t xml:space="preserve"> Sample compositions for the alternative control groups</w:t>
      </w:r>
    </w:p>
    <w:tbl>
      <w:tblPr>
        <w:tblW w:w="4792" w:type="pct"/>
        <w:tblLook w:val="0020" w:firstRow="1" w:lastRow="0" w:firstColumn="0" w:lastColumn="0" w:noHBand="0" w:noVBand="0"/>
      </w:tblPr>
      <w:tblGrid>
        <w:gridCol w:w="758"/>
        <w:gridCol w:w="3071"/>
        <w:gridCol w:w="2692"/>
        <w:gridCol w:w="2130"/>
      </w:tblGrid>
      <w:tr w:rsidR="00BC3C05" w:rsidRPr="00BC3C05" w14:paraId="3DDFAEE0" w14:textId="77777777" w:rsidTr="006660FA">
        <w:trPr>
          <w:tblHeader/>
        </w:trPr>
        <w:tc>
          <w:tcPr>
            <w:tcW w:w="0" w:type="auto"/>
          </w:tcPr>
          <w:p w14:paraId="7985456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c>
          <w:tcPr>
            <w:tcW w:w="1775" w:type="pct"/>
          </w:tcPr>
          <w:p w14:paraId="08C4D66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Poor</w:t>
            </w:r>
          </w:p>
        </w:tc>
        <w:tc>
          <w:tcPr>
            <w:tcW w:w="1556" w:type="pct"/>
          </w:tcPr>
          <w:p w14:paraId="0262715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Rich</w:t>
            </w:r>
          </w:p>
        </w:tc>
        <w:tc>
          <w:tcPr>
            <w:tcW w:w="1231" w:type="pct"/>
          </w:tcPr>
          <w:p w14:paraId="15A3898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OECD</w:t>
            </w:r>
          </w:p>
        </w:tc>
      </w:tr>
    </w:tbl>
    <w:tbl>
      <w:tblPr>
        <w:tblStyle w:val="Style1"/>
        <w:tblW w:w="4792" w:type="pct"/>
        <w:tblLook w:val="0020" w:firstRow="1" w:lastRow="0" w:firstColumn="0" w:lastColumn="0" w:noHBand="0" w:noVBand="0"/>
      </w:tblPr>
      <w:tblGrid>
        <w:gridCol w:w="1648"/>
        <w:gridCol w:w="2089"/>
        <w:gridCol w:w="2824"/>
        <w:gridCol w:w="2061"/>
      </w:tblGrid>
      <w:tr w:rsidR="00BC3C05" w:rsidRPr="00BC3C05" w14:paraId="36930313" w14:textId="77777777" w:rsidTr="004A46E4">
        <w:trPr>
          <w:cnfStyle w:val="100000000000" w:firstRow="1" w:lastRow="0" w:firstColumn="0" w:lastColumn="0" w:oddVBand="0" w:evenVBand="0" w:oddHBand="0" w:evenHBand="0" w:firstRowFirstColumn="0" w:firstRowLastColumn="0" w:lastRowFirstColumn="0" w:lastRowLastColumn="0"/>
        </w:trPr>
        <w:tc>
          <w:tcPr>
            <w:tcW w:w="0" w:type="auto"/>
          </w:tcPr>
          <w:p w14:paraId="4944A602"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lastRenderedPageBreak/>
              <w:t>Control-group composition</w:t>
            </w:r>
          </w:p>
        </w:tc>
        <w:tc>
          <w:tcPr>
            <w:tcW w:w="0" w:type="auto"/>
          </w:tcPr>
          <w:p w14:paraId="69A1846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Pakistan, Nepal, Bangladesh, Ethiopia, Uganda,</w:t>
            </w:r>
          </w:p>
          <w:p w14:paraId="7460350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Tanzania, United Republic of, Rwanda, Mozambique, Malawi,</w:t>
            </w:r>
          </w:p>
          <w:p w14:paraId="29E066A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Sierra Leone, Ghana, Nigeria, Kenya, Zimbabwe</w:t>
            </w:r>
          </w:p>
        </w:tc>
        <w:tc>
          <w:tcPr>
            <w:tcW w:w="0" w:type="auto"/>
          </w:tcPr>
          <w:p w14:paraId="20CEE538"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United States of America, Canada, Australia, Norway, Switzerland, Singapore, Qatar, United Arab Emirates, Kuwait, Saudi Arabia, Israel, Japan</w:t>
            </w:r>
          </w:p>
        </w:tc>
        <w:tc>
          <w:tcPr>
            <w:tcW w:w="0" w:type="auto"/>
          </w:tcPr>
          <w:p w14:paraId="3C3C52E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Australia, Canada, Chile, Colombia, Iceland, Israel, Japan,</w:t>
            </w:r>
          </w:p>
          <w:p w14:paraId="7146808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Korea, Republic of, Mexico, New Zealand, Norway, Switzerland,</w:t>
            </w:r>
          </w:p>
          <w:p w14:paraId="38BC9AF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Turkey, United States of America</w:t>
            </w:r>
          </w:p>
        </w:tc>
      </w:tr>
    </w:tbl>
    <w:tbl>
      <w:tblPr>
        <w:tblW w:w="4792" w:type="pct"/>
        <w:tblLook w:val="0020" w:firstRow="1" w:lastRow="0" w:firstColumn="0" w:lastColumn="0" w:noHBand="0" w:noVBand="0"/>
      </w:tblPr>
      <w:tblGrid>
        <w:gridCol w:w="6204"/>
        <w:gridCol w:w="2447"/>
      </w:tblGrid>
      <w:tr w:rsidR="00BC3C05" w:rsidRPr="00BC3C05" w14:paraId="1DEC199C" w14:textId="77777777" w:rsidTr="004A46E4">
        <w:tc>
          <w:tcPr>
            <w:tcW w:w="0" w:type="auto"/>
          </w:tcPr>
          <w:p w14:paraId="40E9D2F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EU group</w:t>
            </w:r>
          </w:p>
        </w:tc>
        <w:tc>
          <w:tcPr>
            <w:tcW w:w="0" w:type="auto"/>
            <w:vAlign w:val="center"/>
          </w:tcPr>
          <w:p w14:paraId="654EDFC9"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26</w:t>
            </w:r>
          </w:p>
        </w:tc>
      </w:tr>
    </w:tbl>
    <w:tbl>
      <w:tblPr>
        <w:tblStyle w:val="Style1"/>
        <w:tblW w:w="4792" w:type="pct"/>
        <w:tblLook w:val="0020" w:firstRow="1" w:lastRow="0" w:firstColumn="0" w:lastColumn="0" w:noHBand="0" w:noVBand="0"/>
      </w:tblPr>
      <w:tblGrid>
        <w:gridCol w:w="3956"/>
        <w:gridCol w:w="1523"/>
        <w:gridCol w:w="1523"/>
        <w:gridCol w:w="1620"/>
      </w:tblGrid>
      <w:tr w:rsidR="00BC3C05" w:rsidRPr="00BC3C05" w14:paraId="2FE77189" w14:textId="77777777" w:rsidTr="004A46E4">
        <w:trPr>
          <w:cnfStyle w:val="100000000000" w:firstRow="1" w:lastRow="0" w:firstColumn="0" w:lastColumn="0" w:oddVBand="0" w:evenVBand="0" w:oddHBand="0" w:evenHBand="0" w:firstRowFirstColumn="0" w:firstRowLastColumn="0" w:lastRowFirstColumn="0" w:lastRowLastColumn="0"/>
        </w:trPr>
        <w:tc>
          <w:tcPr>
            <w:tcW w:w="0" w:type="auto"/>
          </w:tcPr>
          <w:p w14:paraId="059F254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Observations</w:t>
            </w:r>
          </w:p>
        </w:tc>
        <w:tc>
          <w:tcPr>
            <w:tcW w:w="0" w:type="auto"/>
          </w:tcPr>
          <w:p w14:paraId="4564EF3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400</w:t>
            </w:r>
          </w:p>
        </w:tc>
        <w:tc>
          <w:tcPr>
            <w:tcW w:w="0" w:type="auto"/>
          </w:tcPr>
          <w:p w14:paraId="4C39676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380</w:t>
            </w:r>
          </w:p>
        </w:tc>
        <w:tc>
          <w:tcPr>
            <w:tcW w:w="0" w:type="auto"/>
          </w:tcPr>
          <w:p w14:paraId="51406EC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400</w:t>
            </w:r>
          </w:p>
        </w:tc>
      </w:tr>
    </w:tbl>
    <w:p w14:paraId="5CFB5E0C"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Note: Detailed descriptive statistics for these groups are reported in the supplementary materials.</w:t>
      </w:r>
    </w:p>
    <w:p w14:paraId="3253E4E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5782278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w:t>
      </w:r>
      <w:proofErr w:type="spellStart"/>
      <w:r w:rsidRPr="00BC3C05">
        <w:rPr>
          <w:rFonts w:ascii="Times New Roman" w:hAnsi="Times New Roman" w:cs="Times New Roman"/>
          <w:kern w:val="2"/>
          <w:sz w:val="24"/>
          <w:szCs w:val="24"/>
          <w14:ligatures w14:val="standardContextual"/>
        </w:rPr>
        <w:t>DiD</w:t>
      </w:r>
      <w:proofErr w:type="spellEnd"/>
      <w:r w:rsidRPr="00BC3C05">
        <w:rPr>
          <w:rFonts w:ascii="Times New Roman" w:hAnsi="Times New Roman" w:cs="Times New Roman"/>
          <w:kern w:val="2"/>
          <w:sz w:val="24"/>
          <w:szCs w:val="24"/>
          <w14:ligatures w14:val="standardContextual"/>
        </w:rPr>
        <w:t xml:space="preserve"> coefficient. Second, the Ireland-only specification is also introduced specifically for that purpose, since Irish citizens kept Common Travel Area rights and did not rely on the Route as other international students did, which limits control-group contamination.</w:t>
      </w:r>
    </w:p>
    <w:p w14:paraId="373307D6"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Because this design does not build the control group by constrained optimization, we weight the counterfactual as:</w:t>
      </w:r>
    </w:p>
    <w:p w14:paraId="3BC07382" w14:textId="77777777" w:rsidR="00BC3C05" w:rsidRPr="00BC3C05" w:rsidRDefault="00000000" w:rsidP="00BC3C05">
      <w:pPr>
        <w:spacing w:after="0" w:line="360" w:lineRule="auto"/>
        <w:rPr>
          <w:rFonts w:ascii="Times New Roman" w:hAnsi="Times New Roman" w:cs="Times New Roman"/>
          <w:kern w:val="2"/>
          <w:sz w:val="24"/>
          <w:szCs w:val="24"/>
          <w14:ligatures w14:val="standardContextual"/>
        </w:rPr>
      </w:pPr>
      <m:oMathPara>
        <m:oMathParaPr>
          <m:jc m:val="center"/>
        </m:oMathParaP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w</m:t>
              </m:r>
            </m:e>
            <m:sub>
              <m:r>
                <w:rPr>
                  <w:rFonts w:ascii="Cambria Math" w:hAnsi="Cambria Math" w:cs="Times New Roman"/>
                  <w:kern w:val="2"/>
                  <w:sz w:val="24"/>
                  <w:szCs w:val="24"/>
                  <w14:ligatures w14:val="standardContextual"/>
                </w:rPr>
                <m:t>j</m:t>
              </m:r>
            </m:sub>
          </m:sSub>
          <m:r>
            <m:rPr>
              <m:sty m:val="p"/>
            </m:rPr>
            <w:rPr>
              <w:rFonts w:ascii="Cambria Math" w:hAnsi="Cambria Math" w:cs="Times New Roman"/>
              <w:kern w:val="2"/>
              <w:sz w:val="24"/>
              <w:szCs w:val="24"/>
              <w14:ligatures w14:val="standardContextual"/>
            </w:rPr>
            <m:t>=</m:t>
          </m:r>
          <m:f>
            <m:fPr>
              <m:ctrlPr>
                <w:rPr>
                  <w:rFonts w:ascii="Cambria Math" w:hAnsi="Cambria Math" w:cs="Times New Roman"/>
                  <w:kern w:val="2"/>
                  <w:sz w:val="24"/>
                  <w:szCs w:val="24"/>
                  <w14:ligatures w14:val="standardContextual"/>
                </w:rPr>
              </m:ctrlPr>
            </m:fPr>
            <m:num>
              <m:f>
                <m:fPr>
                  <m:ctrlPr>
                    <w:rPr>
                      <w:rFonts w:ascii="Cambria Math" w:hAnsi="Cambria Math" w:cs="Times New Roman"/>
                      <w:kern w:val="2"/>
                      <w:sz w:val="24"/>
                      <w:szCs w:val="24"/>
                      <w14:ligatures w14:val="standardContextual"/>
                    </w:rPr>
                  </m:ctrlPr>
                </m:fPr>
                <m:num>
                  <m:r>
                    <w:rPr>
                      <w:rFonts w:ascii="Cambria Math" w:hAnsi="Cambria Math" w:cs="Times New Roman"/>
                      <w:kern w:val="2"/>
                      <w:sz w:val="24"/>
                      <w:szCs w:val="24"/>
                      <w14:ligatures w14:val="standardContextual"/>
                    </w:rPr>
                    <m:t>1</m:t>
                  </m:r>
                </m:num>
                <m:den>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d</m:t>
                      </m:r>
                    </m:e>
                    <m:sub>
                      <m:r>
                        <w:rPr>
                          <w:rFonts w:ascii="Cambria Math" w:hAnsi="Cambria Math" w:cs="Times New Roman"/>
                          <w:kern w:val="2"/>
                          <w:sz w:val="24"/>
                          <w:szCs w:val="24"/>
                          <w14:ligatures w14:val="standardContextual"/>
                        </w:rPr>
                        <m:t>j</m:t>
                      </m:r>
                    </m:sub>
                  </m:sSub>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0.001</m:t>
                  </m:r>
                </m:den>
              </m:f>
            </m:num>
            <m:den>
              <m:f>
                <m:fPr>
                  <m:ctrlPr>
                    <w:rPr>
                      <w:rFonts w:ascii="Cambria Math" w:hAnsi="Cambria Math" w:cs="Times New Roman"/>
                      <w:kern w:val="2"/>
                      <w:sz w:val="24"/>
                      <w:szCs w:val="24"/>
                      <w14:ligatures w14:val="standardContextual"/>
                    </w:rPr>
                  </m:ctrlPr>
                </m:fPr>
                <m:num>
                  <m:r>
                    <w:rPr>
                      <w:rFonts w:ascii="Cambria Math" w:hAnsi="Cambria Math" w:cs="Times New Roman"/>
                      <w:kern w:val="2"/>
                      <w:sz w:val="24"/>
                      <w:szCs w:val="24"/>
                      <w14:ligatures w14:val="standardContextual"/>
                    </w:rPr>
                    <m:t>1</m:t>
                  </m:r>
                </m:num>
                <m:den>
                  <m:r>
                    <w:rPr>
                      <w:rFonts w:ascii="Cambria Math" w:hAnsi="Cambria Math" w:cs="Times New Roman"/>
                      <w:kern w:val="2"/>
                      <w:sz w:val="24"/>
                      <w:szCs w:val="24"/>
                      <w14:ligatures w14:val="standardContextual"/>
                    </w:rPr>
                    <m:t>J</m:t>
                  </m:r>
                </m:den>
              </m:f>
              <m:nary>
                <m:naryPr>
                  <m:chr m:val="∑"/>
                  <m:limLoc m:val="undOvr"/>
                  <m:ctrlPr>
                    <w:rPr>
                      <w:rFonts w:ascii="Cambria Math" w:hAnsi="Cambria Math" w:cs="Times New Roman"/>
                      <w:kern w:val="2"/>
                      <w:sz w:val="24"/>
                      <w:szCs w:val="24"/>
                      <w14:ligatures w14:val="standardContextual"/>
                    </w:rPr>
                  </m:ctrlPr>
                </m:naryPr>
                <m:sub>
                  <m:r>
                    <w:rPr>
                      <w:rFonts w:ascii="Cambria Math" w:hAnsi="Cambria Math" w:cs="Times New Roman"/>
                      <w:kern w:val="2"/>
                      <w:sz w:val="24"/>
                      <w:szCs w:val="24"/>
                      <w14:ligatures w14:val="standardContextual"/>
                    </w:rPr>
                    <m:t>k</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1</m:t>
                  </m:r>
                </m:sub>
                <m:sup>
                  <m:r>
                    <w:rPr>
                      <w:rFonts w:ascii="Cambria Math" w:hAnsi="Cambria Math" w:cs="Times New Roman"/>
                      <w:kern w:val="2"/>
                      <w:sz w:val="24"/>
                      <w:szCs w:val="24"/>
                      <w14:ligatures w14:val="standardContextual"/>
                    </w:rPr>
                    <m:t>J</m:t>
                  </m:r>
                </m:sup>
                <m:e>
                  <m:f>
                    <m:fPr>
                      <m:ctrlPr>
                        <w:rPr>
                          <w:rFonts w:ascii="Cambria Math" w:hAnsi="Cambria Math" w:cs="Times New Roman"/>
                          <w:kern w:val="2"/>
                          <w:sz w:val="24"/>
                          <w:szCs w:val="24"/>
                          <w14:ligatures w14:val="standardContextual"/>
                        </w:rPr>
                      </m:ctrlPr>
                    </m:fPr>
                    <m:num>
                      <m:r>
                        <w:rPr>
                          <w:rFonts w:ascii="Cambria Math" w:hAnsi="Cambria Math" w:cs="Times New Roman"/>
                          <w:kern w:val="2"/>
                          <w:sz w:val="24"/>
                          <w:szCs w:val="24"/>
                          <w14:ligatures w14:val="standardContextual"/>
                        </w:rPr>
                        <m:t>1</m:t>
                      </m:r>
                    </m:num>
                    <m:den>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d</m:t>
                          </m:r>
                        </m:e>
                        <m:sub>
                          <m:r>
                            <w:rPr>
                              <w:rFonts w:ascii="Cambria Math" w:hAnsi="Cambria Math" w:cs="Times New Roman"/>
                              <w:kern w:val="2"/>
                              <w:sz w:val="24"/>
                              <w:szCs w:val="24"/>
                              <w14:ligatures w14:val="standardContextual"/>
                            </w:rPr>
                            <m:t>k</m:t>
                          </m:r>
                        </m:sub>
                      </m:sSub>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0.001</m:t>
                      </m:r>
                    </m:den>
                  </m:f>
                </m:e>
              </m:nary>
            </m:den>
          </m:f>
        </m:oMath>
      </m:oMathPara>
    </w:p>
    <w:p w14:paraId="611C291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where </w:t>
      </w: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d</m:t>
            </m:r>
          </m:e>
          <m:sub>
            <m:r>
              <w:rPr>
                <w:rFonts w:ascii="Cambria Math" w:hAnsi="Cambria Math" w:cs="Times New Roman"/>
                <w:kern w:val="2"/>
                <w:sz w:val="24"/>
                <w:szCs w:val="24"/>
                <w14:ligatures w14:val="standardContextual"/>
              </w:rPr>
              <m:t>j</m:t>
            </m:r>
          </m:sub>
        </m:sSub>
        <m:r>
          <m:rPr>
            <m:sty m:val="p"/>
          </m:rPr>
          <w:rPr>
            <w:rFonts w:ascii="Cambria Math" w:hAnsi="Cambria Math" w:cs="Times New Roman"/>
            <w:kern w:val="2"/>
            <w:sz w:val="24"/>
            <w:szCs w:val="24"/>
            <w14:ligatures w14:val="standardContextual"/>
          </w:rPr>
          <m:t>=</m:t>
        </m:r>
        <m:rad>
          <m:radPr>
            <m:degHide m:val="1"/>
            <m:ctrlPr>
              <w:rPr>
                <w:rFonts w:ascii="Cambria Math" w:hAnsi="Cambria Math" w:cs="Times New Roman"/>
                <w:kern w:val="2"/>
                <w:sz w:val="24"/>
                <w:szCs w:val="24"/>
                <w14:ligatures w14:val="standardContextual"/>
              </w:rPr>
            </m:ctrlPr>
          </m:radPr>
          <m:deg/>
          <m:e>
            <m:f>
              <m:fPr>
                <m:ctrlPr>
                  <w:rPr>
                    <w:rFonts w:ascii="Cambria Math" w:hAnsi="Cambria Math" w:cs="Times New Roman"/>
                    <w:kern w:val="2"/>
                    <w:sz w:val="24"/>
                    <w:szCs w:val="24"/>
                    <w14:ligatures w14:val="standardContextual"/>
                  </w:rPr>
                </m:ctrlPr>
              </m:fPr>
              <m:num>
                <m:r>
                  <w:rPr>
                    <w:rFonts w:ascii="Cambria Math" w:hAnsi="Cambria Math" w:cs="Times New Roman"/>
                    <w:kern w:val="2"/>
                    <w:sz w:val="24"/>
                    <w:szCs w:val="24"/>
                    <w14:ligatures w14:val="standardContextual"/>
                  </w:rPr>
                  <m:t>1</m:t>
                </m:r>
              </m:num>
              <m:den>
                <m:r>
                  <w:rPr>
                    <w:rFonts w:ascii="Cambria Math" w:hAnsi="Cambria Math" w:cs="Times New Roman"/>
                    <w:kern w:val="2"/>
                    <w:sz w:val="24"/>
                    <w:szCs w:val="24"/>
                    <w14:ligatures w14:val="standardContextual"/>
                  </w:rPr>
                  <m:t>T</m:t>
                </m:r>
              </m:den>
            </m:f>
            <m:sSup>
              <m:sSupPr>
                <m:ctrlPr>
                  <w:rPr>
                    <w:rFonts w:ascii="Cambria Math" w:hAnsi="Cambria Math" w:cs="Times New Roman"/>
                    <w:kern w:val="2"/>
                    <w:sz w:val="24"/>
                    <w:szCs w:val="24"/>
                    <w14:ligatures w14:val="standardContextual"/>
                  </w:rPr>
                </m:ctrlPr>
              </m:sSupPr>
              <m:e>
                <m:nary>
                  <m:naryPr>
                    <m:chr m:val="∑"/>
                    <m:limLoc m:val="undOvr"/>
                    <m:ctrlPr>
                      <w:rPr>
                        <w:rFonts w:ascii="Cambria Math" w:hAnsi="Cambria Math" w:cs="Times New Roman"/>
                        <w:kern w:val="2"/>
                        <w:sz w:val="24"/>
                        <w:szCs w:val="24"/>
                        <w14:ligatures w14:val="standardContextual"/>
                      </w:rPr>
                    </m:ctrlPr>
                  </m:naryPr>
                  <m:sub>
                    <m:r>
                      <w:rPr>
                        <w:rFonts w:ascii="Cambria Math" w:hAnsi="Cambria Math" w:cs="Times New Roman"/>
                        <w:kern w:val="2"/>
                        <w:sz w:val="24"/>
                        <w:szCs w:val="24"/>
                        <w14:ligatures w14:val="standardContextual"/>
                      </w:rPr>
                      <m:t>t</m:t>
                    </m:r>
                    <m:r>
                      <m:rPr>
                        <m:sty m:val="p"/>
                      </m:rPr>
                      <w:rPr>
                        <w:rFonts w:ascii="Cambria Math" w:hAnsi="Cambria Math" w:cs="Times New Roman"/>
                        <w:kern w:val="2"/>
                        <w:sz w:val="24"/>
                        <w:szCs w:val="24"/>
                        <w14:ligatures w14:val="standardContextual"/>
                      </w:rPr>
                      <m:t>&lt;</m:t>
                    </m:r>
                    <m:r>
                      <w:rPr>
                        <w:rFonts w:ascii="Cambria Math" w:hAnsi="Cambria Math" w:cs="Times New Roman"/>
                        <w:kern w:val="2"/>
                        <w:sz w:val="24"/>
                        <w:szCs w:val="24"/>
                        <w14:ligatures w14:val="standardContextual"/>
                      </w:rPr>
                      <m:t>2021</m:t>
                    </m:r>
                  </m:sub>
                  <m:sup>
                    <m:r>
                      <w:rPr>
                        <w:rFonts w:ascii="Cambria Math" w:hAnsi="Cambria Math" w:cs="Times New Roman"/>
                        <w:kern w:val="2"/>
                        <w:sz w:val="24"/>
                        <w:szCs w:val="24"/>
                        <w14:ligatures w14:val="standardContextual"/>
                      </w:rPr>
                      <m:t> </m:t>
                    </m:r>
                  </m:sup>
                  <m:e>
                    <m:d>
                      <m:dPr>
                        <m:ctrlPr>
                          <w:rPr>
                            <w:rFonts w:ascii="Cambria Math" w:hAnsi="Cambria Math" w:cs="Times New Roman"/>
                            <w:kern w:val="2"/>
                            <w:sz w:val="24"/>
                            <w:szCs w:val="24"/>
                            <w14:ligatures w14:val="standardContextual"/>
                          </w:rPr>
                        </m:ctrlPr>
                      </m:dPr>
                      <m:e>
                        <m:r>
                          <m:rPr>
                            <m:sty m:val="p"/>
                          </m:rPr>
                          <w:rPr>
                            <w:rFonts w:ascii="Cambria Math" w:hAnsi="Cambria Math" w:cs="Times New Roman"/>
                            <w:kern w:val="2"/>
                            <w:sz w:val="24"/>
                            <w:szCs w:val="24"/>
                            <w14:ligatures w14:val="standardContextual"/>
                          </w:rPr>
                          <m:t>log</m:t>
                        </m:r>
                        <m:d>
                          <m:dPr>
                            <m:ctrlPr>
                              <w:rPr>
                                <w:rFonts w:ascii="Cambria Math" w:hAnsi="Cambria Math" w:cs="Times New Roman"/>
                                <w:kern w:val="2"/>
                                <w:sz w:val="24"/>
                                <w:szCs w:val="24"/>
                                <w14:ligatures w14:val="standardContextual"/>
                              </w:rPr>
                            </m:ctrlPr>
                          </m:dPr>
                          <m:e>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A</m:t>
                                </m:r>
                              </m:e>
                              <m:sub>
                                <m:r>
                                  <w:rPr>
                                    <w:rFonts w:ascii="Cambria Math" w:hAnsi="Cambria Math" w:cs="Times New Roman"/>
                                    <w:kern w:val="2"/>
                                    <w:sz w:val="24"/>
                                    <w:szCs w:val="24"/>
                                    <w14:ligatures w14:val="standardContextual"/>
                                  </w:rPr>
                                  <m:t>jt</m:t>
                                </m:r>
                              </m:sub>
                            </m:sSub>
                          </m:e>
                        </m:d>
                        <m:r>
                          <m:rPr>
                            <m:sty m:val="p"/>
                          </m:rPr>
                          <w:rPr>
                            <w:rFonts w:ascii="Cambria Math" w:hAnsi="Cambria Math" w:cs="Times New Roman"/>
                            <w:kern w:val="2"/>
                            <w:sz w:val="24"/>
                            <w:szCs w:val="24"/>
                            <w14:ligatures w14:val="standardContextual"/>
                          </w:rPr>
                          <m:t>-</m:t>
                        </m:r>
                        <m:bar>
                          <m:barPr>
                            <m:pos m:val="top"/>
                            <m:ctrlPr>
                              <w:rPr>
                                <w:rFonts w:ascii="Cambria Math" w:hAnsi="Cambria Math" w:cs="Times New Roman"/>
                                <w:kern w:val="2"/>
                                <w:sz w:val="24"/>
                                <w:szCs w:val="24"/>
                                <w14:ligatures w14:val="standardContextual"/>
                              </w:rPr>
                            </m:ctrlPr>
                          </m:barPr>
                          <m:e>
                            <m:r>
                              <m:rPr>
                                <m:sty m:val="p"/>
                              </m:rPr>
                              <w:rPr>
                                <w:rFonts w:ascii="Cambria Math" w:hAnsi="Cambria Math" w:cs="Times New Roman"/>
                                <w:kern w:val="2"/>
                                <w:sz w:val="24"/>
                                <w:szCs w:val="24"/>
                                <w14:ligatures w14:val="standardContextual"/>
                              </w:rPr>
                              <m:t>log</m:t>
                            </m:r>
                            <m:d>
                              <m:dPr>
                                <m:ctrlPr>
                                  <w:rPr>
                                    <w:rFonts w:ascii="Cambria Math" w:hAnsi="Cambria Math" w:cs="Times New Roman"/>
                                    <w:kern w:val="2"/>
                                    <w:sz w:val="24"/>
                                    <w:szCs w:val="24"/>
                                    <w14:ligatures w14:val="standardContextual"/>
                                  </w:rPr>
                                </m:ctrlPr>
                              </m:dPr>
                              <m:e>
                                <m:sSubSup>
                                  <m:sSubSupPr>
                                    <m:ctrlPr>
                                      <w:rPr>
                                        <w:rFonts w:ascii="Cambria Math" w:hAnsi="Cambria Math" w:cs="Times New Roman"/>
                                        <w:kern w:val="2"/>
                                        <w:sz w:val="24"/>
                                        <w:szCs w:val="24"/>
                                        <w14:ligatures w14:val="standardContextual"/>
                                      </w:rPr>
                                    </m:ctrlPr>
                                  </m:sSubSupPr>
                                  <m:e>
                                    <m:r>
                                      <w:rPr>
                                        <w:rFonts w:ascii="Cambria Math" w:hAnsi="Cambria Math" w:cs="Times New Roman"/>
                                        <w:kern w:val="2"/>
                                        <w:sz w:val="24"/>
                                        <w:szCs w:val="24"/>
                                        <w14:ligatures w14:val="standardContextual"/>
                                      </w:rPr>
                                      <m:t>A</m:t>
                                    </m:r>
                                  </m:e>
                                  <m:sub>
                                    <m:r>
                                      <w:rPr>
                                        <w:rFonts w:ascii="Cambria Math" w:hAnsi="Cambria Math" w:cs="Times New Roman"/>
                                        <w:kern w:val="2"/>
                                        <w:sz w:val="24"/>
                                        <w:szCs w:val="24"/>
                                        <w14:ligatures w14:val="standardContextual"/>
                                      </w:rPr>
                                      <m:t>t</m:t>
                                    </m:r>
                                  </m:sub>
                                  <m:sup>
                                    <m:r>
                                      <w:rPr>
                                        <w:rFonts w:ascii="Cambria Math" w:hAnsi="Cambria Math" w:cs="Times New Roman"/>
                                        <w:kern w:val="2"/>
                                        <w:sz w:val="24"/>
                                        <w:szCs w:val="24"/>
                                        <w14:ligatures w14:val="standardContextual"/>
                                      </w:rPr>
                                      <m:t>EU</m:t>
                                    </m:r>
                                  </m:sup>
                                </m:sSubSup>
                              </m:e>
                            </m:d>
                          </m:e>
                        </m:bar>
                      </m:e>
                    </m:d>
                  </m:e>
                </m:nary>
              </m:e>
              <m:sup>
                <m:r>
                  <w:rPr>
                    <w:rFonts w:ascii="Cambria Math" w:hAnsi="Cambria Math" w:cs="Times New Roman"/>
                    <w:kern w:val="2"/>
                    <w:sz w:val="24"/>
                    <w:szCs w:val="24"/>
                    <w14:ligatures w14:val="standardContextual"/>
                  </w:rPr>
                  <m:t>2</m:t>
                </m:r>
              </m:sup>
            </m:sSup>
          </m:e>
        </m:rad>
      </m:oMath>
      <w:r w:rsidRPr="00BC3C05">
        <w:rPr>
          <w:rFonts w:ascii="Times New Roman" w:hAnsi="Times New Roman" w:cs="Times New Roman"/>
          <w:kern w:val="2"/>
          <w:sz w:val="24"/>
          <w:szCs w:val="24"/>
          <w14:ligatures w14:val="standardContextual"/>
        </w:rPr>
        <w:t>. The results are presented in Figures 7 and 8 for the ATT and the country-specific responses, respectively.</w:t>
      </w:r>
    </w:p>
    <w:p w14:paraId="1061B35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0F2A1C33" w14:textId="77777777" w:rsidR="00BC3C05" w:rsidRPr="00BC3C05" w:rsidRDefault="00BC3C05" w:rsidP="00BC3C05">
      <w:pPr>
        <w:keepNext/>
        <w:spacing w:after="0" w:line="240" w:lineRule="auto"/>
        <w:rPr>
          <w:rFonts w:ascii="Times New Roman" w:hAnsi="Times New Roman" w:cs="Times New Roman"/>
          <w:kern w:val="2"/>
          <w14:ligatures w14:val="standardContextual"/>
        </w:rPr>
      </w:pPr>
      <w:r w:rsidRPr="00BC3C05">
        <w:rPr>
          <w:rFonts w:ascii="Times New Roman" w:hAnsi="Times New Roman" w:cs="Times New Roman"/>
          <w:b/>
          <w:bCs/>
          <w:kern w:val="2"/>
          <w14:ligatures w14:val="standardContextual"/>
        </w:rPr>
        <w:t>Figure 7.</w:t>
      </w:r>
      <w:r w:rsidRPr="00BC3C05">
        <w:rPr>
          <w:rFonts w:ascii="Times New Roman" w:hAnsi="Times New Roman" w:cs="Times New Roman"/>
          <w:kern w:val="2"/>
          <w14:ligatures w14:val="standardContextual"/>
        </w:rPr>
        <w:t xml:space="preserve"> Robustness of the Brexit effect across alternative control-group definitions (pooled </w:t>
      </w:r>
      <w:proofErr w:type="spellStart"/>
      <w:r w:rsidRPr="00BC3C05">
        <w:rPr>
          <w:rFonts w:ascii="Times New Roman" w:hAnsi="Times New Roman" w:cs="Times New Roman"/>
          <w:kern w:val="2"/>
          <w14:ligatures w14:val="standardContextual"/>
        </w:rPr>
        <w:t>DiD</w:t>
      </w:r>
      <w:proofErr w:type="spellEnd"/>
      <w:r w:rsidRPr="00BC3C05">
        <w:rPr>
          <w:rFonts w:ascii="Times New Roman" w:hAnsi="Times New Roman" w:cs="Times New Roman"/>
          <w:kern w:val="2"/>
          <w14:ligatures w14:val="standardContextual"/>
        </w:rPr>
        <w:t xml:space="preserve"> estimates).</w:t>
      </w:r>
    </w:p>
    <w:p w14:paraId="5D889336" w14:textId="77777777" w:rsidR="00BC3C05" w:rsidRPr="00BC3C05" w:rsidRDefault="00BC3C05" w:rsidP="00BC3C05">
      <w:pPr>
        <w:spacing w:after="0" w:line="24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406805F0" wp14:editId="71B88D58">
            <wp:extent cx="5727700" cy="4091214"/>
            <wp:effectExtent l="0" t="0" r="0" b="0"/>
            <wp:docPr id="43" name="Picture" descr="Pooled Brexit estimates and confidence intervals across alternative donor-pool definitions." title="Pooled Brexit estimates and confidence intervals across alternative donor-pool definitions"/>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18"/>
                    <a:stretch>
                      <a:fillRect/>
                    </a:stretch>
                  </pic:blipFill>
                  <pic:spPr bwMode="auto">
                    <a:xfrm>
                      <a:off x="0" y="0"/>
                      <a:ext cx="5727700" cy="4091214"/>
                    </a:xfrm>
                    <a:prstGeom prst="rect">
                      <a:avLst/>
                    </a:prstGeom>
                    <a:noFill/>
                    <a:ln w="9525">
                      <a:noFill/>
                      <a:headEnd/>
                      <a:tailEnd/>
                    </a:ln>
                  </pic:spPr>
                </pic:pic>
              </a:graphicData>
            </a:graphic>
          </wp:inline>
        </w:drawing>
      </w:r>
    </w:p>
    <w:p w14:paraId="5B8471C8" w14:textId="77777777" w:rsidR="00BC3C05" w:rsidRPr="00BC3C05" w:rsidRDefault="00BC3C05" w:rsidP="00BC3C05">
      <w:pPr>
        <w:spacing w:after="0" w:line="24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t>Note:</w:t>
      </w:r>
      <w:r w:rsidRPr="00BC3C05">
        <w:rPr>
          <w:rFonts w:ascii="Times New Roman" w:hAnsi="Times New Roman" w:cs="Times New Roman"/>
          <w:i/>
          <w:iCs/>
          <w:kern w:val="2"/>
          <w14:ligatures w14:val="standardContextual"/>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030DE678" w14:textId="77777777" w:rsidR="00BC3C05" w:rsidRPr="00BC3C05" w:rsidRDefault="00BC3C05" w:rsidP="00BC3C05">
      <w:pPr>
        <w:keepNext/>
        <w:spacing w:after="0" w:line="360" w:lineRule="auto"/>
        <w:rPr>
          <w:rFonts w:ascii="Times New Roman" w:hAnsi="Times New Roman" w:cs="Times New Roman"/>
          <w:i/>
          <w:iCs/>
          <w:kern w:val="2"/>
          <w14:ligatures w14:val="standardContextual"/>
        </w:rPr>
      </w:pPr>
      <w:r w:rsidRPr="00BC3C05">
        <w:rPr>
          <w:rFonts w:ascii="Times New Roman" w:hAnsi="Times New Roman" w:cs="Times New Roman"/>
          <w:b/>
          <w:bCs/>
          <w:i/>
          <w:iCs/>
          <w:kern w:val="2"/>
          <w14:ligatures w14:val="standardContextual"/>
        </w:rPr>
        <w:lastRenderedPageBreak/>
        <w:t>Figure 8.</w:t>
      </w:r>
      <w:r w:rsidRPr="00BC3C05">
        <w:rPr>
          <w:rFonts w:ascii="Times New Roman" w:hAnsi="Times New Roman" w:cs="Times New Roman"/>
          <w:i/>
          <w:iCs/>
          <w:kern w:val="2"/>
          <w14:ligatures w14:val="standardContextual"/>
        </w:rPr>
        <w:t xml:space="preserve"> Saturated difference-in-differences robustness across control-group specifications.</w:t>
      </w:r>
    </w:p>
    <w:p w14:paraId="474F30C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1EE22584" wp14:editId="64C60959">
            <wp:extent cx="5727700" cy="4091214"/>
            <wp:effectExtent l="0" t="0" r="0" b="0"/>
            <wp:docPr id="46" name="Picture" descr="Country-specific treatment trajectories across alternative donor-pool definitions." title="Country-specific treatment trajectories across alternative donor-pool definitions"/>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19"/>
                    <a:stretch>
                      <a:fillRect/>
                    </a:stretch>
                  </pic:blipFill>
                  <pic:spPr bwMode="auto">
                    <a:xfrm>
                      <a:off x="0" y="0"/>
                      <a:ext cx="5727700" cy="4091214"/>
                    </a:xfrm>
                    <a:prstGeom prst="rect">
                      <a:avLst/>
                    </a:prstGeom>
                    <a:noFill/>
                    <a:ln w="9525">
                      <a:noFill/>
                      <a:headEnd/>
                      <a:tailEnd/>
                    </a:ln>
                  </pic:spPr>
                </pic:pic>
              </a:graphicData>
            </a:graphic>
          </wp:inline>
        </w:drawing>
      </w:r>
    </w:p>
    <w:p w14:paraId="440F426C" w14:textId="77777777" w:rsidR="00BC3C05" w:rsidRPr="00BC3C05" w:rsidRDefault="00BC3C05" w:rsidP="00BC3C05">
      <w:pPr>
        <w:spacing w:after="0" w:line="240" w:lineRule="auto"/>
        <w:rPr>
          <w:rFonts w:ascii="Times New Roman" w:hAnsi="Times New Roman" w:cs="Times New Roman"/>
          <w:kern w:val="2"/>
          <w14:ligatures w14:val="standardContextual"/>
        </w:rPr>
      </w:pPr>
      <w:r w:rsidRPr="00BC3C05">
        <w:rPr>
          <w:rFonts w:ascii="Times New Roman" w:hAnsi="Times New Roman" w:cs="Times New Roman"/>
          <w:b/>
          <w:bCs/>
          <w:kern w:val="2"/>
          <w14:ligatures w14:val="standardContextual"/>
        </w:rPr>
        <w:t>Note:</w:t>
      </w:r>
      <w:r w:rsidRPr="00BC3C05">
        <w:rPr>
          <w:rFonts w:ascii="Times New Roman" w:hAnsi="Times New Roman" w:cs="Times New Roman"/>
          <w:kern w:val="2"/>
          <w14:ligatures w14:val="standardContextual"/>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18740AF2" w14:textId="77777777" w:rsidR="00BC3C05" w:rsidRPr="00BC3C05" w:rsidRDefault="00BC3C05" w:rsidP="00BC3C05">
      <w:pPr>
        <w:spacing w:after="0" w:line="240" w:lineRule="auto"/>
        <w:rPr>
          <w:rFonts w:ascii="Times New Roman" w:hAnsi="Times New Roman" w:cs="Times New Roman"/>
          <w:kern w:val="2"/>
          <w14:ligatures w14:val="standardContextual"/>
        </w:rPr>
      </w:pPr>
    </w:p>
    <w:p w14:paraId="36D493FF"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Figures 7 and 8 show that the estimated EU × Post coefficient remains large and negative across the baseline, OECD, high-income, low-income, and Ireland comparisons. Figure 8, demonstrates that the poor-country control group generates the most negative estimates. This is informative because it shows that the decline is not a generic post-pandemic fall in applicant numbers from low-income origins. If that were the mechanism, low-income non-EU countries should absorb much of the EU decline and push the coefficient toward zero. </w:t>
      </w:r>
    </w:p>
    <w:p w14:paraId="143E6C50"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 Irish case also survives as a robustness check against the Graduate route visa in 2021 both in figure 8 and 7. If the result were driven by common shocks to nearby or culturally connected markets or the Graduate route visa, the comparison with Ireland should substantially weaken the estimate. It does not. The estimate remains close to the other robustness results, reinforcing the interpretation that the post-2021 break reflects the EU-specific loss of Home Fee status and loan access. Figure 8 also strengthens the robustness of the </w:t>
      </w:r>
      <w:proofErr w:type="spellStart"/>
      <w:r w:rsidRPr="00BC3C05">
        <w:rPr>
          <w:rFonts w:ascii="Times New Roman" w:hAnsi="Times New Roman" w:cs="Times New Roman"/>
          <w:kern w:val="2"/>
          <w:sz w:val="24"/>
          <w:szCs w:val="24"/>
          <w14:ligatures w14:val="standardContextual"/>
        </w:rPr>
        <w:t>saturared</w:t>
      </w:r>
      <w:proofErr w:type="spellEnd"/>
      <w:r w:rsidRPr="00BC3C05">
        <w:rPr>
          <w:rFonts w:ascii="Times New Roman" w:hAnsi="Times New Roman" w:cs="Times New Roman"/>
          <w:kern w:val="2"/>
          <w:sz w:val="24"/>
          <w:szCs w:val="24"/>
          <w14:ligatures w14:val="standardContextual"/>
        </w:rPr>
        <w:t xml:space="preserve"> DID results by showing that the ranking of the post-Brexit responses is preserved regardless of the chosen baseline. Another important point is that the weighting of </w:t>
      </w:r>
      <w:r w:rsidRPr="00BC3C05">
        <w:rPr>
          <w:rFonts w:ascii="Times New Roman" w:hAnsi="Times New Roman" w:cs="Times New Roman"/>
          <w:kern w:val="2"/>
          <w:sz w:val="24"/>
          <w:szCs w:val="24"/>
          <w14:ligatures w14:val="standardContextual"/>
        </w:rPr>
        <w:lastRenderedPageBreak/>
        <w:t>the control group appears to affect the final estimates only at the margin.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applicant numbers does not hinge on how the counterfactual is weighted.</w:t>
      </w:r>
    </w:p>
    <w:p w14:paraId="39CE0843" w14:textId="77777777" w:rsidR="00BC3C05" w:rsidRPr="00BC3C05" w:rsidRDefault="00BC3C05" w:rsidP="00BC3C05">
      <w:pPr>
        <w:spacing w:after="0" w:line="360" w:lineRule="auto"/>
        <w:rPr>
          <w:rFonts w:ascii="Times New Roman" w:eastAsiaTheme="minorEastAsia" w:hAnsi="Times New Roman" w:cs="Times New Roman"/>
          <w:kern w:val="2"/>
          <w:sz w:val="24"/>
          <w:szCs w:val="24"/>
          <w14:ligatures w14:val="standardContextual"/>
        </w:rPr>
      </w:pPr>
    </w:p>
    <w:p w14:paraId="5E7A129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0C277C41" w14:textId="77777777" w:rsidR="00BC3C05" w:rsidRPr="00BC3C05" w:rsidRDefault="00BC3C05" w:rsidP="00BC3C05">
      <w:pPr>
        <w:spacing w:after="0" w:line="360" w:lineRule="auto"/>
        <w:rPr>
          <w:rFonts w:ascii="Times New Roman" w:hAnsi="Times New Roman" w:cs="Times New Roman"/>
          <w:i/>
          <w:kern w:val="2"/>
          <w:sz w:val="24"/>
          <w:szCs w:val="24"/>
          <w14:ligatures w14:val="standardContextual"/>
        </w:rPr>
      </w:pPr>
      <w:r w:rsidRPr="00BC3C05">
        <w:rPr>
          <w:rFonts w:ascii="Times New Roman" w:hAnsi="Times New Roman" w:cs="Times New Roman"/>
          <w:b/>
          <w:bCs/>
          <w:i/>
          <w:kern w:val="2"/>
          <w:sz w:val="24"/>
          <w:szCs w:val="24"/>
          <w14:ligatures w14:val="standardContextual"/>
        </w:rPr>
        <w:t>Rambachan-Roth parallel-trends checks and synthetic difference-in-differences comparison</w:t>
      </w:r>
    </w:p>
    <w:p w14:paraId="61D67DD6"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kern w:val="2"/>
          <w:sz w:val="24"/>
          <w:szCs w:val="24"/>
          <w14:ligatures w14:val="standardContextual"/>
        </w:rPr>
        <w:t xml:space="preserve">In response to a further round of peer review we run two additional robustness checks. The first re-examines the parallel-trends assumption behind the event study using the </w:t>
      </w:r>
      <w:proofErr w:type="spellStart"/>
      <w:r w:rsidRPr="00BC3C05">
        <w:rPr>
          <w:rFonts w:ascii="Times New Roman" w:hAnsi="Times New Roman"/>
          <w:kern w:val="2"/>
          <w:sz w:val="24"/>
          <w:szCs w:val="24"/>
          <w14:ligatures w14:val="standardContextual"/>
        </w:rPr>
        <w:t>HonestDiD</w:t>
      </w:r>
      <w:proofErr w:type="spellEnd"/>
      <w:r w:rsidRPr="00BC3C05">
        <w:rPr>
          <w:rFonts w:ascii="Times New Roman" w:hAnsi="Times New Roman"/>
          <w:kern w:val="2"/>
          <w:sz w:val="24"/>
          <w:szCs w:val="24"/>
          <w14:ligatures w14:val="standardContextual"/>
        </w:rPr>
        <w:t xml:space="preserve"> implementation of the sensitivity analysis of Rambachan and Roth (2023), which replaces the binary test of whether pre-trends are flat with a measure of how large a post-treatment violation of parallel trends would have to be before the estimated effect loses its significance.</w:t>
      </w:r>
      <w:r w:rsidRPr="00BC3C05">
        <w:rPr>
          <w:rFonts w:ascii="Times New Roman" w:hAnsi="Times New Roman" w:cs="Times New Roman"/>
          <w:kern w:val="2"/>
          <w:sz w:val="24"/>
          <w:szCs w:val="24"/>
          <w14:ligatures w14:val="standardContextual"/>
        </w:rPr>
        <w:t xml:space="preserve"> Because the pre-treatment leads are jointly indistinguishable from zero (a joint Wald test gives p = 0.96) and are about two orders of magnitude smaller than the post-treatment coefficients, the loan-driven collapse in EU applicant numbers survives the relative-magnitudes 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7CA66BB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 second check re-estimates 26 separate synthetic difference-in-differences regressions, one per treated country, so the Arkhangelsky et al. (2021) estimator collapses to </w:t>
      </w:r>
      <m:oMath>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N</m:t>
            </m:r>
          </m:e>
          <m:sub>
            <m:r>
              <w:rPr>
                <w:rFonts w:ascii="Cambria Math" w:hAnsi="Cambria Math" w:cs="Times New Roman"/>
                <w:kern w:val="2"/>
                <w:sz w:val="24"/>
                <w:szCs w:val="24"/>
                <w14:ligatures w14:val="standardContextual"/>
              </w:rPr>
              <m:t>tr</m:t>
            </m:r>
          </m:sub>
        </m:sSub>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1</m:t>
        </m:r>
      </m:oMath>
      <w:r w:rsidRPr="00BC3C05">
        <w:rPr>
          <w:rFonts w:ascii="Times New Roman" w:hAnsi="Times New Roman" w:cs="Times New Roman"/>
          <w:kern w:val="2"/>
          <w:sz w:val="24"/>
          <w:szCs w:val="24"/>
          <w14:ligatures w14:val="standardContextual"/>
        </w:rPr>
        <w:t>:</w:t>
      </w:r>
    </w:p>
    <w:p w14:paraId="177FE1D8" w14:textId="77777777" w:rsidR="00BC3C05" w:rsidRPr="00BC3C05" w:rsidRDefault="00000000" w:rsidP="00BC3C05">
      <w:pPr>
        <w:spacing w:after="0" w:line="360" w:lineRule="auto"/>
        <w:rPr>
          <w:rFonts w:ascii="Times New Roman" w:hAnsi="Times New Roman" w:cs="Times New Roman"/>
          <w:kern w:val="2"/>
          <w:sz w:val="24"/>
          <w:szCs w:val="24"/>
          <w14:ligatures w14:val="standardContextual"/>
        </w:rPr>
      </w:pPr>
      <m:oMathPara>
        <m:oMathParaPr>
          <m:jc m:val="center"/>
        </m:oMathParaPr>
        <m:oMath>
          <m:sSubSup>
            <m:sSubSupPr>
              <m:ctrlPr>
                <w:rPr>
                  <w:rFonts w:ascii="Cambria Math" w:hAnsi="Cambria Math" w:cs="Times New Roman"/>
                  <w:kern w:val="2"/>
                  <w:sz w:val="24"/>
                  <w:szCs w:val="24"/>
                  <w14:ligatures w14:val="standardContextual"/>
                </w:rPr>
              </m:ctrlPr>
            </m:sSubSupPr>
            <m:e>
              <m:acc>
                <m:accPr>
                  <m:ctrlPr>
                    <w:rPr>
                      <w:rFonts w:ascii="Cambria Math" w:hAnsi="Cambria Math" w:cs="Times New Roman"/>
                      <w:kern w:val="2"/>
                      <w:sz w:val="24"/>
                      <w:szCs w:val="24"/>
                      <w14:ligatures w14:val="standardContextual"/>
                    </w:rPr>
                  </m:ctrlPr>
                </m:accPr>
                <m:e>
                  <m:r>
                    <w:rPr>
                      <w:rFonts w:ascii="Cambria Math" w:hAnsi="Cambria Math" w:cs="Times New Roman"/>
                      <w:kern w:val="2"/>
                      <w:sz w:val="24"/>
                      <w:szCs w:val="24"/>
                      <w14:ligatures w14:val="standardContextual"/>
                    </w:rPr>
                    <m:t>τ</m:t>
                  </m:r>
                </m:e>
              </m:acc>
            </m:e>
            <m:sub>
              <m:r>
                <w:rPr>
                  <w:rFonts w:ascii="Cambria Math" w:hAnsi="Cambria Math" w:cs="Times New Roman"/>
                  <w:kern w:val="2"/>
                  <w:sz w:val="24"/>
                  <w:szCs w:val="24"/>
                  <w14:ligatures w14:val="standardContextual"/>
                </w:rPr>
                <m:t>j</m:t>
              </m:r>
            </m:sub>
            <m:sup>
              <m:r>
                <w:rPr>
                  <w:rFonts w:ascii="Cambria Math" w:hAnsi="Cambria Math" w:cs="Times New Roman"/>
                  <w:kern w:val="2"/>
                  <w:sz w:val="24"/>
                  <w:szCs w:val="24"/>
                  <w14:ligatures w14:val="standardContextual"/>
                </w:rPr>
                <m:t>sdid</m:t>
              </m:r>
            </m:sup>
          </m:sSubSup>
          <m:r>
            <m:rPr>
              <m:sty m:val="p"/>
            </m:rPr>
            <w:rPr>
              <w:rFonts w:ascii="Cambria Math" w:hAnsi="Cambria Math" w:cs="Times New Roman"/>
              <w:kern w:val="2"/>
              <w:sz w:val="24"/>
              <w:szCs w:val="24"/>
              <w14:ligatures w14:val="standardContextual"/>
            </w:rPr>
            <m:t>=</m:t>
          </m:r>
          <m:d>
            <m:dPr>
              <m:ctrlPr>
                <w:rPr>
                  <w:rFonts w:ascii="Cambria Math" w:hAnsi="Cambria Math" w:cs="Times New Roman"/>
                  <w:kern w:val="2"/>
                  <w:sz w:val="24"/>
                  <w:szCs w:val="24"/>
                  <w14:ligatures w14:val="standardContextual"/>
                </w:rPr>
              </m:ctrlPr>
            </m:dPr>
            <m:e>
              <m:sSub>
                <m:sSubPr>
                  <m:ctrlPr>
                    <w:rPr>
                      <w:rFonts w:ascii="Cambria Math" w:hAnsi="Cambria Math" w:cs="Times New Roman"/>
                      <w:kern w:val="2"/>
                      <w:sz w:val="24"/>
                      <w:szCs w:val="24"/>
                      <w14:ligatures w14:val="standardContextual"/>
                    </w:rPr>
                  </m:ctrlPr>
                </m:sSubPr>
                <m:e>
                  <m:bar>
                    <m:barPr>
                      <m:pos m:val="top"/>
                      <m:ctrlPr>
                        <w:rPr>
                          <w:rFonts w:ascii="Cambria Math" w:hAnsi="Cambria Math" w:cs="Times New Roman"/>
                          <w:kern w:val="2"/>
                          <w:sz w:val="24"/>
                          <w:szCs w:val="24"/>
                          <w14:ligatures w14:val="standardContextual"/>
                        </w:rPr>
                      </m:ctrlPr>
                    </m:barPr>
                    <m:e>
                      <m:r>
                        <w:rPr>
                          <w:rFonts w:ascii="Cambria Math" w:hAnsi="Cambria Math" w:cs="Times New Roman"/>
                          <w:kern w:val="2"/>
                          <w:sz w:val="24"/>
                          <w:szCs w:val="24"/>
                          <w14:ligatures w14:val="standardContextual"/>
                        </w:rPr>
                        <m:t>Y</m:t>
                      </m:r>
                    </m:e>
                  </m:bar>
                </m:e>
                <m:sub>
                  <m:r>
                    <w:rPr>
                      <w:rFonts w:ascii="Cambria Math" w:hAnsi="Cambria Math" w:cs="Times New Roman"/>
                      <w:kern w:val="2"/>
                      <w:sz w:val="24"/>
                      <w:szCs w:val="24"/>
                      <w14:ligatures w14:val="standardContextual"/>
                    </w:rPr>
                    <m:t>j</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post</m:t>
                  </m:r>
                </m:sub>
              </m:sSub>
              <m:r>
                <m:rPr>
                  <m:sty m:val="p"/>
                </m:rPr>
                <w:rPr>
                  <w:rFonts w:ascii="Cambria Math" w:hAnsi="Cambria Math" w:cs="Times New Roman"/>
                  <w:kern w:val="2"/>
                  <w:sz w:val="24"/>
                  <w:szCs w:val="24"/>
                  <w14:ligatures w14:val="standardContextual"/>
                </w:rPr>
                <m:t>-</m:t>
              </m:r>
              <m:nary>
                <m:naryPr>
                  <m:chr m:val="∑"/>
                  <m:limLoc m:val="undOvr"/>
                  <m:ctrlPr>
                    <w:rPr>
                      <w:rFonts w:ascii="Cambria Math" w:hAnsi="Cambria Math" w:cs="Times New Roman"/>
                      <w:kern w:val="2"/>
                      <w:sz w:val="24"/>
                      <w:szCs w:val="24"/>
                      <w14:ligatures w14:val="standardContextual"/>
                    </w:rPr>
                  </m:ctrlPr>
                </m:naryPr>
                <m:sub>
                  <m:r>
                    <w:rPr>
                      <w:rFonts w:ascii="Cambria Math" w:hAnsi="Cambria Math" w:cs="Times New Roman"/>
                      <w:kern w:val="2"/>
                      <w:sz w:val="24"/>
                      <w:szCs w:val="24"/>
                      <w14:ligatures w14:val="standardContextual"/>
                    </w:rPr>
                    <m:t>t</m:t>
                  </m:r>
                  <m:r>
                    <m:rPr>
                      <m:sty m:val="p"/>
                    </m:rPr>
                    <w:rPr>
                      <w:rFonts w:ascii="Cambria Math" w:hAnsi="Cambria Math" w:cs="Times New Roman"/>
                      <w:kern w:val="2"/>
                      <w:sz w:val="24"/>
                      <w:szCs w:val="24"/>
                      <w14:ligatures w14:val="standardContextual"/>
                    </w:rPr>
                    <m:t>≤</m:t>
                  </m:r>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T</m:t>
                      </m:r>
                    </m:e>
                    <m:sub>
                      <m:r>
                        <w:rPr>
                          <w:rFonts w:ascii="Cambria Math" w:hAnsi="Cambria Math" w:cs="Times New Roman"/>
                          <w:kern w:val="2"/>
                          <w:sz w:val="24"/>
                          <w:szCs w:val="24"/>
                          <w14:ligatures w14:val="standardContextual"/>
                        </w:rPr>
                        <m:t>0</m:t>
                      </m:r>
                    </m:sub>
                  </m:sSub>
                </m:sub>
                <m:sup>
                  <m:r>
                    <w:rPr>
                      <w:rFonts w:ascii="Cambria Math" w:hAnsi="Cambria Math" w:cs="Times New Roman"/>
                      <w:kern w:val="2"/>
                      <w:sz w:val="24"/>
                      <w:szCs w:val="24"/>
                      <w14:ligatures w14:val="standardContextual"/>
                    </w:rPr>
                    <m:t> </m:t>
                  </m:r>
                </m:sup>
                <m:e>
                  <m:sSubSup>
                    <m:sSubSupPr>
                      <m:ctrlPr>
                        <w:rPr>
                          <w:rFonts w:ascii="Cambria Math" w:hAnsi="Cambria Math" w:cs="Times New Roman"/>
                          <w:kern w:val="2"/>
                          <w:sz w:val="24"/>
                          <w:szCs w:val="24"/>
                          <w14:ligatures w14:val="standardContextual"/>
                        </w:rPr>
                      </m:ctrlPr>
                    </m:sSubSupPr>
                    <m:e>
                      <m:r>
                        <w:rPr>
                          <w:rFonts w:ascii="Cambria Math" w:hAnsi="Cambria Math" w:cs="Times New Roman"/>
                          <w:kern w:val="2"/>
                          <w:sz w:val="24"/>
                          <w:szCs w:val="24"/>
                          <w14:ligatures w14:val="standardContextual"/>
                        </w:rPr>
                        <m:t>λ</m:t>
                      </m:r>
                    </m:e>
                    <m:sub>
                      <m:r>
                        <w:rPr>
                          <w:rFonts w:ascii="Cambria Math" w:hAnsi="Cambria Math" w:cs="Times New Roman"/>
                          <w:kern w:val="2"/>
                          <w:sz w:val="24"/>
                          <w:szCs w:val="24"/>
                          <w14:ligatures w14:val="standardContextual"/>
                        </w:rPr>
                        <m:t>t</m:t>
                      </m:r>
                    </m:sub>
                    <m:sup>
                      <m:r>
                        <w:rPr>
                          <w:rFonts w:ascii="Cambria Math" w:hAnsi="Cambria Math" w:cs="Times New Roman"/>
                          <w:kern w:val="2"/>
                          <w:sz w:val="24"/>
                          <w:szCs w:val="24"/>
                          <w14:ligatures w14:val="standardContextual"/>
                        </w:rPr>
                        <m:t>j</m:t>
                      </m:r>
                    </m:sup>
                  </m:sSubSup>
                </m:e>
              </m:nary>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jt</m:t>
                  </m:r>
                </m:sub>
              </m:sSub>
            </m:e>
          </m:d>
          <m:r>
            <m:rPr>
              <m:sty m:val="p"/>
            </m:rPr>
            <w:rPr>
              <w:rFonts w:ascii="Cambria Math" w:hAnsi="Cambria Math" w:cs="Times New Roman"/>
              <w:kern w:val="2"/>
              <w:sz w:val="24"/>
              <w:szCs w:val="24"/>
              <w14:ligatures w14:val="standardContextual"/>
            </w:rPr>
            <m:t>-</m:t>
          </m:r>
          <m:nary>
            <m:naryPr>
              <m:chr m:val="∑"/>
              <m:limLoc m:val="undOvr"/>
              <m:supHide m:val="1"/>
              <m:ctrlPr>
                <w:rPr>
                  <w:rFonts w:ascii="Cambria Math" w:hAnsi="Cambria Math" w:cs="Times New Roman"/>
                  <w:kern w:val="2"/>
                  <w:sz w:val="24"/>
                  <w:szCs w:val="24"/>
                  <w14:ligatures w14:val="standardContextual"/>
                </w:rPr>
              </m:ctrlPr>
            </m:naryPr>
            <m:sub>
              <m:r>
                <w:rPr>
                  <w:rFonts w:ascii="Cambria Math" w:hAnsi="Cambria Math" w:cs="Times New Roman"/>
                  <w:kern w:val="2"/>
                  <w:sz w:val="24"/>
                  <w:szCs w:val="24"/>
                  <w14:ligatures w14:val="standardContextual"/>
                </w:rPr>
                <m:t>i</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D</m:t>
              </m:r>
            </m:sub>
            <m:sup>
              <m:r>
                <w:rPr>
                  <w:rFonts w:ascii="Cambria Math" w:hAnsi="Cambria Math" w:cs="Times New Roman"/>
                  <w:kern w:val="2"/>
                  <w:sz w:val="24"/>
                  <w:szCs w:val="24"/>
                  <w14:ligatures w14:val="standardContextual"/>
                </w:rPr>
                <m:t>​</m:t>
              </m:r>
            </m:sup>
            <m:e>
              <m:acc>
                <m:accPr>
                  <m:ctrlPr>
                    <w:rPr>
                      <w:rFonts w:ascii="Cambria Math" w:hAnsi="Cambria Math" w:cs="Times New Roman"/>
                      <w:kern w:val="2"/>
                      <w:sz w:val="24"/>
                      <w:szCs w:val="24"/>
                      <w14:ligatures w14:val="standardContextual"/>
                    </w:rPr>
                  </m:ctrlPr>
                </m:accPr>
                <m:e>
                  <m:sSubSup>
                    <m:sSubSupPr>
                      <m:ctrlPr>
                        <w:rPr>
                          <w:rFonts w:ascii="Cambria Math" w:hAnsi="Cambria Math" w:cs="Times New Roman"/>
                          <w:kern w:val="2"/>
                          <w:sz w:val="24"/>
                          <w:szCs w:val="24"/>
                          <w14:ligatures w14:val="standardContextual"/>
                        </w:rPr>
                      </m:ctrlPr>
                    </m:sSubSupPr>
                    <m:e>
                      <m:r>
                        <w:rPr>
                          <w:rFonts w:ascii="Cambria Math" w:hAnsi="Cambria Math" w:cs="Times New Roman"/>
                          <w:kern w:val="2"/>
                          <w:sz w:val="24"/>
                          <w:szCs w:val="24"/>
                          <w14:ligatures w14:val="standardContextual"/>
                        </w:rPr>
                        <m:t>ω</m:t>
                      </m:r>
                    </m:e>
                    <m:sub>
                      <m:r>
                        <w:rPr>
                          <w:rFonts w:ascii="Cambria Math" w:hAnsi="Cambria Math" w:cs="Times New Roman"/>
                          <w:kern w:val="2"/>
                          <w:sz w:val="24"/>
                          <w:szCs w:val="24"/>
                          <w14:ligatures w14:val="standardContextual"/>
                        </w:rPr>
                        <m:t>i</m:t>
                      </m:r>
                    </m:sub>
                    <m:sup>
                      <m:r>
                        <w:rPr>
                          <w:rFonts w:ascii="Cambria Math" w:hAnsi="Cambria Math" w:cs="Times New Roman"/>
                          <w:kern w:val="2"/>
                          <w:sz w:val="24"/>
                          <w:szCs w:val="24"/>
                          <w14:ligatures w14:val="standardContextual"/>
                        </w:rPr>
                        <m:t>j</m:t>
                      </m:r>
                    </m:sup>
                  </m:sSubSup>
                </m:e>
              </m:acc>
            </m:e>
          </m:nary>
          <m:d>
            <m:dPr>
              <m:ctrlPr>
                <w:rPr>
                  <w:rFonts w:ascii="Cambria Math" w:hAnsi="Cambria Math" w:cs="Times New Roman"/>
                  <w:kern w:val="2"/>
                  <w:sz w:val="24"/>
                  <w:szCs w:val="24"/>
                  <w14:ligatures w14:val="standardContextual"/>
                </w:rPr>
              </m:ctrlPr>
            </m:dPr>
            <m:e>
              <m:sSub>
                <m:sSubPr>
                  <m:ctrlPr>
                    <w:rPr>
                      <w:rFonts w:ascii="Cambria Math" w:hAnsi="Cambria Math" w:cs="Times New Roman"/>
                      <w:kern w:val="2"/>
                      <w:sz w:val="24"/>
                      <w:szCs w:val="24"/>
                      <w14:ligatures w14:val="standardContextual"/>
                    </w:rPr>
                  </m:ctrlPr>
                </m:sSubPr>
                <m:e>
                  <m:bar>
                    <m:barPr>
                      <m:pos m:val="top"/>
                      <m:ctrlPr>
                        <w:rPr>
                          <w:rFonts w:ascii="Cambria Math" w:hAnsi="Cambria Math" w:cs="Times New Roman"/>
                          <w:kern w:val="2"/>
                          <w:sz w:val="24"/>
                          <w:szCs w:val="24"/>
                          <w14:ligatures w14:val="standardContextual"/>
                        </w:rPr>
                      </m:ctrlPr>
                    </m:barPr>
                    <m:e>
                      <m:r>
                        <w:rPr>
                          <w:rFonts w:ascii="Cambria Math" w:hAnsi="Cambria Math" w:cs="Times New Roman"/>
                          <w:kern w:val="2"/>
                          <w:sz w:val="24"/>
                          <w:szCs w:val="24"/>
                          <w14:ligatures w14:val="standardContextual"/>
                        </w:rPr>
                        <m:t>Y</m:t>
                      </m:r>
                    </m:e>
                  </m:bar>
                </m:e>
                <m:sub>
                  <m:r>
                    <w:rPr>
                      <w:rFonts w:ascii="Cambria Math" w:hAnsi="Cambria Math" w:cs="Times New Roman"/>
                      <w:kern w:val="2"/>
                      <w:sz w:val="24"/>
                      <w:szCs w:val="24"/>
                      <w14:ligatures w14:val="standardContextual"/>
                    </w:rPr>
                    <m:t>i</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 post</m:t>
                  </m:r>
                </m:sub>
              </m:sSub>
              <m:r>
                <m:rPr>
                  <m:sty m:val="p"/>
                </m:rPr>
                <w:rPr>
                  <w:rFonts w:ascii="Cambria Math" w:hAnsi="Cambria Math" w:cs="Times New Roman"/>
                  <w:kern w:val="2"/>
                  <w:sz w:val="24"/>
                  <w:szCs w:val="24"/>
                  <w14:ligatures w14:val="standardContextual"/>
                </w:rPr>
                <m:t>-</m:t>
              </m:r>
              <m:nary>
                <m:naryPr>
                  <m:chr m:val="∑"/>
                  <m:limLoc m:val="undOvr"/>
                  <m:ctrlPr>
                    <w:rPr>
                      <w:rFonts w:ascii="Cambria Math" w:hAnsi="Cambria Math" w:cs="Times New Roman"/>
                      <w:kern w:val="2"/>
                      <w:sz w:val="24"/>
                      <w:szCs w:val="24"/>
                      <w14:ligatures w14:val="standardContextual"/>
                    </w:rPr>
                  </m:ctrlPr>
                </m:naryPr>
                <m:sub>
                  <m:r>
                    <w:rPr>
                      <w:rFonts w:ascii="Cambria Math" w:hAnsi="Cambria Math" w:cs="Times New Roman"/>
                      <w:kern w:val="2"/>
                      <w:sz w:val="24"/>
                      <w:szCs w:val="24"/>
                      <w14:ligatures w14:val="standardContextual"/>
                    </w:rPr>
                    <m:t>t</m:t>
                  </m:r>
                  <m:r>
                    <m:rPr>
                      <m:sty m:val="p"/>
                    </m:rPr>
                    <w:rPr>
                      <w:rFonts w:ascii="Cambria Math" w:hAnsi="Cambria Math" w:cs="Times New Roman"/>
                      <w:kern w:val="2"/>
                      <w:sz w:val="24"/>
                      <w:szCs w:val="24"/>
                      <w14:ligatures w14:val="standardContextual"/>
                    </w:rPr>
                    <m:t>≤</m:t>
                  </m:r>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T</m:t>
                      </m:r>
                    </m:e>
                    <m:sub>
                      <m:r>
                        <w:rPr>
                          <w:rFonts w:ascii="Cambria Math" w:hAnsi="Cambria Math" w:cs="Times New Roman"/>
                          <w:kern w:val="2"/>
                          <w:sz w:val="24"/>
                          <w:szCs w:val="24"/>
                          <w14:ligatures w14:val="standardContextual"/>
                        </w:rPr>
                        <m:t>0</m:t>
                      </m:r>
                    </m:sub>
                  </m:sSub>
                </m:sub>
                <m:sup>
                  <m:r>
                    <w:rPr>
                      <w:rFonts w:ascii="Cambria Math" w:hAnsi="Cambria Math" w:cs="Times New Roman"/>
                      <w:kern w:val="2"/>
                      <w:sz w:val="24"/>
                      <w:szCs w:val="24"/>
                      <w14:ligatures w14:val="standardContextual"/>
                    </w:rPr>
                    <m:t> </m:t>
                  </m:r>
                </m:sup>
                <m:e>
                  <m:sSubSup>
                    <m:sSubSupPr>
                      <m:ctrlPr>
                        <w:rPr>
                          <w:rFonts w:ascii="Cambria Math" w:hAnsi="Cambria Math" w:cs="Times New Roman"/>
                          <w:kern w:val="2"/>
                          <w:sz w:val="24"/>
                          <w:szCs w:val="24"/>
                          <w14:ligatures w14:val="standardContextual"/>
                        </w:rPr>
                      </m:ctrlPr>
                    </m:sSubSupPr>
                    <m:e>
                      <m:r>
                        <w:rPr>
                          <w:rFonts w:ascii="Cambria Math" w:hAnsi="Cambria Math" w:cs="Times New Roman"/>
                          <w:kern w:val="2"/>
                          <w:sz w:val="24"/>
                          <w:szCs w:val="24"/>
                          <w14:ligatures w14:val="standardContextual"/>
                        </w:rPr>
                        <m:t>λ</m:t>
                      </m:r>
                    </m:e>
                    <m:sub>
                      <m:r>
                        <w:rPr>
                          <w:rFonts w:ascii="Cambria Math" w:hAnsi="Cambria Math" w:cs="Times New Roman"/>
                          <w:kern w:val="2"/>
                          <w:sz w:val="24"/>
                          <w:szCs w:val="24"/>
                          <w14:ligatures w14:val="standardContextual"/>
                        </w:rPr>
                        <m:t>t</m:t>
                      </m:r>
                    </m:sub>
                    <m:sup>
                      <m:r>
                        <w:rPr>
                          <w:rFonts w:ascii="Cambria Math" w:hAnsi="Cambria Math" w:cs="Times New Roman"/>
                          <w:kern w:val="2"/>
                          <w:sz w:val="24"/>
                          <w:szCs w:val="24"/>
                          <w14:ligatures w14:val="standardContextual"/>
                        </w:rPr>
                        <m:t>j</m:t>
                      </m:r>
                    </m:sup>
                  </m:sSubSup>
                </m:e>
              </m:nary>
              <m:sSub>
                <m:sSubPr>
                  <m:ctrlPr>
                    <w:rPr>
                      <w:rFonts w:ascii="Cambria Math" w:hAnsi="Cambria Math" w:cs="Times New Roman"/>
                      <w:kern w:val="2"/>
                      <w:sz w:val="24"/>
                      <w:szCs w:val="24"/>
                      <w14:ligatures w14:val="standardContextual"/>
                    </w:rPr>
                  </m:ctrlPr>
                </m:sSubPr>
                <m:e>
                  <m:r>
                    <w:rPr>
                      <w:rFonts w:ascii="Cambria Math" w:hAnsi="Cambria Math" w:cs="Times New Roman"/>
                      <w:kern w:val="2"/>
                      <w:sz w:val="24"/>
                      <w:szCs w:val="24"/>
                      <w14:ligatures w14:val="standardContextual"/>
                    </w:rPr>
                    <m:t>Y</m:t>
                  </m:r>
                </m:e>
                <m:sub>
                  <m:r>
                    <w:rPr>
                      <w:rFonts w:ascii="Cambria Math" w:hAnsi="Cambria Math" w:cs="Times New Roman"/>
                      <w:kern w:val="2"/>
                      <w:sz w:val="24"/>
                      <w:szCs w:val="24"/>
                      <w14:ligatures w14:val="standardContextual"/>
                    </w:rPr>
                    <m:t>it</m:t>
                  </m:r>
                </m:sub>
              </m:sSub>
            </m:e>
          </m:d>
        </m:oMath>
      </m:oMathPara>
    </w:p>
    <w:p w14:paraId="2007C72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Table 5 compares these estimates with the saturated weighted </w:t>
      </w:r>
      <w:proofErr w:type="spellStart"/>
      <w:r w:rsidRPr="00BC3C05">
        <w:rPr>
          <w:rFonts w:ascii="Times New Roman" w:hAnsi="Times New Roman" w:cs="Times New Roman"/>
          <w:kern w:val="2"/>
          <w:sz w:val="24"/>
          <w:szCs w:val="24"/>
          <w14:ligatures w14:val="standardContextual"/>
        </w:rPr>
        <w:t>DiD</w:t>
      </w:r>
      <w:proofErr w:type="spellEnd"/>
      <w:r w:rsidRPr="00BC3C05">
        <w:rPr>
          <w:rFonts w:ascii="Times New Roman" w:hAnsi="Times New Roman" w:cs="Times New Roman"/>
          <w:kern w:val="2"/>
          <w:sz w:val="24"/>
          <w:szCs w:val="24"/>
          <w14:ligatures w14:val="standardContextual"/>
        </w:rPr>
        <w:t xml:space="preserve"> coefficients. After consistently removing aggregates, territories, dependencies, and UK home nations from the donor pool, the two sets correlate at 0.978 and have a mean absolute difference of 0.163 log </w:t>
      </w:r>
      <w:r w:rsidRPr="00BC3C05">
        <w:rPr>
          <w:rFonts w:ascii="Times New Roman" w:hAnsi="Times New Roman" w:cs="Times New Roman"/>
          <w:kern w:val="2"/>
          <w:sz w:val="24"/>
          <w:szCs w:val="24"/>
          <w14:ligatures w14:val="standardContextual"/>
        </w:rPr>
        <w:lastRenderedPageBreak/>
        <w:t>points. Portugal has the largest discrepancy at 0.418 log points, that is consistent with its documented 2021 reporting issue. The ranking is similar across designs, although several level differences remain economically meaningful.</w:t>
      </w:r>
    </w:p>
    <w:p w14:paraId="656FF90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13B1AE4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Table 5.</w:t>
      </w:r>
      <w:r w:rsidRPr="00BC3C05">
        <w:rPr>
          <w:rFonts w:ascii="Times New Roman" w:hAnsi="Times New Roman" w:cs="Times New Roman"/>
          <w:kern w:val="2"/>
          <w:sz w:val="24"/>
          <w:szCs w:val="24"/>
          <w14:ligatures w14:val="standardContextual"/>
        </w:rPr>
        <w:t xml:space="preserve"> Per-country saturated </w:t>
      </w:r>
      <w:proofErr w:type="spellStart"/>
      <w:r w:rsidRPr="00BC3C05">
        <w:rPr>
          <w:rFonts w:ascii="Times New Roman" w:hAnsi="Times New Roman" w:cs="Times New Roman"/>
          <w:kern w:val="2"/>
          <w:sz w:val="24"/>
          <w:szCs w:val="24"/>
          <w14:ligatures w14:val="standardContextual"/>
        </w:rPr>
        <w:t>DiD</w:t>
      </w:r>
      <w:proofErr w:type="spellEnd"/>
      <w:r w:rsidRPr="00BC3C05">
        <w:rPr>
          <w:rFonts w:ascii="Times New Roman" w:hAnsi="Times New Roman" w:cs="Times New Roman"/>
          <w:kern w:val="2"/>
          <w:sz w:val="24"/>
          <w:szCs w:val="24"/>
          <w14:ligatures w14:val="standardContextual"/>
        </w:rPr>
        <w:t xml:space="preserve"> (TWFE) and synthetic difference-in-differences estimates</w:t>
      </w:r>
    </w:p>
    <w:tbl>
      <w:tblPr>
        <w:tblW w:w="4867" w:type="pct"/>
        <w:tblLook w:val="0020" w:firstRow="1" w:lastRow="0" w:firstColumn="0" w:lastColumn="0" w:noHBand="0" w:noVBand="0"/>
      </w:tblPr>
      <w:tblGrid>
        <w:gridCol w:w="1554"/>
        <w:gridCol w:w="2839"/>
        <w:gridCol w:w="2474"/>
        <w:gridCol w:w="1919"/>
      </w:tblGrid>
      <w:tr w:rsidR="00BC3C05" w:rsidRPr="00BC3C05" w14:paraId="20129555" w14:textId="77777777" w:rsidTr="004A46E4">
        <w:trPr>
          <w:tblHeader/>
        </w:trPr>
        <w:tc>
          <w:tcPr>
            <w:tcW w:w="0" w:type="auto"/>
          </w:tcPr>
          <w:p w14:paraId="2276C13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Country</w:t>
            </w:r>
          </w:p>
        </w:tc>
        <w:tc>
          <w:tcPr>
            <w:tcW w:w="0" w:type="auto"/>
          </w:tcPr>
          <w:p w14:paraId="40E021E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Saturated TWFE</w:t>
            </w:r>
          </w:p>
        </w:tc>
        <w:tc>
          <w:tcPr>
            <w:tcW w:w="0" w:type="auto"/>
          </w:tcPr>
          <w:p w14:paraId="718114C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Synthetic </w:t>
            </w:r>
            <w:proofErr w:type="spellStart"/>
            <w:r w:rsidRPr="00BC3C05">
              <w:rPr>
                <w:rFonts w:ascii="Times New Roman" w:hAnsi="Times New Roman" w:cs="Times New Roman"/>
                <w:kern w:val="2"/>
                <w:sz w:val="24"/>
                <w:szCs w:val="24"/>
                <w14:ligatures w14:val="standardContextual"/>
              </w:rPr>
              <w:t>DiD</w:t>
            </w:r>
            <w:proofErr w:type="spellEnd"/>
          </w:p>
        </w:tc>
        <w:tc>
          <w:tcPr>
            <w:tcW w:w="0" w:type="auto"/>
          </w:tcPr>
          <w:p w14:paraId="0006CDD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Difference</w:t>
            </w:r>
          </w:p>
        </w:tc>
      </w:tr>
    </w:tbl>
    <w:tbl>
      <w:tblPr>
        <w:tblStyle w:val="Style1"/>
        <w:tblW w:w="4867" w:type="pct"/>
        <w:tblLook w:val="0020" w:firstRow="1" w:lastRow="0" w:firstColumn="0" w:lastColumn="0" w:noHBand="0" w:noVBand="0"/>
      </w:tblPr>
      <w:tblGrid>
        <w:gridCol w:w="4571"/>
        <w:gridCol w:w="1416"/>
        <w:gridCol w:w="1416"/>
        <w:gridCol w:w="1354"/>
      </w:tblGrid>
      <w:tr w:rsidR="00BC3C05" w:rsidRPr="00BC3C05" w14:paraId="16CD9CA3" w14:textId="77777777" w:rsidTr="004A46E4">
        <w:trPr>
          <w:cnfStyle w:val="100000000000" w:firstRow="1" w:lastRow="0" w:firstColumn="0" w:lastColumn="0" w:oddVBand="0" w:evenVBand="0" w:oddHBand="0" w:evenHBand="0" w:firstRowFirstColumn="0" w:firstRowLastColumn="0" w:lastRowFirstColumn="0" w:lastRowLastColumn="0"/>
        </w:trPr>
        <w:tc>
          <w:tcPr>
            <w:tcW w:w="0" w:type="auto"/>
          </w:tcPr>
          <w:p w14:paraId="03F79F8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Lithuania</w:t>
            </w:r>
          </w:p>
        </w:tc>
        <w:tc>
          <w:tcPr>
            <w:tcW w:w="0" w:type="auto"/>
          </w:tcPr>
          <w:p w14:paraId="4DAF76E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-2.173</w:t>
            </w:r>
          </w:p>
        </w:tc>
        <w:tc>
          <w:tcPr>
            <w:tcW w:w="0" w:type="auto"/>
          </w:tcPr>
          <w:p w14:paraId="5F72321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-2.264</w:t>
            </w:r>
          </w:p>
        </w:tc>
        <w:tc>
          <w:tcPr>
            <w:tcW w:w="0" w:type="auto"/>
          </w:tcPr>
          <w:p w14:paraId="3AF9A8C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0.091</w:t>
            </w:r>
          </w:p>
        </w:tc>
      </w:tr>
      <w:tr w:rsidR="00BC3C05" w:rsidRPr="00BC3C05" w14:paraId="6DC8AB2A" w14:textId="77777777" w:rsidTr="004A46E4">
        <w:tc>
          <w:tcPr>
            <w:tcW w:w="0" w:type="auto"/>
          </w:tcPr>
          <w:p w14:paraId="68FEDCB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Bulgaria</w:t>
            </w:r>
          </w:p>
        </w:tc>
        <w:tc>
          <w:tcPr>
            <w:tcW w:w="0" w:type="auto"/>
          </w:tcPr>
          <w:p w14:paraId="1466984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-1.887</w:t>
            </w:r>
          </w:p>
        </w:tc>
        <w:tc>
          <w:tcPr>
            <w:tcW w:w="0" w:type="auto"/>
          </w:tcPr>
          <w:p w14:paraId="3EED757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-1.930</w:t>
            </w:r>
          </w:p>
        </w:tc>
        <w:tc>
          <w:tcPr>
            <w:tcW w:w="0" w:type="auto"/>
          </w:tcPr>
          <w:p w14:paraId="36BF8E7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0.043</w:t>
            </w:r>
          </w:p>
        </w:tc>
      </w:tr>
      <w:tr w:rsidR="00BC3C05" w:rsidRPr="00BC3C05" w14:paraId="6F294CD6" w14:textId="77777777" w:rsidTr="004A46E4">
        <w:tc>
          <w:tcPr>
            <w:tcW w:w="0" w:type="auto"/>
          </w:tcPr>
          <w:p w14:paraId="465B5ED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Finland</w:t>
            </w:r>
          </w:p>
        </w:tc>
        <w:tc>
          <w:tcPr>
            <w:tcW w:w="0" w:type="auto"/>
          </w:tcPr>
          <w:p w14:paraId="3A52769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-1.756</w:t>
            </w:r>
          </w:p>
        </w:tc>
        <w:tc>
          <w:tcPr>
            <w:tcW w:w="0" w:type="auto"/>
          </w:tcPr>
          <w:p w14:paraId="089C247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-1.773</w:t>
            </w:r>
          </w:p>
        </w:tc>
        <w:tc>
          <w:tcPr>
            <w:tcW w:w="0" w:type="auto"/>
          </w:tcPr>
          <w:p w14:paraId="692FF07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0.017</w:t>
            </w:r>
          </w:p>
        </w:tc>
      </w:tr>
      <w:tr w:rsidR="00BC3C05" w:rsidRPr="00BC3C05" w14:paraId="4EC0E2CE" w14:textId="77777777" w:rsidTr="004A46E4">
        <w:tc>
          <w:tcPr>
            <w:tcW w:w="0" w:type="auto"/>
          </w:tcPr>
          <w:p w14:paraId="1E75A9C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Romania</w:t>
            </w:r>
          </w:p>
        </w:tc>
        <w:tc>
          <w:tcPr>
            <w:tcW w:w="0" w:type="auto"/>
          </w:tcPr>
          <w:p w14:paraId="22FDF5E8"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-1.711</w:t>
            </w:r>
          </w:p>
        </w:tc>
        <w:tc>
          <w:tcPr>
            <w:tcW w:w="0" w:type="auto"/>
          </w:tcPr>
          <w:p w14:paraId="03CF7FE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-1.910</w:t>
            </w:r>
          </w:p>
        </w:tc>
        <w:tc>
          <w:tcPr>
            <w:tcW w:w="0" w:type="auto"/>
          </w:tcPr>
          <w:p w14:paraId="4A698FD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0.199</w:t>
            </w:r>
          </w:p>
        </w:tc>
      </w:tr>
      <w:tr w:rsidR="00BC3C05" w:rsidRPr="00BC3C05" w14:paraId="7E0A1F03" w14:textId="77777777" w:rsidTr="004A46E4">
        <w:tc>
          <w:tcPr>
            <w:tcW w:w="0" w:type="auto"/>
          </w:tcPr>
          <w:p w14:paraId="58C9EAA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Poland</w:t>
            </w:r>
          </w:p>
        </w:tc>
        <w:tc>
          <w:tcPr>
            <w:tcW w:w="0" w:type="auto"/>
          </w:tcPr>
          <w:p w14:paraId="553BDF22"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-1.668</w:t>
            </w:r>
          </w:p>
        </w:tc>
        <w:tc>
          <w:tcPr>
            <w:tcW w:w="0" w:type="auto"/>
          </w:tcPr>
          <w:p w14:paraId="74EC0CB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-1.971</w:t>
            </w:r>
          </w:p>
        </w:tc>
        <w:tc>
          <w:tcPr>
            <w:tcW w:w="0" w:type="auto"/>
          </w:tcPr>
          <w:p w14:paraId="1EB0C1D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0.303</w:t>
            </w:r>
          </w:p>
        </w:tc>
      </w:tr>
      <w:tr w:rsidR="00BC3C05" w:rsidRPr="00BC3C05" w14:paraId="44AF8348" w14:textId="77777777" w:rsidTr="004A46E4">
        <w:tc>
          <w:tcPr>
            <w:tcW w:w="0" w:type="auto"/>
          </w:tcPr>
          <w:p w14:paraId="6554AD3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Croatia</w:t>
            </w:r>
          </w:p>
        </w:tc>
        <w:tc>
          <w:tcPr>
            <w:tcW w:w="0" w:type="auto"/>
          </w:tcPr>
          <w:p w14:paraId="7C865C9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-1.655</w:t>
            </w:r>
          </w:p>
        </w:tc>
        <w:tc>
          <w:tcPr>
            <w:tcW w:w="0" w:type="auto"/>
          </w:tcPr>
          <w:p w14:paraId="4999FFF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-1.803</w:t>
            </w:r>
          </w:p>
        </w:tc>
        <w:tc>
          <w:tcPr>
            <w:tcW w:w="0" w:type="auto"/>
          </w:tcPr>
          <w:p w14:paraId="33FE7A88"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0.148</w:t>
            </w:r>
          </w:p>
        </w:tc>
      </w:tr>
      <w:tr w:rsidR="00BC3C05" w:rsidRPr="00BC3C05" w14:paraId="424D39C6" w14:textId="77777777" w:rsidTr="004A46E4">
        <w:tc>
          <w:tcPr>
            <w:tcW w:w="0" w:type="auto"/>
          </w:tcPr>
          <w:p w14:paraId="1C4C2CC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Slovakia</w:t>
            </w:r>
          </w:p>
        </w:tc>
        <w:tc>
          <w:tcPr>
            <w:tcW w:w="0" w:type="auto"/>
          </w:tcPr>
          <w:p w14:paraId="315DF2E2"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-1.516</w:t>
            </w:r>
          </w:p>
        </w:tc>
        <w:tc>
          <w:tcPr>
            <w:tcW w:w="0" w:type="auto"/>
          </w:tcPr>
          <w:p w14:paraId="7C3B8AD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-1.872</w:t>
            </w:r>
          </w:p>
        </w:tc>
        <w:tc>
          <w:tcPr>
            <w:tcW w:w="0" w:type="auto"/>
          </w:tcPr>
          <w:p w14:paraId="134B140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0.356</w:t>
            </w:r>
          </w:p>
        </w:tc>
      </w:tr>
      <w:tr w:rsidR="00BC3C05" w:rsidRPr="00BC3C05" w14:paraId="3471C8DC" w14:textId="77777777" w:rsidTr="004A46E4">
        <w:tc>
          <w:tcPr>
            <w:tcW w:w="0" w:type="auto"/>
          </w:tcPr>
          <w:p w14:paraId="27AE2EDB"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Latvia</w:t>
            </w:r>
          </w:p>
        </w:tc>
        <w:tc>
          <w:tcPr>
            <w:tcW w:w="0" w:type="auto"/>
          </w:tcPr>
          <w:p w14:paraId="60485DC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-1.512</w:t>
            </w:r>
          </w:p>
        </w:tc>
        <w:tc>
          <w:tcPr>
            <w:tcW w:w="0" w:type="auto"/>
          </w:tcPr>
          <w:p w14:paraId="53435DE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-1.743</w:t>
            </w:r>
          </w:p>
        </w:tc>
        <w:tc>
          <w:tcPr>
            <w:tcW w:w="0" w:type="auto"/>
          </w:tcPr>
          <w:p w14:paraId="5A77793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0.232</w:t>
            </w:r>
          </w:p>
        </w:tc>
      </w:tr>
      <w:tr w:rsidR="00BC3C05" w:rsidRPr="00BC3C05" w14:paraId="32C8FF47" w14:textId="77777777" w:rsidTr="004A46E4">
        <w:tc>
          <w:tcPr>
            <w:tcW w:w="0" w:type="auto"/>
          </w:tcPr>
          <w:p w14:paraId="0C337B4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Estonia</w:t>
            </w:r>
          </w:p>
        </w:tc>
        <w:tc>
          <w:tcPr>
            <w:tcW w:w="0" w:type="auto"/>
          </w:tcPr>
          <w:p w14:paraId="2E0C7CE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-1.447</w:t>
            </w:r>
          </w:p>
        </w:tc>
        <w:tc>
          <w:tcPr>
            <w:tcW w:w="0" w:type="auto"/>
          </w:tcPr>
          <w:p w14:paraId="302163CB"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-1.547</w:t>
            </w:r>
          </w:p>
        </w:tc>
        <w:tc>
          <w:tcPr>
            <w:tcW w:w="0" w:type="auto"/>
          </w:tcPr>
          <w:p w14:paraId="0BFE3878"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0.099</w:t>
            </w:r>
          </w:p>
        </w:tc>
      </w:tr>
      <w:tr w:rsidR="00BC3C05" w:rsidRPr="00BC3C05" w14:paraId="79598A65" w14:textId="77777777" w:rsidTr="004A46E4">
        <w:tc>
          <w:tcPr>
            <w:tcW w:w="0" w:type="auto"/>
          </w:tcPr>
          <w:p w14:paraId="63F61CA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Slovenia</w:t>
            </w:r>
          </w:p>
        </w:tc>
        <w:tc>
          <w:tcPr>
            <w:tcW w:w="0" w:type="auto"/>
          </w:tcPr>
          <w:p w14:paraId="73B65F6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-1.280</w:t>
            </w:r>
          </w:p>
        </w:tc>
        <w:tc>
          <w:tcPr>
            <w:tcW w:w="0" w:type="auto"/>
          </w:tcPr>
          <w:p w14:paraId="3675D9D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-1.318</w:t>
            </w:r>
          </w:p>
        </w:tc>
        <w:tc>
          <w:tcPr>
            <w:tcW w:w="0" w:type="auto"/>
          </w:tcPr>
          <w:p w14:paraId="6233D40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0.038</w:t>
            </w:r>
          </w:p>
        </w:tc>
      </w:tr>
      <w:tr w:rsidR="00BC3C05" w:rsidRPr="00BC3C05" w14:paraId="1836B88C" w14:textId="77777777" w:rsidTr="004A46E4">
        <w:tc>
          <w:tcPr>
            <w:tcW w:w="0" w:type="auto"/>
          </w:tcPr>
          <w:p w14:paraId="7B1F48F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Czech Republic</w:t>
            </w:r>
          </w:p>
        </w:tc>
        <w:tc>
          <w:tcPr>
            <w:tcW w:w="0" w:type="auto"/>
          </w:tcPr>
          <w:p w14:paraId="7A3E0FF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-1.137</w:t>
            </w:r>
          </w:p>
        </w:tc>
        <w:tc>
          <w:tcPr>
            <w:tcW w:w="0" w:type="auto"/>
          </w:tcPr>
          <w:p w14:paraId="39F6EBB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-1.411</w:t>
            </w:r>
          </w:p>
        </w:tc>
        <w:tc>
          <w:tcPr>
            <w:tcW w:w="0" w:type="auto"/>
          </w:tcPr>
          <w:p w14:paraId="50BDB0D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0.274</w:t>
            </w:r>
          </w:p>
        </w:tc>
      </w:tr>
      <w:tr w:rsidR="00BC3C05" w:rsidRPr="00BC3C05" w14:paraId="6AC0650A" w14:textId="77777777" w:rsidTr="004A46E4">
        <w:tc>
          <w:tcPr>
            <w:tcW w:w="0" w:type="auto"/>
          </w:tcPr>
          <w:p w14:paraId="0652976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Hungary</w:t>
            </w:r>
          </w:p>
        </w:tc>
        <w:tc>
          <w:tcPr>
            <w:tcW w:w="0" w:type="auto"/>
          </w:tcPr>
          <w:p w14:paraId="2987C56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-1.114</w:t>
            </w:r>
          </w:p>
        </w:tc>
        <w:tc>
          <w:tcPr>
            <w:tcW w:w="0" w:type="auto"/>
          </w:tcPr>
          <w:p w14:paraId="58ADD378"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-1.379</w:t>
            </w:r>
          </w:p>
        </w:tc>
        <w:tc>
          <w:tcPr>
            <w:tcW w:w="0" w:type="auto"/>
          </w:tcPr>
          <w:p w14:paraId="1F96798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0.265</w:t>
            </w:r>
          </w:p>
        </w:tc>
      </w:tr>
      <w:tr w:rsidR="00BC3C05" w:rsidRPr="00BC3C05" w14:paraId="4E6782F4" w14:textId="77777777" w:rsidTr="004A46E4">
        <w:tc>
          <w:tcPr>
            <w:tcW w:w="0" w:type="auto"/>
          </w:tcPr>
          <w:p w14:paraId="71F1114A"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Denmark</w:t>
            </w:r>
          </w:p>
        </w:tc>
        <w:tc>
          <w:tcPr>
            <w:tcW w:w="0" w:type="auto"/>
          </w:tcPr>
          <w:p w14:paraId="483129D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-1.046</w:t>
            </w:r>
          </w:p>
        </w:tc>
        <w:tc>
          <w:tcPr>
            <w:tcW w:w="0" w:type="auto"/>
          </w:tcPr>
          <w:p w14:paraId="211FBF0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-1.145</w:t>
            </w:r>
          </w:p>
        </w:tc>
        <w:tc>
          <w:tcPr>
            <w:tcW w:w="0" w:type="auto"/>
          </w:tcPr>
          <w:p w14:paraId="59EF5A4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0.098</w:t>
            </w:r>
          </w:p>
        </w:tc>
      </w:tr>
      <w:tr w:rsidR="00BC3C05" w:rsidRPr="00BC3C05" w14:paraId="26730FD6" w14:textId="77777777" w:rsidTr="004A46E4">
        <w:tc>
          <w:tcPr>
            <w:tcW w:w="0" w:type="auto"/>
          </w:tcPr>
          <w:p w14:paraId="74179BB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Sweden</w:t>
            </w:r>
          </w:p>
        </w:tc>
        <w:tc>
          <w:tcPr>
            <w:tcW w:w="0" w:type="auto"/>
          </w:tcPr>
          <w:p w14:paraId="48BD837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-0.967</w:t>
            </w:r>
          </w:p>
        </w:tc>
        <w:tc>
          <w:tcPr>
            <w:tcW w:w="0" w:type="auto"/>
          </w:tcPr>
          <w:p w14:paraId="296A1B5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-1.048</w:t>
            </w:r>
          </w:p>
        </w:tc>
        <w:tc>
          <w:tcPr>
            <w:tcW w:w="0" w:type="auto"/>
          </w:tcPr>
          <w:p w14:paraId="66A6C22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0.081</w:t>
            </w:r>
          </w:p>
        </w:tc>
      </w:tr>
      <w:tr w:rsidR="00BC3C05" w:rsidRPr="00BC3C05" w14:paraId="1F76E609" w14:textId="77777777" w:rsidTr="004A46E4">
        <w:tc>
          <w:tcPr>
            <w:tcW w:w="0" w:type="auto"/>
          </w:tcPr>
          <w:p w14:paraId="27334B0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Portugal</w:t>
            </w:r>
          </w:p>
        </w:tc>
        <w:tc>
          <w:tcPr>
            <w:tcW w:w="0" w:type="auto"/>
          </w:tcPr>
          <w:p w14:paraId="75D20D8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-0.939</w:t>
            </w:r>
          </w:p>
        </w:tc>
        <w:tc>
          <w:tcPr>
            <w:tcW w:w="0" w:type="auto"/>
          </w:tcPr>
          <w:p w14:paraId="165EDB6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-1.358</w:t>
            </w:r>
          </w:p>
        </w:tc>
        <w:tc>
          <w:tcPr>
            <w:tcW w:w="0" w:type="auto"/>
          </w:tcPr>
          <w:p w14:paraId="5013B79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0.418</w:t>
            </w:r>
          </w:p>
        </w:tc>
      </w:tr>
      <w:tr w:rsidR="00BC3C05" w:rsidRPr="00BC3C05" w14:paraId="706B8358" w14:textId="77777777" w:rsidTr="004A46E4">
        <w:tc>
          <w:tcPr>
            <w:tcW w:w="0" w:type="auto"/>
          </w:tcPr>
          <w:p w14:paraId="2F63BA5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Italy</w:t>
            </w:r>
          </w:p>
        </w:tc>
        <w:tc>
          <w:tcPr>
            <w:tcW w:w="0" w:type="auto"/>
          </w:tcPr>
          <w:p w14:paraId="1FF16C7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-0.925</w:t>
            </w:r>
          </w:p>
        </w:tc>
        <w:tc>
          <w:tcPr>
            <w:tcW w:w="0" w:type="auto"/>
          </w:tcPr>
          <w:p w14:paraId="0BDB9DB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-1.002</w:t>
            </w:r>
          </w:p>
        </w:tc>
        <w:tc>
          <w:tcPr>
            <w:tcW w:w="0" w:type="auto"/>
          </w:tcPr>
          <w:p w14:paraId="033DAEE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0.077</w:t>
            </w:r>
          </w:p>
        </w:tc>
      </w:tr>
      <w:tr w:rsidR="00BC3C05" w:rsidRPr="00BC3C05" w14:paraId="3FA23A9C" w14:textId="77777777" w:rsidTr="004A46E4">
        <w:tc>
          <w:tcPr>
            <w:tcW w:w="0" w:type="auto"/>
          </w:tcPr>
          <w:p w14:paraId="679AC65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Cyprus (European Union)</w:t>
            </w:r>
          </w:p>
        </w:tc>
        <w:tc>
          <w:tcPr>
            <w:tcW w:w="0" w:type="auto"/>
          </w:tcPr>
          <w:p w14:paraId="37B82D02"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-0.902</w:t>
            </w:r>
          </w:p>
        </w:tc>
        <w:tc>
          <w:tcPr>
            <w:tcW w:w="0" w:type="auto"/>
          </w:tcPr>
          <w:p w14:paraId="2FA3760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-0.969</w:t>
            </w:r>
          </w:p>
        </w:tc>
        <w:tc>
          <w:tcPr>
            <w:tcW w:w="0" w:type="auto"/>
          </w:tcPr>
          <w:p w14:paraId="2CF49FC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0.066</w:t>
            </w:r>
          </w:p>
        </w:tc>
      </w:tr>
      <w:tr w:rsidR="00BC3C05" w:rsidRPr="00BC3C05" w14:paraId="7B709A10" w14:textId="77777777" w:rsidTr="004A46E4">
        <w:tc>
          <w:tcPr>
            <w:tcW w:w="0" w:type="auto"/>
          </w:tcPr>
          <w:p w14:paraId="4DAF37A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Greece</w:t>
            </w:r>
          </w:p>
        </w:tc>
        <w:tc>
          <w:tcPr>
            <w:tcW w:w="0" w:type="auto"/>
          </w:tcPr>
          <w:p w14:paraId="55F7F33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-0.866</w:t>
            </w:r>
          </w:p>
        </w:tc>
        <w:tc>
          <w:tcPr>
            <w:tcW w:w="0" w:type="auto"/>
          </w:tcPr>
          <w:p w14:paraId="243A592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-1.010</w:t>
            </w:r>
          </w:p>
        </w:tc>
        <w:tc>
          <w:tcPr>
            <w:tcW w:w="0" w:type="auto"/>
          </w:tcPr>
          <w:p w14:paraId="6D79F9CA"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0.144</w:t>
            </w:r>
          </w:p>
        </w:tc>
      </w:tr>
      <w:tr w:rsidR="00BC3C05" w:rsidRPr="00BC3C05" w14:paraId="22429420" w14:textId="77777777" w:rsidTr="004A46E4">
        <w:tc>
          <w:tcPr>
            <w:tcW w:w="0" w:type="auto"/>
          </w:tcPr>
          <w:p w14:paraId="29D3565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Germany</w:t>
            </w:r>
          </w:p>
        </w:tc>
        <w:tc>
          <w:tcPr>
            <w:tcW w:w="0" w:type="auto"/>
          </w:tcPr>
          <w:p w14:paraId="2BA5260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-0.681</w:t>
            </w:r>
          </w:p>
        </w:tc>
        <w:tc>
          <w:tcPr>
            <w:tcW w:w="0" w:type="auto"/>
          </w:tcPr>
          <w:p w14:paraId="79B1624A"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-0.779</w:t>
            </w:r>
          </w:p>
        </w:tc>
        <w:tc>
          <w:tcPr>
            <w:tcW w:w="0" w:type="auto"/>
          </w:tcPr>
          <w:p w14:paraId="2514991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0.097</w:t>
            </w:r>
          </w:p>
        </w:tc>
      </w:tr>
      <w:tr w:rsidR="00BC3C05" w:rsidRPr="00BC3C05" w14:paraId="7FE4AEC3" w14:textId="77777777" w:rsidTr="004A46E4">
        <w:tc>
          <w:tcPr>
            <w:tcW w:w="0" w:type="auto"/>
          </w:tcPr>
          <w:p w14:paraId="6F39580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Belgium</w:t>
            </w:r>
          </w:p>
        </w:tc>
        <w:tc>
          <w:tcPr>
            <w:tcW w:w="0" w:type="auto"/>
          </w:tcPr>
          <w:p w14:paraId="05F20A0A"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-0.603</w:t>
            </w:r>
          </w:p>
        </w:tc>
        <w:tc>
          <w:tcPr>
            <w:tcW w:w="0" w:type="auto"/>
          </w:tcPr>
          <w:p w14:paraId="3177D5DC"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-0.715</w:t>
            </w:r>
          </w:p>
        </w:tc>
        <w:tc>
          <w:tcPr>
            <w:tcW w:w="0" w:type="auto"/>
          </w:tcPr>
          <w:p w14:paraId="5D54238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0.113</w:t>
            </w:r>
          </w:p>
        </w:tc>
      </w:tr>
      <w:tr w:rsidR="00BC3C05" w:rsidRPr="00BC3C05" w14:paraId="5F97863B" w14:textId="77777777" w:rsidTr="004A46E4">
        <w:tc>
          <w:tcPr>
            <w:tcW w:w="0" w:type="auto"/>
          </w:tcPr>
          <w:p w14:paraId="0311672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France</w:t>
            </w:r>
          </w:p>
        </w:tc>
        <w:tc>
          <w:tcPr>
            <w:tcW w:w="0" w:type="auto"/>
          </w:tcPr>
          <w:p w14:paraId="4DAFF83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-0.597</w:t>
            </w:r>
          </w:p>
        </w:tc>
        <w:tc>
          <w:tcPr>
            <w:tcW w:w="0" w:type="auto"/>
          </w:tcPr>
          <w:p w14:paraId="72D36CFE"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-0.754</w:t>
            </w:r>
          </w:p>
        </w:tc>
        <w:tc>
          <w:tcPr>
            <w:tcW w:w="0" w:type="auto"/>
          </w:tcPr>
          <w:p w14:paraId="3409308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0.157</w:t>
            </w:r>
          </w:p>
        </w:tc>
      </w:tr>
      <w:tr w:rsidR="00BC3C05" w:rsidRPr="00BC3C05" w14:paraId="6D04A69F" w14:textId="77777777" w:rsidTr="004A46E4">
        <w:tc>
          <w:tcPr>
            <w:tcW w:w="0" w:type="auto"/>
          </w:tcPr>
          <w:p w14:paraId="53056172"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Austria</w:t>
            </w:r>
          </w:p>
        </w:tc>
        <w:tc>
          <w:tcPr>
            <w:tcW w:w="0" w:type="auto"/>
          </w:tcPr>
          <w:p w14:paraId="10782E5B"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-0.549</w:t>
            </w:r>
          </w:p>
        </w:tc>
        <w:tc>
          <w:tcPr>
            <w:tcW w:w="0" w:type="auto"/>
          </w:tcPr>
          <w:p w14:paraId="6D9707A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-0.640</w:t>
            </w:r>
          </w:p>
        </w:tc>
        <w:tc>
          <w:tcPr>
            <w:tcW w:w="0" w:type="auto"/>
          </w:tcPr>
          <w:p w14:paraId="560DDDD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0.092</w:t>
            </w:r>
          </w:p>
        </w:tc>
      </w:tr>
      <w:tr w:rsidR="00BC3C05" w:rsidRPr="00BC3C05" w14:paraId="631DD68C" w14:textId="77777777" w:rsidTr="004A46E4">
        <w:tc>
          <w:tcPr>
            <w:tcW w:w="0" w:type="auto"/>
          </w:tcPr>
          <w:p w14:paraId="667904F7"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Netherlands</w:t>
            </w:r>
          </w:p>
        </w:tc>
        <w:tc>
          <w:tcPr>
            <w:tcW w:w="0" w:type="auto"/>
          </w:tcPr>
          <w:p w14:paraId="4BC06473"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-0.535</w:t>
            </w:r>
          </w:p>
        </w:tc>
        <w:tc>
          <w:tcPr>
            <w:tcW w:w="0" w:type="auto"/>
          </w:tcPr>
          <w:p w14:paraId="2EDA7F1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-0.688</w:t>
            </w:r>
          </w:p>
        </w:tc>
        <w:tc>
          <w:tcPr>
            <w:tcW w:w="0" w:type="auto"/>
          </w:tcPr>
          <w:p w14:paraId="0F4B9EF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0.153</w:t>
            </w:r>
          </w:p>
        </w:tc>
      </w:tr>
      <w:tr w:rsidR="00BC3C05" w:rsidRPr="00BC3C05" w14:paraId="5C058D4D" w14:textId="77777777" w:rsidTr="004A46E4">
        <w:tc>
          <w:tcPr>
            <w:tcW w:w="0" w:type="auto"/>
          </w:tcPr>
          <w:p w14:paraId="0ABCA5E2"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Spain</w:t>
            </w:r>
          </w:p>
        </w:tc>
        <w:tc>
          <w:tcPr>
            <w:tcW w:w="0" w:type="auto"/>
          </w:tcPr>
          <w:p w14:paraId="02348D9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-0.508</w:t>
            </w:r>
          </w:p>
        </w:tc>
        <w:tc>
          <w:tcPr>
            <w:tcW w:w="0" w:type="auto"/>
          </w:tcPr>
          <w:p w14:paraId="3528C66D"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-0.829</w:t>
            </w:r>
          </w:p>
        </w:tc>
        <w:tc>
          <w:tcPr>
            <w:tcW w:w="0" w:type="auto"/>
          </w:tcPr>
          <w:p w14:paraId="78512501"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0.322</w:t>
            </w:r>
          </w:p>
        </w:tc>
      </w:tr>
      <w:tr w:rsidR="00BC3C05" w:rsidRPr="00BC3C05" w14:paraId="40ABF410" w14:textId="77777777" w:rsidTr="004A46E4">
        <w:tc>
          <w:tcPr>
            <w:tcW w:w="0" w:type="auto"/>
          </w:tcPr>
          <w:p w14:paraId="5C0A991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Luxembourg</w:t>
            </w:r>
          </w:p>
        </w:tc>
        <w:tc>
          <w:tcPr>
            <w:tcW w:w="0" w:type="auto"/>
          </w:tcPr>
          <w:p w14:paraId="1D9EEFB4"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-0.493</w:t>
            </w:r>
          </w:p>
        </w:tc>
        <w:tc>
          <w:tcPr>
            <w:tcW w:w="0" w:type="auto"/>
          </w:tcPr>
          <w:p w14:paraId="755E8DA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-0.623</w:t>
            </w:r>
          </w:p>
        </w:tc>
        <w:tc>
          <w:tcPr>
            <w:tcW w:w="0" w:type="auto"/>
          </w:tcPr>
          <w:p w14:paraId="476D2186"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0.130</w:t>
            </w:r>
          </w:p>
        </w:tc>
      </w:tr>
      <w:tr w:rsidR="00BC3C05" w:rsidRPr="00BC3C05" w14:paraId="146A7679" w14:textId="77777777" w:rsidTr="004A46E4">
        <w:tc>
          <w:tcPr>
            <w:tcW w:w="0" w:type="auto"/>
          </w:tcPr>
          <w:p w14:paraId="1FBED03F"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lastRenderedPageBreak/>
              <w:t>Malta</w:t>
            </w:r>
          </w:p>
        </w:tc>
        <w:tc>
          <w:tcPr>
            <w:tcW w:w="0" w:type="auto"/>
          </w:tcPr>
          <w:p w14:paraId="7647D0D5"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-0.362</w:t>
            </w:r>
          </w:p>
        </w:tc>
        <w:tc>
          <w:tcPr>
            <w:tcW w:w="0" w:type="auto"/>
          </w:tcPr>
          <w:p w14:paraId="3C237450"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-0.585</w:t>
            </w:r>
          </w:p>
        </w:tc>
        <w:tc>
          <w:tcPr>
            <w:tcW w:w="0" w:type="auto"/>
          </w:tcPr>
          <w:p w14:paraId="37320159" w14:textId="77777777" w:rsidR="00BC3C05" w:rsidRPr="00BC3C05" w:rsidRDefault="00BC3C05" w:rsidP="00BC3C05">
            <w:pPr>
              <w:spacing w:line="360" w:lineRule="auto"/>
              <w:rPr>
                <w:rFonts w:ascii="Times New Roman" w:hAnsi="Times New Roman" w:cs="Times New Roman"/>
              </w:rPr>
            </w:pPr>
            <w:r w:rsidRPr="00BC3C05">
              <w:rPr>
                <w:rFonts w:ascii="Times New Roman" w:hAnsi="Times New Roman" w:cs="Times New Roman"/>
              </w:rPr>
              <w:t>0.223</w:t>
            </w:r>
          </w:p>
        </w:tc>
      </w:tr>
    </w:tbl>
    <w:tbl>
      <w:tblPr>
        <w:tblW w:w="4867" w:type="pct"/>
        <w:tblLook w:val="0020" w:firstRow="1" w:lastRow="0" w:firstColumn="0" w:lastColumn="0" w:noHBand="0" w:noVBand="0"/>
      </w:tblPr>
      <w:tblGrid>
        <w:gridCol w:w="3024"/>
        <w:gridCol w:w="1311"/>
        <w:gridCol w:w="2729"/>
        <w:gridCol w:w="1722"/>
      </w:tblGrid>
      <w:tr w:rsidR="00BC3C05" w:rsidRPr="00BC3C05" w14:paraId="728BC616" w14:textId="77777777" w:rsidTr="004A46E4">
        <w:tc>
          <w:tcPr>
            <w:tcW w:w="0" w:type="auto"/>
          </w:tcPr>
          <w:p w14:paraId="534FA9D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N</w:t>
            </w:r>
          </w:p>
        </w:tc>
        <w:tc>
          <w:tcPr>
            <w:tcW w:w="746" w:type="pct"/>
          </w:tcPr>
          <w:p w14:paraId="32338B8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520</w:t>
            </w:r>
          </w:p>
        </w:tc>
        <w:tc>
          <w:tcPr>
            <w:tcW w:w="1553" w:type="pct"/>
          </w:tcPr>
          <w:p w14:paraId="7E7D700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1820?</w:t>
            </w:r>
          </w:p>
        </w:tc>
        <w:tc>
          <w:tcPr>
            <w:tcW w:w="0" w:type="auto"/>
          </w:tcPr>
          <w:p w14:paraId="2D3F5AD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tc>
      </w:tr>
    </w:tbl>
    <w:p w14:paraId="773B22B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Note: Coefficients are on the log-applicant scale. Saturated TWFE effects are the country-specific EU × Post coefficients from the weighted model with 520 country-year observations. Synthetic </w:t>
      </w:r>
      <w:proofErr w:type="spellStart"/>
      <w:r w:rsidRPr="00BC3C05">
        <w:rPr>
          <w:rFonts w:ascii="Times New Roman" w:hAnsi="Times New Roman" w:cs="Times New Roman"/>
          <w:kern w:val="2"/>
          <w:sz w:val="24"/>
          <w:szCs w:val="24"/>
          <w14:ligatures w14:val="standardContextual"/>
        </w:rPr>
        <w:t>DiD</w:t>
      </w:r>
      <w:proofErr w:type="spellEnd"/>
      <w:r w:rsidRPr="00BC3C05">
        <w:rPr>
          <w:rFonts w:ascii="Times New Roman" w:hAnsi="Times New Roman" w:cs="Times New Roman"/>
          <w:kern w:val="2"/>
          <w:sz w:val="24"/>
          <w:szCs w:val="24"/>
          <w14:ligatures w14:val="standardContextual"/>
        </w:rPr>
        <w:t xml:space="preserve"> effects are 26 single-treated-unit estimates against 136 eligible sovereign-country controls. The correlation is 0.978 and the mean absolute difference is 0.163 log points.</w:t>
      </w:r>
    </w:p>
    <w:p w14:paraId="32B0AA5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3E82B06E" w14:textId="77777777" w:rsidR="00BC3C05" w:rsidRPr="00BC3C05" w:rsidRDefault="00BC3C05" w:rsidP="00BC3C05">
      <w:pPr>
        <w:numPr>
          <w:ilvl w:val="0"/>
          <w:numId w:val="9"/>
        </w:num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Discussion</w:t>
      </w:r>
    </w:p>
    <w:p w14:paraId="36B73EFB" w14:textId="77777777" w:rsidR="00BC3C05" w:rsidRPr="00BC3C05" w:rsidRDefault="00BC3C05" w:rsidP="00BC3C05">
      <w:pPr>
        <w:spacing w:after="0" w:line="360" w:lineRule="auto"/>
        <w:rPr>
          <w:rFonts w:ascii="Times New Roman" w:hAnsi="Times New Roman" w:cs="Times New Roman"/>
          <w:b/>
          <w:bCs/>
          <w:i/>
          <w:iCs/>
          <w:kern w:val="2"/>
          <w:sz w:val="24"/>
          <w:szCs w:val="24"/>
          <w14:ligatures w14:val="standardContextual"/>
        </w:rPr>
      </w:pPr>
    </w:p>
    <w:p w14:paraId="2EF806EA"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Were poor EU students really priced out because of elastic demand?</w:t>
      </w:r>
    </w:p>
    <w:p w14:paraId="7C2E0FC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A natural reading is that students from lower-income EU countries have more elastic demand. But this assumes the reform generated the same effective price change everywhere, which is unlikely. Before Brexit, tuition was financed through income-contingent loans, so the relevant price depended on expected earnings not the nominal fee, and removing the loans generated larger effective price increases for lower-income applicants.</w:t>
      </w:r>
    </w:p>
    <w:p w14:paraId="0E203E28"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To show how elasticities depend on loan valuation, we map the ATT coefficient </w:t>
      </w:r>
      <m:oMath>
        <m:r>
          <w:rPr>
            <w:rFonts w:ascii="Cambria Math" w:hAnsi="Cambria Math" w:cs="Times New Roman"/>
            <w:kern w:val="2"/>
            <w:sz w:val="24"/>
            <w:szCs w:val="24"/>
            <w14:ligatures w14:val="standardContextual"/>
          </w:rPr>
          <m:t>(β</m:t>
        </m:r>
        <m:r>
          <m:rPr>
            <m:sty m:val="p"/>
          </m:rPr>
          <w:rPr>
            <w:rFonts w:ascii="Cambria Math" w:hAnsi="Cambria Math" w:cs="Times New Roman"/>
            <w:kern w:val="2"/>
            <w:sz w:val="24"/>
            <w:szCs w:val="24"/>
            <w14:ligatures w14:val="standardContextual"/>
          </w:rPr>
          <m:t>=-</m:t>
        </m:r>
        <m:r>
          <w:rPr>
            <w:rFonts w:ascii="Cambria Math" w:hAnsi="Cambria Math" w:cs="Times New Roman"/>
            <w:kern w:val="2"/>
            <w:sz w:val="24"/>
            <w:szCs w:val="24"/>
            <w14:ligatures w14:val="standardContextual"/>
          </w:rPr>
          <m:t>1.109)</m:t>
        </m:r>
      </m:oMath>
      <w:r w:rsidRPr="00BC3C05">
        <w:rPr>
          <w:rFonts w:ascii="Times New Roman" w:hAnsi="Times New Roman" w:cs="Times New Roman"/>
          <w:kern w:val="2"/>
          <w:sz w:val="24"/>
          <w:szCs w:val="24"/>
          <w14:ligatures w14:val="standardContextual"/>
        </w:rPr>
        <w:t xml:space="preserve"> across a range of starting incomes (Figure 10). When the loan has low present value (low expected earnings), Brexit is a large effective shock and the implied elasticity is mechanically smaller in magnitude (about −0.4). When the present value approaches the nominal amount (high earnings), the effective shock is smaller and the implied elasticity larger in magnitude.</w:t>
      </w:r>
    </w:p>
    <w:p w14:paraId="05FD3790"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5E49372C" w14:textId="77777777" w:rsidR="00BC3C05" w:rsidRPr="00BC3C05" w:rsidRDefault="00BC3C05" w:rsidP="00BC3C05">
      <w:pPr>
        <w:keepNext/>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lastRenderedPageBreak/>
        <w:t>Figure 10.</w:t>
      </w:r>
      <w:r w:rsidRPr="00BC3C05">
        <w:rPr>
          <w:rFonts w:ascii="Times New Roman" w:hAnsi="Times New Roman" w:cs="Times New Roman"/>
          <w:kern w:val="2"/>
          <w:sz w:val="24"/>
          <w:szCs w:val="24"/>
          <w14:ligatures w14:val="standardContextual"/>
        </w:rPr>
        <w:t xml:space="preserve"> Implied demand elasticity as a function of the economic value of the UK student loan.</w:t>
      </w:r>
    </w:p>
    <w:p w14:paraId="39D6851A" w14:textId="77777777" w:rsidR="00BC3C05" w:rsidRPr="00BC3C05" w:rsidRDefault="00BC3C05" w:rsidP="00BC3C05">
      <w:pPr>
        <w:spacing w:after="0" w:line="360" w:lineRule="auto"/>
        <w:jc w:val="center"/>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inline distT="0" distB="0" distL="0" distR="0" wp14:anchorId="230BAAA4" wp14:editId="119E13C6">
            <wp:extent cx="5119494" cy="3656781"/>
            <wp:effectExtent l="0" t="0" r="0" b="0"/>
            <wp:docPr id="52" name="Picture" descr="Signed demand elasticity as a function of the present value of the UK student loan." title="Signed demand elasticity as a function of the present value of the UK student loan"/>
            <wp:cNvGraphicFramePr/>
            <a:graphic xmlns:a="http://schemas.openxmlformats.org/drawingml/2006/main">
              <a:graphicData uri="http://schemas.openxmlformats.org/drawingml/2006/picture">
                <pic:pic xmlns:pic="http://schemas.openxmlformats.org/drawingml/2006/picture">
                  <pic:nvPicPr>
                    <pic:cNvPr id="53" name="Picture" descr="media/image10.png"/>
                    <pic:cNvPicPr>
                      <a:picLocks noChangeAspect="1" noChangeArrowheads="1"/>
                    </pic:cNvPicPr>
                  </pic:nvPicPr>
                  <pic:blipFill>
                    <a:blip r:embed="rId20"/>
                    <a:stretch>
                      <a:fillRect/>
                    </a:stretch>
                  </pic:blipFill>
                  <pic:spPr bwMode="auto">
                    <a:xfrm>
                      <a:off x="0" y="0"/>
                      <a:ext cx="5119494" cy="3656781"/>
                    </a:xfrm>
                    <a:prstGeom prst="rect">
                      <a:avLst/>
                    </a:prstGeom>
                    <a:noFill/>
                    <a:ln w="9525">
                      <a:noFill/>
                      <a:headEnd/>
                      <a:tailEnd/>
                    </a:ln>
                  </pic:spPr>
                </pic:pic>
              </a:graphicData>
            </a:graphic>
          </wp:inline>
        </w:drawing>
      </w:r>
    </w:p>
    <w:p w14:paraId="75BD026B"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Note: The figure translates the pooled treatment effect into signed elasticities under alternative present values of the pre-Brexit loan. The convention is η = β/k, so the elasticities remain negative. Points correspond to illustrative expected graduate earnings.</w:t>
      </w:r>
    </w:p>
    <w:p w14:paraId="6F12CA1D"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3EE0B57E"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To examine whether cross-country heterogeneity persists after this adjustment, we define the signed loan-corrected elasticity as </w:t>
      </w:r>
      <w:proofErr w:type="spellStart"/>
      <w:r w:rsidRPr="00BC3C05">
        <w:rPr>
          <w:rFonts w:ascii="Times New Roman" w:eastAsiaTheme="minorEastAsia" w:hAnsi="Times New Roman" w:cs="Times New Roman"/>
          <w:kern w:val="2"/>
          <w:sz w:val="24"/>
          <w:szCs w:val="24"/>
          <w14:ligatures w14:val="standardContextual"/>
        </w:rPr>
        <w:t>η′j</w:t>
      </w:r>
      <w:proofErr w:type="spellEnd"/>
      <w:r w:rsidRPr="00BC3C05">
        <w:rPr>
          <w:rFonts w:ascii="Times New Roman" w:eastAsiaTheme="minorEastAsia" w:hAnsi="Times New Roman" w:cs="Times New Roman"/>
          <w:kern w:val="2"/>
          <w:sz w:val="24"/>
          <w:szCs w:val="24"/>
          <w14:ligatures w14:val="standardContextual"/>
        </w:rPr>
        <w:t xml:space="preserve"> = βj/</w:t>
      </w:r>
      <w:proofErr w:type="spellStart"/>
      <w:r w:rsidRPr="00BC3C05">
        <w:rPr>
          <w:rFonts w:ascii="Times New Roman" w:eastAsiaTheme="minorEastAsia" w:hAnsi="Times New Roman" w:cs="Times New Roman"/>
          <w:kern w:val="2"/>
          <w:sz w:val="24"/>
          <w:szCs w:val="24"/>
          <w14:ligatures w14:val="standardContextual"/>
        </w:rPr>
        <w:t>kj</w:t>
      </w:r>
      <w:proofErr w:type="spellEnd"/>
      <w:r w:rsidRPr="00BC3C05">
        <w:rPr>
          <w:rFonts w:ascii="Times New Roman" w:hAnsi="Times New Roman" w:cs="Times New Roman"/>
          <w:kern w:val="2"/>
          <w:sz w:val="24"/>
          <w:szCs w:val="24"/>
          <w14:ligatures w14:val="standardContextual"/>
        </w:rPr>
        <w:t>. Figure 11 compares the common-k and loan-adjusted values. The baseline calibration uses a 3% discount rate, a 9% repayment rate above the threshold, 2% nominal wage growth, and a 30-year horizon. The sensitivity analysis supports the baseline across the discount-rate sweep and most positive wage-growth calibrations, but not every point in the parameter grid.</w:t>
      </w:r>
    </w:p>
    <w:p w14:paraId="4D9F7F76"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7AE99FCA" w14:textId="77777777" w:rsidR="00BC3C05" w:rsidRPr="00BC3C05" w:rsidRDefault="00BC3C05" w:rsidP="00BC3C05">
      <w:pPr>
        <w:keepNext/>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lastRenderedPageBreak/>
        <w:drawing>
          <wp:anchor distT="0" distB="0" distL="114300" distR="114300" simplePos="0" relativeHeight="251661312" behindDoc="0" locked="0" layoutInCell="1" allowOverlap="1" wp14:anchorId="78693D43" wp14:editId="53569898">
            <wp:simplePos x="0" y="0"/>
            <wp:positionH relativeFrom="column">
              <wp:posOffset>76200</wp:posOffset>
            </wp:positionH>
            <wp:positionV relativeFrom="paragraph">
              <wp:posOffset>312420</wp:posOffset>
            </wp:positionV>
            <wp:extent cx="5731510" cy="2480945"/>
            <wp:effectExtent l="0" t="0" r="0" b="0"/>
            <wp:wrapTopAndBottom/>
            <wp:docPr id="369302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2007" name="Picture 3693020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80945"/>
                    </a:xfrm>
                    <a:prstGeom prst="rect">
                      <a:avLst/>
                    </a:prstGeom>
                  </pic:spPr>
                </pic:pic>
              </a:graphicData>
            </a:graphic>
          </wp:anchor>
        </w:drawing>
      </w:r>
      <w:r w:rsidRPr="00BC3C05">
        <w:rPr>
          <w:rFonts w:ascii="Times New Roman" w:hAnsi="Times New Roman" w:cs="Times New Roman"/>
          <w:b/>
          <w:bCs/>
          <w:kern w:val="2"/>
          <w:sz w:val="24"/>
          <w:szCs w:val="24"/>
          <w14:ligatures w14:val="standardContextual"/>
        </w:rPr>
        <w:t>Figure 11.</w:t>
      </w:r>
      <w:r w:rsidRPr="00BC3C05">
        <w:rPr>
          <w:rFonts w:ascii="Times New Roman" w:hAnsi="Times New Roman" w:cs="Times New Roman"/>
          <w:kern w:val="2"/>
          <w:sz w:val="24"/>
          <w:szCs w:val="24"/>
          <w14:ligatures w14:val="standardContextual"/>
        </w:rPr>
        <w:t xml:space="preserve"> Income gradient in demand elasticity.</w:t>
      </w:r>
    </w:p>
    <w:p w14:paraId="6FA404FC" w14:textId="77777777" w:rsidR="00BC3C05" w:rsidRPr="00BC3C05" w:rsidRDefault="00BC3C05" w:rsidP="00BC3C05">
      <w:pPr>
        <w:spacing w:after="0" w:line="360" w:lineRule="auto"/>
        <w:rPr>
          <w:rFonts w:ascii="Times New Roman" w:eastAsiaTheme="minorEastAsia" w:hAnsi="Times New Roman" w:cs="Times New Roman"/>
          <w:kern w:val="2"/>
          <w:sz w:val="24"/>
          <w:szCs w:val="24"/>
          <w14:ligatures w14:val="standardContextual"/>
        </w:rPr>
      </w:pPr>
      <w:r w:rsidRPr="00BC3C05">
        <w:rPr>
          <w:rFonts w:ascii="Times New Roman" w:hAnsi="Times New Roman" w:cs="Times New Roman"/>
          <w:b/>
          <w:bCs/>
          <w:kern w:val="2"/>
          <w:sz w:val="24"/>
          <w:szCs w:val="24"/>
          <w14:ligatures w14:val="standardContextual"/>
        </w:rPr>
        <w:t>Note:</w:t>
      </w:r>
      <w:r w:rsidRPr="00BC3C05">
        <w:rPr>
          <w:rFonts w:ascii="Times New Roman" w:hAnsi="Times New Roman"/>
          <w:b/>
          <w:kern w:val="2"/>
          <w:sz w:val="24"/>
          <w:szCs w:val="24"/>
          <w14:ligatures w14:val="standardContextual"/>
        </w:rPr>
        <w:t xml:space="preserve"> </w:t>
      </w:r>
      <w:r w:rsidRPr="00BC3C05">
        <w:rPr>
          <w:rFonts w:ascii="Times New Roman" w:hAnsi="Times New Roman"/>
          <w:bCs/>
          <w:kern w:val="2"/>
          <w:sz w:val="24"/>
          <w:szCs w:val="24"/>
          <w14:ligatures w14:val="standardContextual"/>
        </w:rPr>
        <w:t xml:space="preserve">The figure compares </w:t>
      </w:r>
      <w:r w:rsidRPr="00BC3C05">
        <w:rPr>
          <w:rFonts w:ascii="Times New Roman" w:hAnsi="Times New Roman" w:cs="Times New Roman"/>
          <w:bCs/>
          <w:kern w:val="2"/>
          <w:sz w:val="24"/>
          <w:szCs w:val="24"/>
          <w14:ligatures w14:val="standardContextual"/>
        </w:rPr>
        <w:t>signed elasticities under a common price shock</w:t>
      </w:r>
      <w:r w:rsidRPr="00BC3C05">
        <w:rPr>
          <w:rFonts w:ascii="Times New Roman" w:hAnsi="Times New Roman"/>
          <w:bCs/>
          <w:kern w:val="2"/>
          <w:sz w:val="24"/>
          <w:szCs w:val="24"/>
          <w14:ligatures w14:val="standardContextual"/>
        </w:rPr>
        <w:t xml:space="preserve"> with elasticities </w:t>
      </w:r>
      <w:r w:rsidRPr="00BC3C05">
        <w:rPr>
          <w:rFonts w:ascii="Times New Roman" w:hAnsi="Times New Roman" w:cs="Times New Roman"/>
          <w:bCs/>
          <w:kern w:val="2"/>
          <w:sz w:val="24"/>
          <w:szCs w:val="24"/>
          <w14:ligatures w14:val="standardContextual"/>
        </w:rPr>
        <w:t xml:space="preserve">using country-specific </w:t>
      </w:r>
      <w:r w:rsidRPr="00BC3C05">
        <w:rPr>
          <w:rFonts w:ascii="Times New Roman" w:hAnsi="Times New Roman"/>
          <w:bCs/>
          <w:kern w:val="2"/>
          <w:sz w:val="24"/>
          <w:szCs w:val="24"/>
          <w14:ligatures w14:val="standardContextual"/>
        </w:rPr>
        <w:t xml:space="preserve">loan </w:t>
      </w:r>
      <w:r w:rsidRPr="00BC3C05">
        <w:rPr>
          <w:rFonts w:ascii="Times New Roman" w:hAnsi="Times New Roman" w:cs="Times New Roman"/>
          <w:bCs/>
          <w:kern w:val="2"/>
          <w:sz w:val="24"/>
          <w:szCs w:val="24"/>
          <w14:ligatures w14:val="standardContextual"/>
        </w:rPr>
        <w:t>values. Countries are ordered</w:t>
      </w:r>
      <w:r w:rsidRPr="00BC3C05">
        <w:rPr>
          <w:rFonts w:ascii="Times New Roman" w:hAnsi="Times New Roman"/>
          <w:bCs/>
          <w:kern w:val="2"/>
          <w:sz w:val="24"/>
          <w:szCs w:val="24"/>
          <w14:ligatures w14:val="standardContextual"/>
        </w:rPr>
        <w:t xml:space="preserve"> from lowest to highest log GDP per capita </w:t>
      </w:r>
      <w:r w:rsidRPr="00BC3C05">
        <w:rPr>
          <w:rFonts w:ascii="Times New Roman" w:hAnsi="Times New Roman" w:cs="Times New Roman"/>
          <w:bCs/>
          <w:kern w:val="2"/>
          <w:sz w:val="24"/>
          <w:szCs w:val="24"/>
          <w14:ligatures w14:val="standardContextual"/>
        </w:rPr>
        <w:t xml:space="preserve">at purchasing-power parity. The horizontal axis </w:t>
      </w:r>
      <w:r w:rsidRPr="00BC3C05">
        <w:rPr>
          <w:rFonts w:ascii="Times New Roman" w:hAnsi="Times New Roman"/>
          <w:bCs/>
          <w:kern w:val="2"/>
          <w:sz w:val="24"/>
          <w:szCs w:val="24"/>
          <w14:ligatures w14:val="standardContextual"/>
        </w:rPr>
        <w:t xml:space="preserve">is </w:t>
      </w:r>
      <w:r w:rsidRPr="00BC3C05">
        <w:rPr>
          <w:rFonts w:ascii="Times New Roman" w:hAnsi="Times New Roman" w:cs="Times New Roman"/>
          <w:bCs/>
          <w:kern w:val="2"/>
          <w:sz w:val="24"/>
          <w:szCs w:val="24"/>
          <w14:ligatures w14:val="standardContextual"/>
        </w:rPr>
        <w:t xml:space="preserve">therefore </w:t>
      </w:r>
      <w:r w:rsidRPr="00BC3C05">
        <w:rPr>
          <w:rFonts w:ascii="Times New Roman" w:hAnsi="Times New Roman"/>
          <w:bCs/>
          <w:kern w:val="2"/>
          <w:sz w:val="24"/>
          <w:szCs w:val="24"/>
          <w14:ligatures w14:val="standardContextual"/>
        </w:rPr>
        <w:t>a country-ranking axis</w:t>
      </w:r>
      <w:r w:rsidRPr="00BC3C05">
        <w:rPr>
          <w:rFonts w:ascii="Times New Roman" w:hAnsi="Times New Roman" w:cs="Times New Roman"/>
          <w:bCs/>
          <w:kern w:val="2"/>
          <w:sz w:val="24"/>
          <w:szCs w:val="24"/>
          <w14:ligatures w14:val="standardContextual"/>
        </w:rPr>
        <w:t>.</w:t>
      </w:r>
      <w:r w:rsidRPr="00BC3C05">
        <w:rPr>
          <w:rFonts w:ascii="Times New Roman" w:hAnsi="Times New Roman"/>
          <w:bCs/>
          <w:kern w:val="2"/>
          <w:sz w:val="24"/>
          <w:szCs w:val="24"/>
          <w14:ligatures w14:val="standardContextual"/>
        </w:rPr>
        <w:t xml:space="preserve"> The </w:t>
      </w:r>
      <w:r w:rsidRPr="00BC3C05">
        <w:rPr>
          <w:rFonts w:ascii="Times New Roman" w:hAnsi="Times New Roman" w:cs="Times New Roman"/>
          <w:bCs/>
          <w:kern w:val="2"/>
          <w:sz w:val="24"/>
          <w:szCs w:val="24"/>
          <w14:ligatures w14:val="standardContextual"/>
        </w:rPr>
        <w:t xml:space="preserve">signed convention is </w:t>
      </w:r>
      <w:proofErr w:type="spellStart"/>
      <w:r w:rsidRPr="00BC3C05">
        <w:rPr>
          <w:rFonts w:ascii="Times New Roman" w:hAnsi="Times New Roman" w:cs="Times New Roman"/>
          <w:bCs/>
          <w:kern w:val="2"/>
          <w:sz w:val="24"/>
          <w:szCs w:val="24"/>
          <w14:ligatures w14:val="standardContextual"/>
        </w:rPr>
        <w:t>η′j</w:t>
      </w:r>
      <w:proofErr w:type="spellEnd"/>
      <w:r w:rsidRPr="00BC3C05">
        <w:rPr>
          <w:rFonts w:ascii="Times New Roman" w:hAnsi="Times New Roman" w:cs="Times New Roman"/>
          <w:bCs/>
          <w:kern w:val="2"/>
          <w:sz w:val="24"/>
          <w:szCs w:val="24"/>
          <w14:ligatures w14:val="standardContextual"/>
        </w:rPr>
        <w:t xml:space="preserve"> = βj/</w:t>
      </w:r>
      <w:proofErr w:type="spellStart"/>
      <w:r w:rsidRPr="00BC3C05">
        <w:rPr>
          <w:rFonts w:ascii="Times New Roman" w:hAnsi="Times New Roman" w:cs="Times New Roman"/>
          <w:bCs/>
          <w:kern w:val="2"/>
          <w:sz w:val="24"/>
          <w:szCs w:val="24"/>
          <w14:ligatures w14:val="standardContextual"/>
        </w:rPr>
        <w:t>kj</w:t>
      </w:r>
      <w:proofErr w:type="spellEnd"/>
      <w:r w:rsidRPr="00BC3C05">
        <w:rPr>
          <w:rFonts w:ascii="Times New Roman" w:hAnsi="Times New Roman" w:cs="Times New Roman"/>
          <w:bCs/>
          <w:kern w:val="2"/>
          <w:sz w:val="24"/>
          <w:szCs w:val="24"/>
          <w14:ligatures w14:val="standardContextual"/>
        </w:rPr>
        <w:t xml:space="preserve">, so </w:t>
      </w:r>
      <w:r w:rsidRPr="00BC3C05">
        <w:rPr>
          <w:rFonts w:ascii="Times New Roman" w:hAnsi="Times New Roman"/>
          <w:bCs/>
          <w:kern w:val="2"/>
          <w:sz w:val="24"/>
          <w:szCs w:val="24"/>
          <w14:ligatures w14:val="standardContextual"/>
        </w:rPr>
        <w:t xml:space="preserve">negative </w:t>
      </w:r>
      <w:r w:rsidRPr="00BC3C05">
        <w:rPr>
          <w:rFonts w:ascii="Times New Roman" w:hAnsi="Times New Roman" w:cs="Times New Roman"/>
          <w:bCs/>
          <w:kern w:val="2"/>
          <w:sz w:val="24"/>
          <w:szCs w:val="24"/>
          <w14:ligatures w14:val="standardContextual"/>
        </w:rPr>
        <w:t>values indicate downward-sloping demand.</w:t>
      </w:r>
    </w:p>
    <w:p w14:paraId="02603A73"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40AF0DD7"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Before the loan adjustment, the slope of elasticity on log GDP per capita is 1.118 (HC1 p = .0006). After using the country-specific effective price shocks, the slope is −0.359 (HC1 p = .244). The difference is consistent with treatment intensity accounting for much of the raw income gradient, subject to the maintained loan-calibration assumptions.</w:t>
      </w:r>
    </w:p>
    <w:p w14:paraId="16B2D690" w14:textId="77777777" w:rsidR="00BC3C05" w:rsidRPr="00BC3C05" w:rsidDel="00FC7E0B"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After correction, Finland, Denmark, Slovenia, Germany, and Luxembourg have some of the largest elasticity magnitudes. One possible interpretation is that applicants from these countries have more domestic or international substitutes. The current data do not measure those alternatives directly, so this explanation remains a hypothesis rather than an established mechanism.</w:t>
      </w:r>
    </w:p>
    <w:p w14:paraId="65DE1A8B"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14AD243C"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Politically, the decline from poorer EU countries reflects the withdrawal of an institution that had quietly equalized opportunity across Europe. The income-contingent loan meant students did not need to arrive with wealth, only the expectation of future earnings. When it disappeared for EU applicants, the effective cost of UK study rose sharply for those from poorer economies. What looks like elastic demand is better understood as the sudden loss of a mechanism that let talent travel without immediate financial means. In that sense the reform did not simply reveal price sensitivity; it exposed how fragile educational mobility is once the supporting institutions are removed.</w:t>
      </w:r>
    </w:p>
    <w:p w14:paraId="5153CE30"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p>
    <w:p w14:paraId="1719F0B7" w14:textId="77777777" w:rsidR="00BC3C05" w:rsidRPr="00BC3C05" w:rsidRDefault="00BC3C05" w:rsidP="00BC3C05">
      <w:pPr>
        <w:keepNext/>
        <w:spacing w:after="0" w:line="360" w:lineRule="auto"/>
        <w:rPr>
          <w:rFonts w:ascii="Times New Roman" w:hAnsi="Times New Roman" w:cs="Times New Roman"/>
          <w:b/>
          <w:bCs/>
          <w:i/>
          <w:iCs/>
          <w:kern w:val="2"/>
          <w:sz w:val="24"/>
          <w:szCs w:val="24"/>
          <w14:ligatures w14:val="standardContextual"/>
        </w:rPr>
      </w:pPr>
      <w:r w:rsidRPr="00BC3C05">
        <w:rPr>
          <w:rFonts w:ascii="Times New Roman" w:hAnsi="Times New Roman" w:cs="Times New Roman"/>
          <w:b/>
          <w:bCs/>
          <w:i/>
          <w:iCs/>
          <w:kern w:val="2"/>
          <w:sz w:val="24"/>
          <w:szCs w:val="24"/>
          <w14:ligatures w14:val="standardContextual"/>
        </w:rPr>
        <w:t>What are the real determinants of the corrected elasticity?</w:t>
      </w:r>
    </w:p>
    <w:p w14:paraId="593457D3" w14:textId="77777777" w:rsidR="00BC3C05" w:rsidRPr="00BC3C05" w:rsidRDefault="00BC3C05" w:rsidP="00BC3C05">
      <w:pPr>
        <w:keepNext/>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noProof/>
          <w:kern w:val="2"/>
          <w:sz w:val="24"/>
          <w:szCs w:val="24"/>
          <w14:ligatures w14:val="standardContextual"/>
        </w:rPr>
        <w:drawing>
          <wp:anchor distT="0" distB="0" distL="114300" distR="114300" simplePos="0" relativeHeight="251660288" behindDoc="0" locked="0" layoutInCell="1" allowOverlap="1" wp14:anchorId="46C025C3" wp14:editId="46F22A89">
            <wp:simplePos x="0" y="0"/>
            <wp:positionH relativeFrom="column">
              <wp:posOffset>152400</wp:posOffset>
            </wp:positionH>
            <wp:positionV relativeFrom="paragraph">
              <wp:posOffset>514985</wp:posOffset>
            </wp:positionV>
            <wp:extent cx="5731510" cy="3261995"/>
            <wp:effectExtent l="0" t="0" r="0" b="1905"/>
            <wp:wrapTopAndBottom/>
            <wp:docPr id="532432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2199" name="Picture 5324321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anchor>
        </w:drawing>
      </w:r>
      <w:r w:rsidRPr="00BC3C05">
        <w:rPr>
          <w:rFonts w:ascii="Times New Roman" w:hAnsi="Times New Roman" w:cs="Times New Roman"/>
          <w:b/>
          <w:bCs/>
          <w:kern w:val="2"/>
          <w:sz w:val="24"/>
          <w:szCs w:val="24"/>
          <w14:ligatures w14:val="standardContextual"/>
        </w:rPr>
        <w:t>Figure 12.</w:t>
      </w:r>
      <w:r w:rsidRPr="00BC3C05">
        <w:rPr>
          <w:rFonts w:ascii="Times New Roman" w:hAnsi="Times New Roman" w:cs="Times New Roman"/>
          <w:kern w:val="2"/>
          <w:sz w:val="24"/>
          <w:szCs w:val="24"/>
          <w14:ligatures w14:val="standardContextual"/>
        </w:rPr>
        <w:t xml:space="preserve"> Alternative correlations between the corrected income elasticity and macroeconomic fundamentals.</w:t>
      </w:r>
    </w:p>
    <w:p w14:paraId="481A0E19"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Note: Each row is a separate cross-sectional OLS regression with HC1 robust standard errors using 2022 World Bank data. Elasticities are signed negative values. The accompanying code also reports sample sizes and Benjamini–Hochberg-adjusted p-values across the six exploratory comparisons.</w:t>
      </w:r>
    </w:p>
    <w:p w14:paraId="2A9BA3C2"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2FE618A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Figure 12 shows that most macroeconomic indicators have wide confidence intervals and low explanatory power in the cross-sections with the corrected elasticity. GDP per capita, tertiary enrollment, net migration, youth unemployment, and Gini do not show precise bivariate associations with the rescaled elasticity.  However, the only variable that appears to be moving the loan-corrected elasticity is education spending as a share of GDP, with a negative, significant coefficient and the largest explanatory power among those tested. Countries investing more in education show stronger residual price responsiveness to UK tuition increases, which also reframes the post-Brexit heterogeneity. Before correction, poorer countries looked most elastic because their declines in applicant numbers were largest against a uniform nominal fee shock. After correcting for the unequal value of the lost loan, the remaining elasticity is better explained by the structure of educational opportunity within the home-country. This points to a two-stage mechanism where the raw collapse from lower-</w:t>
      </w:r>
      <w:r w:rsidRPr="00BC3C05">
        <w:rPr>
          <w:rFonts w:ascii="Times New Roman" w:hAnsi="Times New Roman" w:cs="Times New Roman"/>
          <w:kern w:val="2"/>
          <w:sz w:val="24"/>
          <w:szCs w:val="24"/>
          <w14:ligatures w14:val="standardContextual"/>
        </w:rPr>
        <w:lastRenderedPageBreak/>
        <w:t xml:space="preserve">income countries reflects the removal of an equalizing credit institution, while the remaining variation in corrected elasticities reflects the substitution possibilities national education systems create. </w:t>
      </w:r>
    </w:p>
    <w:p w14:paraId="294D7E77"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Ultimately, the correlation between GDP invested in education and the corrected elasticity is more naturally interpreted as a mobility argument than a pure price argument. Greater investment in the domestic higher education system is consistent with students having more credible local educational alternatives. Under the common corrected price shock, these additional alternatives are associated with greater measured responsiveness to UK tuition because students face a genuine choice between remaining at home and studying abroad. Conversely, lower corrected elasticities may indicate that applicants have fewer viable domestic options and therefore weaker ability to substitute away from UK study. In this sense, the corrected elasticity may capture not only price responsiveness, but also the degree of educational mobility created by the origin country's higher education system.</w:t>
      </w:r>
    </w:p>
    <w:p w14:paraId="1CF95800"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24B1B764" w14:textId="77777777" w:rsidR="00BC3C05" w:rsidRPr="00BC3C05" w:rsidRDefault="00BC3C05" w:rsidP="00BC3C05">
      <w:pPr>
        <w:numPr>
          <w:ilvl w:val="0"/>
          <w:numId w:val="9"/>
        </w:numPr>
        <w:spacing w:after="0" w:line="360" w:lineRule="auto"/>
        <w:rPr>
          <w:rFonts w:ascii="Times New Roman" w:hAnsi="Times New Roman" w:cs="Times New Roman"/>
          <w:b/>
          <w:kern w:val="2"/>
          <w:sz w:val="24"/>
          <w:szCs w:val="24"/>
          <w14:ligatures w14:val="standardContextual"/>
        </w:rPr>
      </w:pPr>
      <w:r w:rsidRPr="00BC3C05">
        <w:rPr>
          <w:rFonts w:ascii="Times New Roman" w:hAnsi="Times New Roman" w:cs="Times New Roman"/>
          <w:b/>
          <w:bCs/>
          <w:i/>
          <w:iCs/>
          <w:kern w:val="2"/>
          <w:sz w:val="24"/>
          <w:szCs w:val="24"/>
          <w14:ligatures w14:val="standardContextual"/>
        </w:rPr>
        <w:t>Conclusion</w:t>
      </w:r>
    </w:p>
    <w:p w14:paraId="50D5446E"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20AF0648"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This manuscript establishes three main findings. First, the estimated price elasticities of international student demand are considerably larger than the ranges of 0.10-0.40 commonly reported in the literature, with absolute magnitudes exceeding 2 for some EU-origin countries. Second, the cross-country ordering of these elasticities changes once they are rescaled using country-specific valuations of the lost income-contingent loan. Under a common price shock, applicants from lower-income countries appear substantially more responsive. Once the effective price change incorporates the heterogeneous value of the loan, the relationship between elasticity and national income becomes statistically insignificant.</w:t>
      </w:r>
    </w:p>
    <w:p w14:paraId="7590B538"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Much of the initial heterogeneity is therefore consistent with differences in the financial intensity of the Brexit shock instead of stable differences in preferences. The remaining elasticity variation has an exploratory association with education spending, but that result is sensitive to small samples and multiple testing. Future work should test the proposed substitution mechanism with direct measures of domestic educational opportunity.</w:t>
      </w:r>
    </w:p>
    <w:p w14:paraId="4B8526F8"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These findings open a wider research agenda concerning the effects of Brexit on higher education mobility across the European Union. One immediate question concerns what happened to the demand displaced from the United Kingdom. If these applicants did not abandon international study and instead moved towards adjacent systems, the contraction in UK demand may have generated significant pressures elsewhere. Ireland is an especially </w:t>
      </w:r>
      <w:r w:rsidRPr="00BC3C05">
        <w:rPr>
          <w:rFonts w:ascii="Times New Roman" w:hAnsi="Times New Roman" w:cs="Times New Roman"/>
          <w:kern w:val="2"/>
          <w:sz w:val="24"/>
          <w:szCs w:val="24"/>
          <w14:ligatures w14:val="standardContextual"/>
        </w:rPr>
        <w:lastRenderedPageBreak/>
        <w:t>relevant case because it remained inside the European Union while offering an English-language higher education system close to the United Kingdom. The reallocation of demand towards Ireland or similar destinations may have placed pressure on university capacity, student accommodation, staffing, and other parts of the receiving system. Establishing whether such displacement occurred, and whether the receiving systems were able to absorb it, would extend the analysis from the loss of demand in the United Kingdom to the wider European consequences of the reform.</w:t>
      </w:r>
    </w:p>
    <w:p w14:paraId="4E34DB13"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A second question concerns the difference between domestic and cross-border demand elasticities. Most studies of higher education demand examine decisions made within the borders of the provider country and predominantly involve domestic students. These students are more closely tied to their national institutional environment and are often protected by financial mechanisms specifically designed around the domestic tuition system. This may help explain why conventional estimates are smaller than those obtained here. International applicants face a different choice. They can substitute between national education systems, while the financial support available in their home country may not cover the heterogeneous tuition fees charged abroad. National student-support systems are generally designed for domestic education and are rarely portable across the European Union.</w:t>
      </w:r>
    </w:p>
    <w:p w14:paraId="5CC53FB8" w14:textId="77777777" w:rsidR="00BC3C05" w:rsidRPr="00BC3C05" w:rsidRDefault="00BC3C05" w:rsidP="00BC3C05">
      <w:pPr>
        <w:spacing w:after="0" w:line="360" w:lineRule="auto"/>
        <w:ind w:firstLine="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The same percentage increase in tuition can therefore produce very different responses depending on the applicant’s origin and available alternatives. An increase in the price of UK higher education for a Lithuanian applicant is economically different from an equivalent increase faced by a domestic UK student. The Lithuanian applicant can redirect the application towards another European system, yet does not have access to the financial support provided to domestic UK students. The resulting elasticity reflects the tuition increase, the availability of alternative destinations, and the absence of portable financial support. The large elasticities estimated in this manuscript may therefore reveal a broader distinction between domestic and international student demand. Price responsiveness depends on the geographical scope of the choice, the alternatives available to applicants, and the institutions that allow educational finance to cross national borders.</w:t>
      </w:r>
    </w:p>
    <w:p w14:paraId="162A4B3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br/>
      </w:r>
    </w:p>
    <w:p w14:paraId="6F934601"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7FF17ED5"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p>
    <w:p w14:paraId="6E9BB5ED" w14:textId="77777777" w:rsidR="00BC3C05" w:rsidRPr="00BC3C05" w:rsidRDefault="00BC3C05" w:rsidP="00BC3C05">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t>References</w:t>
      </w:r>
    </w:p>
    <w:bookmarkEnd w:id="0"/>
    <w:p w14:paraId="1A8FEEC2" w14:textId="77777777" w:rsidR="0042694A" w:rsidRPr="00BC3C05" w:rsidRDefault="0042694A" w:rsidP="0042694A">
      <w:pPr>
        <w:spacing w:after="0" w:line="360" w:lineRule="auto"/>
        <w:rPr>
          <w:rFonts w:ascii="Times New Roman" w:hAnsi="Times New Roman" w:cs="Times New Roman"/>
          <w:kern w:val="2"/>
          <w:sz w:val="24"/>
          <w:szCs w:val="24"/>
          <w14:ligatures w14:val="standardContextual"/>
        </w:rPr>
      </w:pPr>
    </w:p>
    <w:p w14:paraId="1EC74A7E" w14:textId="77777777" w:rsidR="0042694A" w:rsidRPr="00BC3C05" w:rsidRDefault="0042694A" w:rsidP="0042694A">
      <w:pPr>
        <w:spacing w:after="0" w:line="360" w:lineRule="auto"/>
        <w:rPr>
          <w:rFonts w:ascii="Times New Roman" w:hAnsi="Times New Roman" w:cs="Times New Roman"/>
          <w:kern w:val="2"/>
          <w:sz w:val="24"/>
          <w:szCs w:val="24"/>
          <w14:ligatures w14:val="standardContextual"/>
        </w:rPr>
      </w:pPr>
      <w:r w:rsidRPr="00BC3C05">
        <w:rPr>
          <w:rFonts w:ascii="Times New Roman" w:hAnsi="Times New Roman" w:cs="Times New Roman"/>
          <w:b/>
          <w:bCs/>
          <w:i/>
          <w:iCs/>
          <w:kern w:val="2"/>
          <w:sz w:val="24"/>
          <w:szCs w:val="24"/>
          <w14:ligatures w14:val="standardContextual"/>
        </w:rPr>
        <w:lastRenderedPageBreak/>
        <w:t>References</w:t>
      </w:r>
    </w:p>
    <w:p w14:paraId="5E817839"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Abadie, A. (2021). Using synthetic controls: Feasibility, data requirements, and methodological aspects. Journal of Economic Literature, 59(2), 391–425. </w:t>
      </w:r>
      <w:hyperlink r:id="rId23">
        <w:r w:rsidRPr="00BC3C05">
          <w:rPr>
            <w:rFonts w:ascii="Times New Roman" w:hAnsi="Times New Roman" w:cs="Times New Roman"/>
            <w:color w:val="0563C1" w:themeColor="hyperlink"/>
            <w:kern w:val="2"/>
            <w:sz w:val="24"/>
            <w:szCs w:val="24"/>
            <w:u w:val="single"/>
            <w14:ligatures w14:val="standardContextual"/>
          </w:rPr>
          <w:t>https://doi.org/10.1257/jel.20191450</w:t>
        </w:r>
      </w:hyperlink>
    </w:p>
    <w:p w14:paraId="27EE023E"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Arel-Bundock, V. (2022). WDI: World Development Indicators and other World Bank data (R package version 2.7.8) [Computer software]. </w:t>
      </w:r>
      <w:hyperlink r:id="rId24">
        <w:r w:rsidRPr="00BC3C05">
          <w:rPr>
            <w:rFonts w:ascii="Times New Roman" w:hAnsi="Times New Roman" w:cs="Times New Roman"/>
            <w:color w:val="0563C1" w:themeColor="hyperlink"/>
            <w:kern w:val="2"/>
            <w:sz w:val="24"/>
            <w:szCs w:val="24"/>
            <w:u w:val="single"/>
            <w14:ligatures w14:val="standardContextual"/>
          </w:rPr>
          <w:t>https://CRAN.R-project.org/package=WDI</w:t>
        </w:r>
      </w:hyperlink>
    </w:p>
    <w:p w14:paraId="70D8CEB3"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Arel-Bundock, V., Enevoldsen, N., &amp; </w:t>
      </w:r>
      <w:proofErr w:type="spellStart"/>
      <w:r w:rsidRPr="00BC3C05">
        <w:rPr>
          <w:rFonts w:ascii="Times New Roman" w:hAnsi="Times New Roman" w:cs="Times New Roman"/>
          <w:kern w:val="2"/>
          <w:sz w:val="24"/>
          <w:szCs w:val="24"/>
          <w14:ligatures w14:val="standardContextual"/>
        </w:rPr>
        <w:t>Yetman</w:t>
      </w:r>
      <w:proofErr w:type="spellEnd"/>
      <w:r w:rsidRPr="00BC3C05">
        <w:rPr>
          <w:rFonts w:ascii="Times New Roman" w:hAnsi="Times New Roman" w:cs="Times New Roman"/>
          <w:kern w:val="2"/>
          <w:sz w:val="24"/>
          <w:szCs w:val="24"/>
          <w14:ligatures w14:val="standardContextual"/>
        </w:rPr>
        <w:t xml:space="preserve">, C. J. (2018). </w:t>
      </w:r>
      <w:proofErr w:type="spellStart"/>
      <w:r w:rsidRPr="00BC3C05">
        <w:rPr>
          <w:rFonts w:ascii="Times New Roman" w:hAnsi="Times New Roman" w:cs="Times New Roman"/>
          <w:kern w:val="2"/>
          <w:sz w:val="24"/>
          <w:szCs w:val="24"/>
          <w14:ligatures w14:val="standardContextual"/>
        </w:rPr>
        <w:t>countrycode</w:t>
      </w:r>
      <w:proofErr w:type="spellEnd"/>
      <w:r w:rsidRPr="00BC3C05">
        <w:rPr>
          <w:rFonts w:ascii="Times New Roman" w:hAnsi="Times New Roman" w:cs="Times New Roman"/>
          <w:kern w:val="2"/>
          <w:sz w:val="24"/>
          <w:szCs w:val="24"/>
          <w14:ligatures w14:val="standardContextual"/>
        </w:rPr>
        <w:t xml:space="preserve">: An R package to convert country names and country codes. </w:t>
      </w:r>
      <w:r w:rsidRPr="00BC3C05">
        <w:rPr>
          <w:rFonts w:ascii="Times New Roman" w:hAnsi="Times New Roman" w:cs="Times New Roman"/>
          <w:i/>
          <w:iCs/>
          <w:kern w:val="2"/>
          <w:sz w:val="24"/>
          <w:szCs w:val="24"/>
          <w14:ligatures w14:val="standardContextual"/>
        </w:rPr>
        <w:t>Journal of Open Source Software</w:t>
      </w:r>
      <w:r w:rsidRPr="00BC3C05">
        <w:rPr>
          <w:rFonts w:ascii="Times New Roman" w:hAnsi="Times New Roman" w:cs="Times New Roman"/>
          <w:kern w:val="2"/>
          <w:sz w:val="24"/>
          <w:szCs w:val="24"/>
          <w14:ligatures w14:val="standardContextual"/>
        </w:rPr>
        <w:t xml:space="preserve">, 3(28), 848. </w:t>
      </w:r>
      <w:hyperlink r:id="rId25">
        <w:r w:rsidRPr="00BC3C05">
          <w:rPr>
            <w:rFonts w:ascii="Times New Roman" w:hAnsi="Times New Roman" w:cs="Times New Roman"/>
            <w:color w:val="0563C1" w:themeColor="hyperlink"/>
            <w:kern w:val="2"/>
            <w:sz w:val="24"/>
            <w:szCs w:val="24"/>
            <w:u w:val="single"/>
            <w14:ligatures w14:val="standardContextual"/>
          </w:rPr>
          <w:t>https://doi.org/10.21105/joss.00848</w:t>
        </w:r>
      </w:hyperlink>
    </w:p>
    <w:p w14:paraId="487EA27C"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Arkhangelsky, D., Athey, S., Hirshberg, D. A., </w:t>
      </w:r>
      <w:proofErr w:type="spellStart"/>
      <w:r w:rsidRPr="00BC3C05">
        <w:rPr>
          <w:rFonts w:ascii="Times New Roman" w:hAnsi="Times New Roman" w:cs="Times New Roman"/>
          <w:kern w:val="2"/>
          <w:sz w:val="24"/>
          <w:szCs w:val="24"/>
          <w14:ligatures w14:val="standardContextual"/>
        </w:rPr>
        <w:t>Imbens</w:t>
      </w:r>
      <w:proofErr w:type="spellEnd"/>
      <w:r w:rsidRPr="00BC3C05">
        <w:rPr>
          <w:rFonts w:ascii="Times New Roman" w:hAnsi="Times New Roman" w:cs="Times New Roman"/>
          <w:kern w:val="2"/>
          <w:sz w:val="24"/>
          <w:szCs w:val="24"/>
          <w14:ligatures w14:val="standardContextual"/>
        </w:rPr>
        <w:t xml:space="preserve">, G. W., &amp; Wager, S. (2021). Synthetic difference-in-differences. </w:t>
      </w:r>
      <w:r w:rsidRPr="00BC3C05">
        <w:rPr>
          <w:rFonts w:ascii="Times New Roman" w:hAnsi="Times New Roman" w:cs="Times New Roman"/>
          <w:i/>
          <w:iCs/>
          <w:kern w:val="2"/>
          <w:sz w:val="24"/>
          <w:szCs w:val="24"/>
          <w14:ligatures w14:val="standardContextual"/>
        </w:rPr>
        <w:t>American Economic Review, 111</w:t>
      </w:r>
      <w:r w:rsidRPr="00BC3C05">
        <w:rPr>
          <w:rFonts w:ascii="Times New Roman" w:hAnsi="Times New Roman" w:cs="Times New Roman"/>
          <w:kern w:val="2"/>
          <w:sz w:val="24"/>
          <w:szCs w:val="24"/>
          <w14:ligatures w14:val="standardContextual"/>
        </w:rPr>
        <w:t xml:space="preserve">(12), 4088–4118. </w:t>
      </w:r>
      <w:hyperlink r:id="rId26">
        <w:r w:rsidRPr="00BC3C05">
          <w:rPr>
            <w:rFonts w:ascii="Times New Roman" w:hAnsi="Times New Roman" w:cs="Times New Roman"/>
            <w:color w:val="0563C1" w:themeColor="hyperlink"/>
            <w:kern w:val="2"/>
            <w:sz w:val="24"/>
            <w:szCs w:val="24"/>
            <w:u w:val="single"/>
            <w14:ligatures w14:val="standardContextual"/>
          </w:rPr>
          <w:t>https://doi.org/10.1257/aer.20190159</w:t>
        </w:r>
      </w:hyperlink>
    </w:p>
    <w:p w14:paraId="3D2C59D2"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kern w:val="2"/>
          <w:sz w:val="24"/>
          <w:szCs w:val="24"/>
          <w14:ligatures w14:val="standardContextual"/>
        </w:rPr>
        <w:t xml:space="preserve">Brown, R. (2011). </w:t>
      </w:r>
      <w:r w:rsidRPr="00BC3C05">
        <w:rPr>
          <w:rFonts w:ascii="Times New Roman" w:hAnsi="Times New Roman"/>
          <w:i/>
          <w:kern w:val="2"/>
          <w:sz w:val="24"/>
          <w:szCs w:val="24"/>
          <w14:ligatures w14:val="standardContextual"/>
        </w:rPr>
        <w:t>After Browne: The new competitive regime for English higher education</w:t>
      </w:r>
      <w:r w:rsidRPr="00BC3C05">
        <w:rPr>
          <w:rFonts w:ascii="Times New Roman" w:hAnsi="Times New Roman"/>
          <w:kern w:val="2"/>
          <w:sz w:val="24"/>
          <w:szCs w:val="24"/>
          <w14:ligatures w14:val="standardContextual"/>
        </w:rPr>
        <w:t xml:space="preserve"> (CSHE Research &amp; Occasional Paper Series No. CSHE.7.11). Center for Studies in Higher Education, University of California, Berkeley. </w:t>
      </w:r>
      <w:hyperlink r:id="rId27">
        <w:r w:rsidRPr="00BC3C05">
          <w:rPr>
            <w:rFonts w:ascii="Times New Roman" w:hAnsi="Times New Roman"/>
            <w:color w:val="0563C1" w:themeColor="hyperlink"/>
            <w:kern w:val="2"/>
            <w:sz w:val="24"/>
            <w:szCs w:val="24"/>
            <w:u w:val="single"/>
            <w14:ligatures w14:val="standardContextual"/>
          </w:rPr>
          <w:t>https://escholarship.org/uc/item/9569q5n5</w:t>
        </w:r>
      </w:hyperlink>
    </w:p>
    <w:p w14:paraId="697EA0E8"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Calhoun, C. (2017). Populism, nationalism and Brexit. In W. Outhwaite (Ed.), </w:t>
      </w:r>
      <w:r w:rsidRPr="00BC3C05">
        <w:rPr>
          <w:rFonts w:ascii="Times New Roman" w:hAnsi="Times New Roman" w:cs="Times New Roman"/>
          <w:i/>
          <w:iCs/>
          <w:kern w:val="2"/>
          <w:sz w:val="24"/>
          <w:szCs w:val="24"/>
          <w14:ligatures w14:val="standardContextual"/>
        </w:rPr>
        <w:t>Brexit: Sociological responses</w:t>
      </w:r>
      <w:r w:rsidRPr="00BC3C05">
        <w:rPr>
          <w:rFonts w:ascii="Times New Roman" w:hAnsi="Times New Roman" w:cs="Times New Roman"/>
          <w:kern w:val="2"/>
          <w:sz w:val="24"/>
          <w:szCs w:val="24"/>
          <w14:ligatures w14:val="standardContextual"/>
        </w:rPr>
        <w:t xml:space="preserve"> (pp. 57–76). Anthem Press. </w:t>
      </w:r>
      <w:hyperlink r:id="rId28">
        <w:r w:rsidRPr="00BC3C05">
          <w:rPr>
            <w:rFonts w:ascii="Times New Roman" w:hAnsi="Times New Roman" w:cs="Times New Roman"/>
            <w:color w:val="0563C1" w:themeColor="hyperlink"/>
            <w:kern w:val="2"/>
            <w:sz w:val="24"/>
            <w:szCs w:val="24"/>
            <w:u w:val="single"/>
            <w14:ligatures w14:val="standardContextual"/>
          </w:rPr>
          <w:t>https://calhoun.faculty.asu.edu/sites/g/files/litvpz3321/files/publications/articles/populism_brexit.pdf</w:t>
        </w:r>
      </w:hyperlink>
    </w:p>
    <w:p w14:paraId="39EFD965"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Campbell, R., &amp; Siegel, B. (1967). The demand for higher education in the United States, 1919–1964. </w:t>
      </w:r>
      <w:r w:rsidRPr="00BC3C05">
        <w:rPr>
          <w:rFonts w:ascii="Times New Roman" w:hAnsi="Times New Roman" w:cs="Times New Roman"/>
          <w:i/>
          <w:iCs/>
          <w:kern w:val="2"/>
          <w:sz w:val="24"/>
          <w:szCs w:val="24"/>
          <w14:ligatures w14:val="standardContextual"/>
        </w:rPr>
        <w:t>American Economic Review</w:t>
      </w:r>
      <w:r w:rsidRPr="00BC3C05">
        <w:rPr>
          <w:rFonts w:ascii="Times New Roman" w:hAnsi="Times New Roman" w:cs="Times New Roman"/>
          <w:kern w:val="2"/>
          <w:sz w:val="24"/>
          <w:szCs w:val="24"/>
          <w14:ligatures w14:val="standardContextual"/>
        </w:rPr>
        <w:t xml:space="preserve">, 57(3), 482–494. </w:t>
      </w:r>
      <w:hyperlink r:id="rId29">
        <w:r w:rsidRPr="00BC3C05">
          <w:rPr>
            <w:rFonts w:ascii="Times New Roman" w:hAnsi="Times New Roman" w:cs="Times New Roman"/>
            <w:color w:val="0563C1" w:themeColor="hyperlink"/>
            <w:kern w:val="2"/>
            <w:sz w:val="24"/>
            <w:szCs w:val="24"/>
            <w:u w:val="single"/>
            <w14:ligatures w14:val="standardContextual"/>
          </w:rPr>
          <w:t>https://www.jstor.org/stable/1812115</w:t>
        </w:r>
      </w:hyperlink>
    </w:p>
    <w:p w14:paraId="4173CDDC"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Clifton-Sprigg, J., Homburg, I., Huyghe, A., &amp; Vujić, S. (2025). </w:t>
      </w:r>
      <w:r w:rsidRPr="00BC3C05">
        <w:rPr>
          <w:rFonts w:ascii="Times New Roman" w:hAnsi="Times New Roman" w:cs="Times New Roman"/>
          <w:i/>
          <w:iCs/>
          <w:kern w:val="2"/>
          <w:sz w:val="24"/>
          <w:szCs w:val="24"/>
          <w14:ligatures w14:val="standardContextual"/>
        </w:rPr>
        <w:t>International student migration: Did Brexit close the door to EU students?</w:t>
      </w:r>
      <w:r w:rsidRPr="00BC3C05">
        <w:rPr>
          <w:rFonts w:ascii="Times New Roman" w:hAnsi="Times New Roman" w:cs="Times New Roman"/>
          <w:kern w:val="2"/>
          <w:sz w:val="24"/>
          <w:szCs w:val="24"/>
          <w14:ligatures w14:val="standardContextual"/>
        </w:rPr>
        <w:t xml:space="preserve"> (IZA Discussion Paper No. 18178). IZA Institute of Labor Economics. </w:t>
      </w:r>
      <w:hyperlink r:id="rId30">
        <w:r w:rsidRPr="00BC3C05">
          <w:rPr>
            <w:rFonts w:ascii="Times New Roman" w:hAnsi="Times New Roman" w:cs="Times New Roman"/>
            <w:color w:val="0563C1" w:themeColor="hyperlink"/>
            <w:kern w:val="2"/>
            <w:sz w:val="24"/>
            <w:szCs w:val="24"/>
            <w:u w:val="single"/>
            <w14:ligatures w14:val="standardContextual"/>
          </w:rPr>
          <w:t>https://www.iza.org/publications/dp/18178/international-student-migration-did-brexit-close-the-door-to-eu-students</w:t>
        </w:r>
      </w:hyperlink>
    </w:p>
    <w:p w14:paraId="12AD466B"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Conlon, G., Lader, R., </w:t>
      </w:r>
      <w:proofErr w:type="spellStart"/>
      <w:r w:rsidRPr="00BC3C05">
        <w:rPr>
          <w:rFonts w:ascii="Times New Roman" w:hAnsi="Times New Roman" w:cs="Times New Roman"/>
          <w:kern w:val="2"/>
          <w:sz w:val="24"/>
          <w:szCs w:val="24"/>
          <w14:ligatures w14:val="standardContextual"/>
        </w:rPr>
        <w:t>Halterbeck</w:t>
      </w:r>
      <w:proofErr w:type="spellEnd"/>
      <w:r w:rsidRPr="00BC3C05">
        <w:rPr>
          <w:rFonts w:ascii="Times New Roman" w:hAnsi="Times New Roman" w:cs="Times New Roman"/>
          <w:kern w:val="2"/>
          <w:sz w:val="24"/>
          <w:szCs w:val="24"/>
          <w14:ligatures w14:val="standardContextual"/>
        </w:rPr>
        <w:t xml:space="preserve">, M., &amp; Hedges, S. (2021). EU exit: Estimating the impact on UK higher education (Research Report No. DFE-RR1093). Department for Education. </w:t>
      </w:r>
      <w:hyperlink r:id="rId31">
        <w:r w:rsidRPr="00BC3C05">
          <w:rPr>
            <w:rFonts w:ascii="Times New Roman" w:hAnsi="Times New Roman" w:cs="Times New Roman"/>
            <w:color w:val="0563C1" w:themeColor="hyperlink"/>
            <w:kern w:val="2"/>
            <w:sz w:val="24"/>
            <w:szCs w:val="24"/>
            <w:u w:val="single"/>
            <w14:ligatures w14:val="standardContextual"/>
          </w:rPr>
          <w:t>https://assets.publishing.service.gov.uk/government/uploads/system/uploads/attachment_data/file/958998/EU_exit_estimating_the_impact_on_UK_higher_education.pdf</w:t>
        </w:r>
      </w:hyperlink>
    </w:p>
    <w:p w14:paraId="1C733404"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lastRenderedPageBreak/>
        <w:t xml:space="preserve">Crawford, C., Maris, R., Petit, F., &amp; Wyness, G. (2025). Degrees of demand: Price elasticity in higher education (CEPEO Working Paper Series No. 25-13). UCL Centre for Education Policy and </w:t>
      </w:r>
      <w:proofErr w:type="spellStart"/>
      <w:r w:rsidRPr="00BC3C05">
        <w:rPr>
          <w:rFonts w:ascii="Times New Roman" w:hAnsi="Times New Roman" w:cs="Times New Roman"/>
          <w:kern w:val="2"/>
          <w:sz w:val="24"/>
          <w:szCs w:val="24"/>
          <w14:ligatures w14:val="standardContextual"/>
        </w:rPr>
        <w:t>Equalising</w:t>
      </w:r>
      <w:proofErr w:type="spellEnd"/>
      <w:r w:rsidRPr="00BC3C05">
        <w:rPr>
          <w:rFonts w:ascii="Times New Roman" w:hAnsi="Times New Roman" w:cs="Times New Roman"/>
          <w:kern w:val="2"/>
          <w:sz w:val="24"/>
          <w:szCs w:val="24"/>
          <w14:ligatures w14:val="standardContextual"/>
        </w:rPr>
        <w:t xml:space="preserve"> Opportunities. https://ideas.repec.org/p/ucl/cepeow/25-13.html</w:t>
      </w:r>
    </w:p>
    <w:p w14:paraId="0A9F3953"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Cuibus</w:t>
      </w:r>
      <w:proofErr w:type="spellEnd"/>
      <w:r w:rsidRPr="00BC3C05">
        <w:rPr>
          <w:rFonts w:ascii="Times New Roman" w:hAnsi="Times New Roman" w:cs="Times New Roman"/>
          <w:kern w:val="2"/>
          <w:sz w:val="24"/>
          <w:szCs w:val="24"/>
          <w14:ligatures w14:val="standardContextual"/>
        </w:rPr>
        <w:t>, M., Walsh, P. W., &amp; Němeček, F. (2025). Student migration to the UK. The Migration Observatory, COMPAS, University of Oxford. https://migrationobservatory.ox.ac.uk/resources/briefings/student-migration-to-the-uk/</w:t>
      </w:r>
    </w:p>
    <w:p w14:paraId="1966DDA7"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Driscoll, J. C., &amp; Kraay, A. C. (1998). Consistent covariance matrix estimation with spatially dependent panel data. </w:t>
      </w:r>
      <w:r w:rsidRPr="00BC3C05">
        <w:rPr>
          <w:rFonts w:ascii="Times New Roman" w:hAnsi="Times New Roman" w:cs="Times New Roman"/>
          <w:i/>
          <w:iCs/>
          <w:kern w:val="2"/>
          <w:sz w:val="24"/>
          <w:szCs w:val="24"/>
          <w14:ligatures w14:val="standardContextual"/>
        </w:rPr>
        <w:t>Review of Economics and Statistics</w:t>
      </w:r>
      <w:r w:rsidRPr="00BC3C05">
        <w:rPr>
          <w:rFonts w:ascii="Times New Roman" w:hAnsi="Times New Roman" w:cs="Times New Roman"/>
          <w:kern w:val="2"/>
          <w:sz w:val="24"/>
          <w:szCs w:val="24"/>
          <w14:ligatures w14:val="standardContextual"/>
        </w:rPr>
        <w:t xml:space="preserve">, 80(4), 549–560. </w:t>
      </w:r>
      <w:hyperlink r:id="rId32">
        <w:r w:rsidRPr="00BC3C05">
          <w:rPr>
            <w:rFonts w:ascii="Times New Roman" w:hAnsi="Times New Roman" w:cs="Times New Roman"/>
            <w:color w:val="0563C1" w:themeColor="hyperlink"/>
            <w:kern w:val="2"/>
            <w:sz w:val="24"/>
            <w:szCs w:val="24"/>
            <w:u w:val="single"/>
            <w14:ligatures w14:val="standardContextual"/>
          </w:rPr>
          <w:t>https://doi.org/10.1162/003465398557825</w:t>
        </w:r>
      </w:hyperlink>
    </w:p>
    <w:p w14:paraId="1A52017F"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Dwenger, N., Storck, J., &amp; </w:t>
      </w:r>
      <w:proofErr w:type="spellStart"/>
      <w:r w:rsidRPr="00BC3C05">
        <w:rPr>
          <w:rFonts w:ascii="Times New Roman" w:hAnsi="Times New Roman" w:cs="Times New Roman"/>
          <w:kern w:val="2"/>
          <w:sz w:val="24"/>
          <w:szCs w:val="24"/>
          <w14:ligatures w14:val="standardContextual"/>
        </w:rPr>
        <w:t>Wrohlich</w:t>
      </w:r>
      <w:proofErr w:type="spellEnd"/>
      <w:r w:rsidRPr="00BC3C05">
        <w:rPr>
          <w:rFonts w:ascii="Times New Roman" w:hAnsi="Times New Roman" w:cs="Times New Roman"/>
          <w:kern w:val="2"/>
          <w:sz w:val="24"/>
          <w:szCs w:val="24"/>
          <w14:ligatures w14:val="standardContextual"/>
        </w:rPr>
        <w:t xml:space="preserve">, K. (2012). Do tuition fees affect the mobility of university applicants? Evidence from a natural experiment. </w:t>
      </w:r>
      <w:r w:rsidRPr="00BC3C05">
        <w:rPr>
          <w:rFonts w:ascii="Times New Roman" w:hAnsi="Times New Roman" w:cs="Times New Roman"/>
          <w:i/>
          <w:iCs/>
          <w:kern w:val="2"/>
          <w:sz w:val="24"/>
          <w:szCs w:val="24"/>
          <w14:ligatures w14:val="standardContextual"/>
        </w:rPr>
        <w:t>Economics of Education Review</w:t>
      </w:r>
      <w:r w:rsidRPr="00BC3C05">
        <w:rPr>
          <w:rFonts w:ascii="Times New Roman" w:hAnsi="Times New Roman" w:cs="Times New Roman"/>
          <w:kern w:val="2"/>
          <w:sz w:val="24"/>
          <w:szCs w:val="24"/>
          <w14:ligatures w14:val="standardContextual"/>
        </w:rPr>
        <w:t xml:space="preserve">, 31(1), 155–167. </w:t>
      </w:r>
      <w:hyperlink r:id="rId33">
        <w:r w:rsidRPr="00BC3C05">
          <w:rPr>
            <w:rFonts w:ascii="Times New Roman" w:hAnsi="Times New Roman" w:cs="Times New Roman"/>
            <w:color w:val="0563C1" w:themeColor="hyperlink"/>
            <w:kern w:val="2"/>
            <w:sz w:val="24"/>
            <w:szCs w:val="24"/>
            <w:u w:val="single"/>
            <w14:ligatures w14:val="standardContextual"/>
          </w:rPr>
          <w:t>https://doi.org/10.1016/j.econedurev.2011.10.004</w:t>
        </w:r>
      </w:hyperlink>
    </w:p>
    <w:p w14:paraId="571036F5"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European Central Bank. (2021, July 8). ECB’s Governing Council approves its new monetary policy strategy.</w:t>
      </w:r>
      <w:hyperlink r:id="rId34">
        <w:r w:rsidRPr="00BC3C05">
          <w:rPr>
            <w:rFonts w:ascii="Times New Roman" w:hAnsi="Times New Roman" w:cs="Times New Roman"/>
            <w:color w:val="0563C1" w:themeColor="hyperlink"/>
            <w:kern w:val="2"/>
            <w:sz w:val="24"/>
            <w:szCs w:val="24"/>
            <w:u w:val="single"/>
            <w14:ligatures w14:val="standardContextual"/>
          </w:rPr>
          <w:t>https://www.ecb.europa.eu/press/pr/date/2021/html/ecb.pr210708~dc78cc4b0d.en.html</w:t>
        </w:r>
      </w:hyperlink>
    </w:p>
    <w:p w14:paraId="24193C55"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Eurostat. (2025). </w:t>
      </w:r>
      <w:r w:rsidRPr="00BC3C05">
        <w:rPr>
          <w:rFonts w:ascii="Times New Roman" w:hAnsi="Times New Roman" w:cs="Times New Roman"/>
          <w:i/>
          <w:iCs/>
          <w:kern w:val="2"/>
          <w:sz w:val="24"/>
          <w:szCs w:val="24"/>
          <w14:ligatures w14:val="standardContextual"/>
        </w:rPr>
        <w:t>Average full-time adjusted salary per employee</w:t>
      </w:r>
      <w:r w:rsidRPr="00BC3C05">
        <w:rPr>
          <w:rFonts w:ascii="Times New Roman" w:hAnsi="Times New Roman" w:cs="Times New Roman"/>
          <w:kern w:val="2"/>
          <w:sz w:val="24"/>
          <w:szCs w:val="24"/>
          <w14:ligatures w14:val="standardContextual"/>
        </w:rPr>
        <w:t xml:space="preserve"> [Data set]. </w:t>
      </w:r>
      <w:hyperlink r:id="rId35">
        <w:r w:rsidRPr="00BC3C05">
          <w:rPr>
            <w:rFonts w:ascii="Times New Roman" w:hAnsi="Times New Roman" w:cs="Times New Roman"/>
            <w:color w:val="0563C1" w:themeColor="hyperlink"/>
            <w:kern w:val="2"/>
            <w:sz w:val="24"/>
            <w:szCs w:val="24"/>
            <w:u w:val="single"/>
            <w14:ligatures w14:val="standardContextual"/>
          </w:rPr>
          <w:t>https://doi.org/10.2908/NAMA_10_FTE</w:t>
        </w:r>
      </w:hyperlink>
    </w:p>
    <w:p w14:paraId="772C4EDC"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Findlay, A., King, R., Stam, A., &amp; Ruiz-Gelices, E. (2006). Ever reluctant Europeans: The changing geographies of UK students studying and working abroad. </w:t>
      </w:r>
      <w:r w:rsidRPr="00BC3C05">
        <w:rPr>
          <w:rFonts w:ascii="Times New Roman" w:hAnsi="Times New Roman" w:cs="Times New Roman"/>
          <w:i/>
          <w:iCs/>
          <w:kern w:val="2"/>
          <w:sz w:val="24"/>
          <w:szCs w:val="24"/>
          <w14:ligatures w14:val="standardContextual"/>
        </w:rPr>
        <w:t>European Urban and Regional Studies</w:t>
      </w:r>
      <w:r w:rsidRPr="00BC3C05">
        <w:rPr>
          <w:rFonts w:ascii="Times New Roman" w:hAnsi="Times New Roman" w:cs="Times New Roman"/>
          <w:kern w:val="2"/>
          <w:sz w:val="24"/>
          <w:szCs w:val="24"/>
          <w14:ligatures w14:val="standardContextual"/>
        </w:rPr>
        <w:t xml:space="preserve">, 13(4), 291–318. </w:t>
      </w:r>
      <w:hyperlink r:id="rId36">
        <w:r w:rsidRPr="00BC3C05">
          <w:rPr>
            <w:rFonts w:ascii="Times New Roman" w:hAnsi="Times New Roman" w:cs="Times New Roman"/>
            <w:color w:val="0563C1" w:themeColor="hyperlink"/>
            <w:kern w:val="2"/>
            <w:sz w:val="24"/>
            <w:szCs w:val="24"/>
            <w:u w:val="single"/>
            <w14:ligatures w14:val="standardContextual"/>
          </w:rPr>
          <w:t>https://doi.org/10.1177/0969776406065429</w:t>
        </w:r>
      </w:hyperlink>
    </w:p>
    <w:p w14:paraId="79DA40C9"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kern w:val="2"/>
          <w:sz w:val="24"/>
          <w:szCs w:val="24"/>
          <w14:ligatures w14:val="standardContextual"/>
        </w:rPr>
        <w:t xml:space="preserve">Heller, D. E. (1997). Student price response in higher education: An update to Leslie and Brinkman. </w:t>
      </w:r>
      <w:r w:rsidRPr="00BC3C05">
        <w:rPr>
          <w:rFonts w:ascii="Times New Roman" w:hAnsi="Times New Roman"/>
          <w:i/>
          <w:kern w:val="2"/>
          <w:sz w:val="24"/>
          <w:szCs w:val="24"/>
          <w14:ligatures w14:val="standardContextual"/>
        </w:rPr>
        <w:t>The Journal of Higher Education, 68</w:t>
      </w:r>
      <w:r w:rsidRPr="00BC3C05">
        <w:rPr>
          <w:rFonts w:ascii="Times New Roman" w:hAnsi="Times New Roman"/>
          <w:kern w:val="2"/>
          <w:sz w:val="24"/>
          <w:szCs w:val="24"/>
          <w14:ligatures w14:val="standardContextual"/>
        </w:rPr>
        <w:t xml:space="preserve">(6), 624–659. </w:t>
      </w:r>
      <w:hyperlink r:id="rId37">
        <w:r w:rsidRPr="00BC3C05">
          <w:rPr>
            <w:rFonts w:ascii="Times New Roman" w:hAnsi="Times New Roman"/>
            <w:color w:val="0563C1" w:themeColor="hyperlink"/>
            <w:kern w:val="2"/>
            <w:sz w:val="24"/>
            <w:szCs w:val="24"/>
            <w:u w:val="single"/>
            <w14:ligatures w14:val="standardContextual"/>
          </w:rPr>
          <w:t>https://doi.org/10.1080/00221546.1997.11779004</w:t>
        </w:r>
      </w:hyperlink>
    </w:p>
    <w:p w14:paraId="44F44A64"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Hemelt, S. W., &amp; Marcotte, D. E. (2011). The impact of tuition increases on enrollment at public colleges and universities. </w:t>
      </w:r>
      <w:r w:rsidRPr="00BC3C05">
        <w:rPr>
          <w:rFonts w:ascii="Times New Roman" w:hAnsi="Times New Roman" w:cs="Times New Roman"/>
          <w:i/>
          <w:iCs/>
          <w:kern w:val="2"/>
          <w:sz w:val="24"/>
          <w:szCs w:val="24"/>
          <w14:ligatures w14:val="standardContextual"/>
        </w:rPr>
        <w:t>Educational Evaluation and Policy Analysis</w:t>
      </w:r>
      <w:r w:rsidRPr="00BC3C05">
        <w:rPr>
          <w:rFonts w:ascii="Times New Roman" w:hAnsi="Times New Roman" w:cs="Times New Roman"/>
          <w:kern w:val="2"/>
          <w:sz w:val="24"/>
          <w:szCs w:val="24"/>
          <w14:ligatures w14:val="standardContextual"/>
        </w:rPr>
        <w:t xml:space="preserve">, 33(4), 435–457. </w:t>
      </w:r>
      <w:hyperlink r:id="rId38">
        <w:r w:rsidRPr="00BC3C05">
          <w:rPr>
            <w:rFonts w:ascii="Times New Roman" w:hAnsi="Times New Roman" w:cs="Times New Roman"/>
            <w:color w:val="0563C1" w:themeColor="hyperlink"/>
            <w:kern w:val="2"/>
            <w:sz w:val="24"/>
            <w:szCs w:val="24"/>
            <w:u w:val="single"/>
            <w14:ligatures w14:val="standardContextual"/>
          </w:rPr>
          <w:t>https://doi.org/10.3102/0162373711415261</w:t>
        </w:r>
      </w:hyperlink>
    </w:p>
    <w:p w14:paraId="6AD6C367"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Home Office. (2021, July 1). Graduate route for best and brightest launches. GOV.UK. </w:t>
      </w:r>
      <w:hyperlink r:id="rId39">
        <w:r w:rsidRPr="00BC3C05">
          <w:rPr>
            <w:rFonts w:ascii="Times New Roman" w:hAnsi="Times New Roman" w:cs="Times New Roman"/>
            <w:color w:val="0563C1" w:themeColor="hyperlink"/>
            <w:kern w:val="2"/>
            <w:sz w:val="24"/>
            <w:szCs w:val="24"/>
            <w:u w:val="single"/>
            <w14:ligatures w14:val="standardContextual"/>
          </w:rPr>
          <w:t>https://www.gov.uk/government/news/graduate-route-for-best-and-brightest-launches</w:t>
        </w:r>
      </w:hyperlink>
    </w:p>
    <w:p w14:paraId="4C1347E5"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kern w:val="2"/>
          <w:sz w:val="24"/>
          <w:szCs w:val="24"/>
          <w14:ligatures w14:val="standardContextual"/>
        </w:rPr>
        <w:t xml:space="preserve">Hoxby, C. M. (1997). </w:t>
      </w:r>
      <w:r w:rsidRPr="00BC3C05">
        <w:rPr>
          <w:rFonts w:ascii="Times New Roman" w:hAnsi="Times New Roman"/>
          <w:i/>
          <w:kern w:val="2"/>
          <w:sz w:val="24"/>
          <w:szCs w:val="24"/>
          <w14:ligatures w14:val="standardContextual"/>
        </w:rPr>
        <w:t>How the changing market structure of U.S. higher education explains college tuition</w:t>
      </w:r>
      <w:r w:rsidRPr="00BC3C05">
        <w:rPr>
          <w:rFonts w:ascii="Times New Roman" w:hAnsi="Times New Roman"/>
          <w:kern w:val="2"/>
          <w:sz w:val="24"/>
          <w:szCs w:val="24"/>
          <w14:ligatures w14:val="standardContextual"/>
        </w:rPr>
        <w:t xml:space="preserve"> (NBER Working Paper No. 6323). National Bureau of Economic Research. </w:t>
      </w:r>
      <w:hyperlink r:id="rId40">
        <w:r w:rsidRPr="00BC3C05">
          <w:rPr>
            <w:rFonts w:ascii="Times New Roman" w:hAnsi="Times New Roman"/>
            <w:color w:val="0563C1" w:themeColor="hyperlink"/>
            <w:kern w:val="2"/>
            <w:sz w:val="24"/>
            <w:szCs w:val="24"/>
            <w:u w:val="single"/>
            <w14:ligatures w14:val="standardContextual"/>
          </w:rPr>
          <w:t>https://doi.org/10.3386/w6323</w:t>
        </w:r>
      </w:hyperlink>
    </w:p>
    <w:p w14:paraId="1AB9F13D"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lastRenderedPageBreak/>
        <w:t>Hubble, S., &amp; Bolton, P. (2018). Higher education tuition fees in England (House of Commons Library Briefing Paper No. 8151). House of Commons Library.</w:t>
      </w:r>
      <w:hyperlink r:id="rId41">
        <w:r w:rsidRPr="00BC3C05">
          <w:rPr>
            <w:rFonts w:ascii="Times New Roman" w:hAnsi="Times New Roman" w:cs="Times New Roman"/>
            <w:color w:val="0563C1" w:themeColor="hyperlink"/>
            <w:kern w:val="2"/>
            <w:sz w:val="24"/>
            <w:szCs w:val="24"/>
            <w:u w:val="single"/>
            <w14:ligatures w14:val="standardContextual"/>
          </w:rPr>
          <w:t>https://commonslibrary.parliament.uk/research-briefings/cbp-8151/</w:t>
        </w:r>
      </w:hyperlink>
    </w:p>
    <w:p w14:paraId="6A686ADA"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kern w:val="2"/>
          <w:sz w:val="24"/>
          <w:szCs w:val="24"/>
          <w14:ligatures w14:val="standardContextual"/>
        </w:rPr>
        <w:t xml:space="preserve">Leslie, L. L., &amp; Brinkman, P. T. (1987). Student price response in higher education: The student demand studies. </w:t>
      </w:r>
      <w:r w:rsidRPr="00BC3C05">
        <w:rPr>
          <w:rFonts w:ascii="Times New Roman" w:hAnsi="Times New Roman"/>
          <w:i/>
          <w:kern w:val="2"/>
          <w:sz w:val="24"/>
          <w:szCs w:val="24"/>
          <w14:ligatures w14:val="standardContextual"/>
        </w:rPr>
        <w:t>Journal of Higher Education, 58</w:t>
      </w:r>
      <w:r w:rsidRPr="00BC3C05">
        <w:rPr>
          <w:rFonts w:ascii="Times New Roman" w:hAnsi="Times New Roman"/>
          <w:kern w:val="2"/>
          <w:sz w:val="24"/>
          <w:szCs w:val="24"/>
          <w14:ligatures w14:val="standardContextual"/>
        </w:rPr>
        <w:t xml:space="preserve">(2), 181–204. </w:t>
      </w:r>
      <w:hyperlink r:id="rId42">
        <w:r w:rsidRPr="00BC3C05">
          <w:rPr>
            <w:rFonts w:ascii="Times New Roman" w:hAnsi="Times New Roman"/>
            <w:color w:val="0563C1" w:themeColor="hyperlink"/>
            <w:kern w:val="2"/>
            <w:sz w:val="24"/>
            <w:szCs w:val="24"/>
            <w:u w:val="single"/>
            <w14:ligatures w14:val="standardContextual"/>
          </w:rPr>
          <w:t>https://doi.org/10.1080/00221546.1987.11778239</w:t>
        </w:r>
      </w:hyperlink>
    </w:p>
    <w:p w14:paraId="42D82827" w14:textId="77777777" w:rsidR="0042694A"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Pr>
          <w:rFonts w:ascii="Times New Roman" w:hAnsi="Times New Roman"/>
          <w:sz w:val="24"/>
        </w:rPr>
        <w:t xml:space="preserve">Li, H., Campbell, D., &amp; Erdem, S. (2022). Measuring time preferences using stated credit repayment choices. </w:t>
      </w:r>
      <w:r>
        <w:rPr>
          <w:rFonts w:ascii="Times New Roman" w:hAnsi="Times New Roman"/>
          <w:i/>
          <w:sz w:val="24"/>
        </w:rPr>
        <w:t>Journal of Quantitative Economics, 20</w:t>
      </w:r>
      <w:r>
        <w:rPr>
          <w:rFonts w:ascii="Times New Roman" w:hAnsi="Times New Roman"/>
          <w:sz w:val="24"/>
        </w:rPr>
        <w:t xml:space="preserve">, 43–67. </w:t>
      </w:r>
      <w:hyperlink r:id="rId43">
        <w:r>
          <w:rPr>
            <w:rFonts w:ascii="Times New Roman" w:hAnsi="Times New Roman"/>
            <w:color w:val="0563C1"/>
            <w:sz w:val="24"/>
            <w:szCs w:val="24"/>
            <w:u w:val="single"/>
          </w:rPr>
          <w:t>https://doi.org/10.1007/s40953-021-00283-7</w:t>
        </w:r>
      </w:hyperlink>
    </w:p>
    <w:p w14:paraId="79893CC7"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Locke, W., &amp; Marini, G. (2021). The rapid increase in faculty from the European Union in UK higher education institutions and the possible impact of Brexit. In F. Huang &amp; A. R. Welch (Eds.), </w:t>
      </w:r>
      <w:r w:rsidRPr="00BC3C05">
        <w:rPr>
          <w:rFonts w:ascii="Times New Roman" w:hAnsi="Times New Roman" w:cs="Times New Roman"/>
          <w:i/>
          <w:iCs/>
          <w:kern w:val="2"/>
          <w:sz w:val="24"/>
          <w:szCs w:val="24"/>
          <w14:ligatures w14:val="standardContextual"/>
        </w:rPr>
        <w:t>International faculty in Asia</w:t>
      </w:r>
      <w:r w:rsidRPr="00BC3C05">
        <w:rPr>
          <w:rFonts w:ascii="Times New Roman" w:hAnsi="Times New Roman" w:cs="Times New Roman"/>
          <w:kern w:val="2"/>
          <w:sz w:val="24"/>
          <w:szCs w:val="24"/>
          <w14:ligatures w14:val="standardContextual"/>
        </w:rPr>
        <w:t xml:space="preserve"> (Vol. 21). Springer. </w:t>
      </w:r>
      <w:hyperlink r:id="rId44">
        <w:r w:rsidRPr="00BC3C05">
          <w:rPr>
            <w:rFonts w:ascii="Times New Roman" w:hAnsi="Times New Roman" w:cs="Times New Roman"/>
            <w:color w:val="0563C1" w:themeColor="hyperlink"/>
            <w:kern w:val="2"/>
            <w:sz w:val="24"/>
            <w:szCs w:val="24"/>
            <w:u w:val="single"/>
            <w14:ligatures w14:val="standardContextual"/>
          </w:rPr>
          <w:t>https://doi.org/10.1007/978-981-33-4980-3_12</w:t>
        </w:r>
      </w:hyperlink>
    </w:p>
    <w:p w14:paraId="20ED8B9E"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Luthra, R. R. (2020). Mitigating the hostile environment: The role of the workplace in EU migrant experience of Brexit. </w:t>
      </w:r>
      <w:r w:rsidRPr="00BC3C05">
        <w:rPr>
          <w:rFonts w:ascii="Times New Roman" w:hAnsi="Times New Roman" w:cs="Times New Roman"/>
          <w:i/>
          <w:iCs/>
          <w:kern w:val="2"/>
          <w:sz w:val="24"/>
          <w:szCs w:val="24"/>
          <w14:ligatures w14:val="standardContextual"/>
        </w:rPr>
        <w:t>Journal of Ethnic and Migration Studies</w:t>
      </w:r>
      <w:r w:rsidRPr="00BC3C05">
        <w:rPr>
          <w:rFonts w:ascii="Times New Roman" w:hAnsi="Times New Roman" w:cs="Times New Roman"/>
          <w:kern w:val="2"/>
          <w:sz w:val="24"/>
          <w:szCs w:val="24"/>
          <w14:ligatures w14:val="standardContextual"/>
        </w:rPr>
        <w:t xml:space="preserve">, 47(1), 190–207. </w:t>
      </w:r>
      <w:hyperlink r:id="rId45">
        <w:r w:rsidRPr="00BC3C05">
          <w:rPr>
            <w:rFonts w:ascii="Times New Roman" w:hAnsi="Times New Roman" w:cs="Times New Roman"/>
            <w:color w:val="0563C1" w:themeColor="hyperlink"/>
            <w:kern w:val="2"/>
            <w:sz w:val="24"/>
            <w:szCs w:val="24"/>
            <w:u w:val="single"/>
            <w14:ligatures w14:val="standardContextual"/>
          </w:rPr>
          <w:t>https://doi.org/10.1080/1369183x.2020.1726173</w:t>
        </w:r>
      </w:hyperlink>
    </w:p>
    <w:p w14:paraId="5411E079"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Macdonald, C., &amp; Stratta, E. (2001). From access to widening participation: Responses to the changing population in higher education in the UK. </w:t>
      </w:r>
      <w:r w:rsidRPr="00BC3C05">
        <w:rPr>
          <w:rFonts w:ascii="Times New Roman" w:hAnsi="Times New Roman" w:cs="Times New Roman"/>
          <w:i/>
          <w:iCs/>
          <w:kern w:val="2"/>
          <w:sz w:val="24"/>
          <w:szCs w:val="24"/>
          <w14:ligatures w14:val="standardContextual"/>
        </w:rPr>
        <w:t>Journal of Further and Higher Education</w:t>
      </w:r>
      <w:r w:rsidRPr="00BC3C05">
        <w:rPr>
          <w:rFonts w:ascii="Times New Roman" w:hAnsi="Times New Roman" w:cs="Times New Roman"/>
          <w:kern w:val="2"/>
          <w:sz w:val="24"/>
          <w:szCs w:val="24"/>
          <w14:ligatures w14:val="standardContextual"/>
        </w:rPr>
        <w:t xml:space="preserve">, 25(2), 249–258. </w:t>
      </w:r>
      <w:hyperlink r:id="rId46">
        <w:r w:rsidRPr="00BC3C05">
          <w:rPr>
            <w:rFonts w:ascii="Times New Roman" w:hAnsi="Times New Roman" w:cs="Times New Roman"/>
            <w:color w:val="0563C1" w:themeColor="hyperlink"/>
            <w:kern w:val="2"/>
            <w:sz w:val="24"/>
            <w:szCs w:val="24"/>
            <w:u w:val="single"/>
            <w14:ligatures w14:val="standardContextual"/>
          </w:rPr>
          <w:t>https://doi.org/10.1080/03098770120050909</w:t>
        </w:r>
      </w:hyperlink>
    </w:p>
    <w:p w14:paraId="4CDD6503" w14:textId="77777777" w:rsidR="0042694A"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Pr>
          <w:rFonts w:ascii="Times New Roman" w:hAnsi="Times New Roman"/>
          <w:sz w:val="24"/>
        </w:rPr>
        <w:t xml:space="preserve">Matousek, J., Havranek, T., &amp; </w:t>
      </w:r>
      <w:proofErr w:type="spellStart"/>
      <w:r>
        <w:rPr>
          <w:rFonts w:ascii="Times New Roman" w:hAnsi="Times New Roman"/>
          <w:sz w:val="24"/>
        </w:rPr>
        <w:t>Irsova</w:t>
      </w:r>
      <w:proofErr w:type="spellEnd"/>
      <w:r>
        <w:rPr>
          <w:rFonts w:ascii="Times New Roman" w:hAnsi="Times New Roman"/>
          <w:sz w:val="24"/>
        </w:rPr>
        <w:t xml:space="preserve">, Z. (2022). Individual discount rates: A meta-analysis of experimental evidence. </w:t>
      </w:r>
      <w:r>
        <w:rPr>
          <w:rFonts w:ascii="Times New Roman" w:hAnsi="Times New Roman"/>
          <w:i/>
          <w:sz w:val="24"/>
        </w:rPr>
        <w:t>Experimental Economics, 25</w:t>
      </w:r>
      <w:r>
        <w:rPr>
          <w:rFonts w:ascii="Times New Roman" w:hAnsi="Times New Roman"/>
          <w:sz w:val="24"/>
        </w:rPr>
        <w:t xml:space="preserve">(1), 318–358. </w:t>
      </w:r>
      <w:hyperlink r:id="rId47">
        <w:r>
          <w:rPr>
            <w:rFonts w:ascii="Times New Roman" w:hAnsi="Times New Roman"/>
            <w:color w:val="0563C1"/>
            <w:sz w:val="24"/>
            <w:szCs w:val="24"/>
            <w:u w:val="single"/>
          </w:rPr>
          <w:t>https://doi.org/10.1007/s10683-021-09716-9</w:t>
        </w:r>
      </w:hyperlink>
    </w:p>
    <w:p w14:paraId="647902DF"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Mayhew, K. (2022). Brexit and UK higher education. </w:t>
      </w:r>
      <w:r w:rsidRPr="00BC3C05">
        <w:rPr>
          <w:rFonts w:ascii="Times New Roman" w:hAnsi="Times New Roman" w:cs="Times New Roman"/>
          <w:i/>
          <w:iCs/>
          <w:kern w:val="2"/>
          <w:sz w:val="24"/>
          <w:szCs w:val="24"/>
          <w14:ligatures w14:val="standardContextual"/>
        </w:rPr>
        <w:t>Oxford Review of Economic Policy</w:t>
      </w:r>
      <w:r w:rsidRPr="00BC3C05">
        <w:rPr>
          <w:rFonts w:ascii="Times New Roman" w:hAnsi="Times New Roman" w:cs="Times New Roman"/>
          <w:kern w:val="2"/>
          <w:sz w:val="24"/>
          <w:szCs w:val="24"/>
          <w14:ligatures w14:val="standardContextual"/>
        </w:rPr>
        <w:t xml:space="preserve">, 38(1), 179–187. </w:t>
      </w:r>
      <w:hyperlink r:id="rId48">
        <w:r w:rsidRPr="00BC3C05">
          <w:rPr>
            <w:rFonts w:ascii="Times New Roman" w:hAnsi="Times New Roman" w:cs="Times New Roman"/>
            <w:color w:val="0563C1" w:themeColor="hyperlink"/>
            <w:kern w:val="2"/>
            <w:sz w:val="24"/>
            <w:szCs w:val="24"/>
            <w:u w:val="single"/>
            <w14:ligatures w14:val="standardContextual"/>
          </w:rPr>
          <w:t>https://doi.org/10.1093/oxrep/grab043</w:t>
        </w:r>
      </w:hyperlink>
    </w:p>
    <w:p w14:paraId="11701C9A"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McFadden, D. (1974). Conditional logit analysis of qualitative choice behavior. In P. </w:t>
      </w:r>
      <w:proofErr w:type="spellStart"/>
      <w:r w:rsidRPr="00BC3C05">
        <w:rPr>
          <w:rFonts w:ascii="Times New Roman" w:hAnsi="Times New Roman" w:cs="Times New Roman"/>
          <w:kern w:val="2"/>
          <w:sz w:val="24"/>
          <w:szCs w:val="24"/>
          <w14:ligatures w14:val="standardContextual"/>
        </w:rPr>
        <w:t>Zarembka</w:t>
      </w:r>
      <w:proofErr w:type="spellEnd"/>
      <w:r w:rsidRPr="00BC3C05">
        <w:rPr>
          <w:rFonts w:ascii="Times New Roman" w:hAnsi="Times New Roman" w:cs="Times New Roman"/>
          <w:kern w:val="2"/>
          <w:sz w:val="24"/>
          <w:szCs w:val="24"/>
          <w14:ligatures w14:val="standardContextual"/>
        </w:rPr>
        <w:t xml:space="preserve"> (Ed.), </w:t>
      </w:r>
      <w:r w:rsidRPr="00BC3C05">
        <w:rPr>
          <w:rFonts w:ascii="Times New Roman" w:hAnsi="Times New Roman" w:cs="Times New Roman"/>
          <w:i/>
          <w:iCs/>
          <w:kern w:val="2"/>
          <w:sz w:val="24"/>
          <w:szCs w:val="24"/>
          <w14:ligatures w14:val="standardContextual"/>
        </w:rPr>
        <w:t>Frontiers in econometrics</w:t>
      </w:r>
      <w:r w:rsidRPr="00BC3C05">
        <w:rPr>
          <w:rFonts w:ascii="Times New Roman" w:hAnsi="Times New Roman" w:cs="Times New Roman"/>
          <w:kern w:val="2"/>
          <w:sz w:val="24"/>
          <w:szCs w:val="24"/>
          <w14:ligatures w14:val="standardContextual"/>
        </w:rPr>
        <w:t xml:space="preserve"> (pp. 105–142). Academic Press. </w:t>
      </w:r>
      <w:hyperlink r:id="rId49">
        <w:r w:rsidRPr="00BC3C05">
          <w:rPr>
            <w:rFonts w:ascii="Times New Roman" w:hAnsi="Times New Roman" w:cs="Times New Roman"/>
            <w:color w:val="0563C1" w:themeColor="hyperlink"/>
            <w:kern w:val="2"/>
            <w:sz w:val="24"/>
            <w:szCs w:val="24"/>
            <w:u w:val="single"/>
            <w14:ligatures w14:val="standardContextual"/>
          </w:rPr>
          <w:t>https://eml.berkeley.edu/reprints/mcfadden/zarembka.pdf</w:t>
        </w:r>
      </w:hyperlink>
    </w:p>
    <w:p w14:paraId="1505EF87"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proofErr w:type="spellStart"/>
      <w:r w:rsidRPr="00BC3C05">
        <w:rPr>
          <w:rFonts w:ascii="Times New Roman" w:hAnsi="Times New Roman" w:cs="Times New Roman"/>
          <w:kern w:val="2"/>
          <w:sz w:val="24"/>
          <w:szCs w:val="24"/>
          <w14:ligatures w14:val="standardContextual"/>
        </w:rPr>
        <w:t>McQuone</w:t>
      </w:r>
      <w:proofErr w:type="spellEnd"/>
      <w:r w:rsidRPr="00BC3C05">
        <w:rPr>
          <w:rFonts w:ascii="Times New Roman" w:hAnsi="Times New Roman" w:cs="Times New Roman"/>
          <w:kern w:val="2"/>
          <w:sz w:val="24"/>
          <w:szCs w:val="24"/>
          <w14:ligatures w14:val="standardContextual"/>
        </w:rPr>
        <w:t xml:space="preserve">, R., &amp; Simons, J. (2025). Counting the cost: Modelling the economic impact of a potential levy on international student fees. Public First. </w:t>
      </w:r>
      <w:hyperlink r:id="rId50">
        <w:r w:rsidRPr="00BC3C05">
          <w:rPr>
            <w:rFonts w:ascii="Times New Roman" w:hAnsi="Times New Roman" w:cs="Times New Roman"/>
            <w:color w:val="0563C1" w:themeColor="hyperlink"/>
            <w:kern w:val="2"/>
            <w:sz w:val="24"/>
            <w:szCs w:val="24"/>
            <w:u w:val="single"/>
            <w14:ligatures w14:val="standardContextual"/>
          </w:rPr>
          <w:t>https://www.publicfirst.co.uk/couting-the-cost</w:t>
        </w:r>
      </w:hyperlink>
    </w:p>
    <w:p w14:paraId="1FC2CEA2"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Neville, R., Rowe, F., &amp; Singleton, A. (2024). Unraveling the Brexit–COVID-19 nexus: Assessing the decline of EU student applications into UK universities. </w:t>
      </w:r>
      <w:r w:rsidRPr="00BC3C05">
        <w:rPr>
          <w:rFonts w:ascii="Times New Roman" w:hAnsi="Times New Roman" w:cs="Times New Roman"/>
          <w:i/>
          <w:iCs/>
          <w:kern w:val="2"/>
          <w:sz w:val="24"/>
          <w:szCs w:val="24"/>
          <w14:ligatures w14:val="standardContextual"/>
        </w:rPr>
        <w:t>Data &amp; Policy</w:t>
      </w:r>
      <w:r w:rsidRPr="00BC3C05">
        <w:rPr>
          <w:rFonts w:ascii="Times New Roman" w:hAnsi="Times New Roman" w:cs="Times New Roman"/>
          <w:kern w:val="2"/>
          <w:sz w:val="24"/>
          <w:szCs w:val="24"/>
          <w14:ligatures w14:val="standardContextual"/>
        </w:rPr>
        <w:t xml:space="preserve">, </w:t>
      </w:r>
      <w:r w:rsidRPr="00BC3C05">
        <w:rPr>
          <w:rFonts w:ascii="Times New Roman" w:hAnsi="Times New Roman" w:cs="Times New Roman"/>
          <w:i/>
          <w:iCs/>
          <w:kern w:val="2"/>
          <w:sz w:val="24"/>
          <w:szCs w:val="24"/>
          <w14:ligatures w14:val="standardContextual"/>
        </w:rPr>
        <w:t>6</w:t>
      </w:r>
      <w:r w:rsidRPr="00BC3C05">
        <w:rPr>
          <w:rFonts w:ascii="Times New Roman" w:hAnsi="Times New Roman" w:cs="Times New Roman"/>
          <w:kern w:val="2"/>
          <w:sz w:val="24"/>
          <w:szCs w:val="24"/>
          <w14:ligatures w14:val="standardContextual"/>
        </w:rPr>
        <w:t xml:space="preserve">, Article e45. </w:t>
      </w:r>
      <w:hyperlink r:id="rId51">
        <w:r w:rsidRPr="00BC3C05">
          <w:rPr>
            <w:rFonts w:ascii="Times New Roman" w:hAnsi="Times New Roman" w:cs="Times New Roman"/>
            <w:color w:val="0563C1" w:themeColor="hyperlink"/>
            <w:kern w:val="2"/>
            <w:sz w:val="24"/>
            <w:szCs w:val="24"/>
            <w:u w:val="single"/>
            <w14:ligatures w14:val="standardContextual"/>
          </w:rPr>
          <w:t>https://doi.org/10.1017/dap.2024.42</w:t>
        </w:r>
      </w:hyperlink>
    </w:p>
    <w:p w14:paraId="0F7DE65C"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lastRenderedPageBreak/>
        <w:t xml:space="preserve">Rambachan, A., &amp; Roth, J. (2023). A more credible approach to parallel trends. </w:t>
      </w:r>
      <w:r w:rsidRPr="00BC3C05">
        <w:rPr>
          <w:rFonts w:ascii="Times New Roman" w:hAnsi="Times New Roman" w:cs="Times New Roman"/>
          <w:i/>
          <w:iCs/>
          <w:kern w:val="2"/>
          <w:sz w:val="24"/>
          <w:szCs w:val="24"/>
          <w14:ligatures w14:val="standardContextual"/>
        </w:rPr>
        <w:t>Review of Economic Studies</w:t>
      </w:r>
      <w:r w:rsidRPr="00BC3C05">
        <w:rPr>
          <w:rFonts w:ascii="Times New Roman" w:hAnsi="Times New Roman" w:cs="Times New Roman"/>
          <w:kern w:val="2"/>
          <w:sz w:val="24"/>
          <w:szCs w:val="24"/>
          <w14:ligatures w14:val="standardContextual"/>
        </w:rPr>
        <w:t>, 90(5), 2555–2591. https://doi.org/10.1093/restud/rdad018</w:t>
      </w:r>
    </w:p>
    <w:p w14:paraId="6BFB122A"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Roth, J. (2022). Pretest with caution: Event-study estimates after testing for parallel trends. </w:t>
      </w:r>
      <w:r w:rsidRPr="00BC3C05">
        <w:rPr>
          <w:rFonts w:ascii="Times New Roman" w:hAnsi="Times New Roman" w:cs="Times New Roman"/>
          <w:i/>
          <w:iCs/>
          <w:kern w:val="2"/>
          <w:sz w:val="24"/>
          <w:szCs w:val="24"/>
          <w14:ligatures w14:val="standardContextual"/>
        </w:rPr>
        <w:t>American Economic Review: Insights</w:t>
      </w:r>
      <w:r w:rsidRPr="00BC3C05">
        <w:rPr>
          <w:rFonts w:ascii="Times New Roman" w:hAnsi="Times New Roman" w:cs="Times New Roman"/>
          <w:kern w:val="2"/>
          <w:sz w:val="24"/>
          <w:szCs w:val="24"/>
          <w14:ligatures w14:val="standardContextual"/>
        </w:rPr>
        <w:t>, 4(3), 305–322. https://doi.org/10.1257/aeri.20210236</w:t>
      </w:r>
    </w:p>
    <w:p w14:paraId="19F4BEAF"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Sá, F. (2014). The effect of tuition fees on university applications and attendance: Evidence from the UK. SSRN. </w:t>
      </w:r>
      <w:hyperlink r:id="rId52">
        <w:r w:rsidRPr="00BC3C05">
          <w:rPr>
            <w:rFonts w:ascii="Times New Roman" w:hAnsi="Times New Roman" w:cs="Times New Roman"/>
            <w:color w:val="0563C1" w:themeColor="hyperlink"/>
            <w:kern w:val="2"/>
            <w:sz w:val="24"/>
            <w:szCs w:val="24"/>
            <w:u w:val="single"/>
            <w14:ligatures w14:val="standardContextual"/>
          </w:rPr>
          <w:t>https://doi.org/10.2139/ssrn.2481553</w:t>
        </w:r>
      </w:hyperlink>
    </w:p>
    <w:p w14:paraId="5D4408ED"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Sá, F. (2017). The effect of university fees on applications, attendance and course choice: Evidence from a natural experiment in the UK [Accepted manuscript]. King’s College London. </w:t>
      </w:r>
      <w:hyperlink r:id="rId53">
        <w:r w:rsidRPr="00BC3C05">
          <w:rPr>
            <w:rFonts w:ascii="Times New Roman" w:hAnsi="Times New Roman" w:cs="Times New Roman"/>
            <w:color w:val="0563C1" w:themeColor="hyperlink"/>
            <w:kern w:val="2"/>
            <w:sz w:val="24"/>
            <w:szCs w:val="24"/>
            <w:u w:val="single"/>
            <w14:ligatures w14:val="standardContextual"/>
          </w:rPr>
          <w:t>https://kclpure.kcl.ac.uk/ws/files/97277490/The_E_ect_of_University_Fees_SA_Accepted13July2017_GREEN_AAM.pdf</w:t>
        </w:r>
      </w:hyperlink>
    </w:p>
    <w:p w14:paraId="161765A2"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Sá, F. (2019). The effect of university fees on applications, attendance and course choice: Evidence from a natural experiment in the UK. Economica, 86(343), 607–634. </w:t>
      </w:r>
      <w:hyperlink r:id="rId54">
        <w:r w:rsidRPr="00BC3C05">
          <w:rPr>
            <w:rFonts w:ascii="Times New Roman" w:hAnsi="Times New Roman" w:cs="Times New Roman"/>
            <w:color w:val="0563C1" w:themeColor="hyperlink"/>
            <w:kern w:val="2"/>
            <w:sz w:val="24"/>
            <w:szCs w:val="24"/>
            <w:u w:val="single"/>
            <w14:ligatures w14:val="standardContextual"/>
          </w:rPr>
          <w:t>https://doi.org/10.1111/ec</w:t>
        </w:r>
        <w:r w:rsidRPr="00BC3C05">
          <w:rPr>
            <w:rFonts w:ascii="Times New Roman" w:hAnsi="Times New Roman" w:cs="Times New Roman"/>
            <w:color w:val="0563C1" w:themeColor="hyperlink"/>
            <w:kern w:val="2"/>
            <w:sz w:val="24"/>
            <w:szCs w:val="24"/>
            <w:u w:val="single"/>
            <w14:ligatures w14:val="standardContextual"/>
          </w:rPr>
          <w:t>c</w:t>
        </w:r>
        <w:r w:rsidRPr="00BC3C05">
          <w:rPr>
            <w:rFonts w:ascii="Times New Roman" w:hAnsi="Times New Roman" w:cs="Times New Roman"/>
            <w:color w:val="0563C1" w:themeColor="hyperlink"/>
            <w:kern w:val="2"/>
            <w:sz w:val="24"/>
            <w:szCs w:val="24"/>
            <w:u w:val="single"/>
            <w14:ligatures w14:val="standardContextual"/>
          </w:rPr>
          <w:t>a.12278</w:t>
        </w:r>
      </w:hyperlink>
    </w:p>
    <w:p w14:paraId="1AA2C328"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Savoca, E. (1990). Another look at the demand for higher education: Measuring the price sensitivity of the decision to apply to college. </w:t>
      </w:r>
      <w:r w:rsidRPr="00BC3C05">
        <w:rPr>
          <w:rFonts w:ascii="Times New Roman" w:hAnsi="Times New Roman" w:cs="Times New Roman"/>
          <w:i/>
          <w:iCs/>
          <w:kern w:val="2"/>
          <w:sz w:val="24"/>
          <w:szCs w:val="24"/>
          <w14:ligatures w14:val="standardContextual"/>
        </w:rPr>
        <w:t>Economics of Education Review</w:t>
      </w:r>
      <w:r w:rsidRPr="00BC3C05">
        <w:rPr>
          <w:rFonts w:ascii="Times New Roman" w:hAnsi="Times New Roman" w:cs="Times New Roman"/>
          <w:kern w:val="2"/>
          <w:sz w:val="24"/>
          <w:szCs w:val="24"/>
          <w14:ligatures w14:val="standardContextual"/>
        </w:rPr>
        <w:t xml:space="preserve">, 9(2), 123–134. </w:t>
      </w:r>
      <w:hyperlink r:id="rId55">
        <w:r w:rsidRPr="00BC3C05">
          <w:rPr>
            <w:rFonts w:ascii="Times New Roman" w:hAnsi="Times New Roman" w:cs="Times New Roman"/>
            <w:color w:val="0563C1" w:themeColor="hyperlink"/>
            <w:kern w:val="2"/>
            <w:sz w:val="24"/>
            <w:szCs w:val="24"/>
            <w:u w:val="single"/>
            <w14:ligatures w14:val="standardContextual"/>
          </w:rPr>
          <w:t>https://doi.org/10.1016/0272-7757(90)90040-C</w:t>
        </w:r>
      </w:hyperlink>
    </w:p>
    <w:p w14:paraId="71259E0F"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Solís, A. (2017). Credit access and college enrollment. </w:t>
      </w:r>
      <w:r w:rsidRPr="00BC3C05">
        <w:rPr>
          <w:rFonts w:ascii="Times New Roman" w:hAnsi="Times New Roman" w:cs="Times New Roman"/>
          <w:i/>
          <w:iCs/>
          <w:kern w:val="2"/>
          <w:sz w:val="24"/>
          <w:szCs w:val="24"/>
          <w14:ligatures w14:val="standardContextual"/>
        </w:rPr>
        <w:t>Journal of Political Economy</w:t>
      </w:r>
      <w:r w:rsidRPr="00BC3C05">
        <w:rPr>
          <w:rFonts w:ascii="Times New Roman" w:hAnsi="Times New Roman" w:cs="Times New Roman"/>
          <w:kern w:val="2"/>
          <w:sz w:val="24"/>
          <w:szCs w:val="24"/>
          <w14:ligatures w14:val="standardContextual"/>
        </w:rPr>
        <w:t xml:space="preserve">, 125(2), 562–622. </w:t>
      </w:r>
      <w:hyperlink r:id="rId56">
        <w:r w:rsidRPr="00BC3C05">
          <w:rPr>
            <w:rFonts w:ascii="Times New Roman" w:hAnsi="Times New Roman" w:cs="Times New Roman"/>
            <w:color w:val="0563C1" w:themeColor="hyperlink"/>
            <w:kern w:val="2"/>
            <w:sz w:val="24"/>
            <w:szCs w:val="24"/>
            <w:u w:val="single"/>
            <w14:ligatures w14:val="standardContextual"/>
          </w:rPr>
          <w:t>https://doi.org/10.1086/690829</w:t>
        </w:r>
      </w:hyperlink>
    </w:p>
    <w:p w14:paraId="4B2D9F0F" w14:textId="77777777" w:rsidR="0042694A" w:rsidRDefault="0042694A" w:rsidP="0042694A">
      <w:pPr>
        <w:keepLines/>
        <w:spacing w:after="0" w:line="360" w:lineRule="auto"/>
        <w:ind w:left="720" w:hanging="720"/>
      </w:pPr>
      <w:r>
        <w:rPr>
          <w:rFonts w:ascii="Times New Roman" w:hAnsi="Times New Roman"/>
          <w:sz w:val="24"/>
        </w:rPr>
        <w:t xml:space="preserve">Student Loans Company. (2021). Overseas earnings thresholds for Plan 2 student loans, 2021–22. GOV.UK. </w:t>
      </w:r>
      <w:hyperlink r:id="rId57">
        <w:r>
          <w:rPr>
            <w:rFonts w:ascii="Times New Roman" w:hAnsi="Times New Roman"/>
            <w:color w:val="0563C1"/>
            <w:sz w:val="24"/>
            <w:szCs w:val="24"/>
            <w:u w:val="single"/>
          </w:rPr>
          <w:t>https://www.gov.u</w:t>
        </w:r>
        <w:r>
          <w:rPr>
            <w:rFonts w:ascii="Times New Roman" w:hAnsi="Times New Roman"/>
            <w:color w:val="0563C1"/>
            <w:sz w:val="24"/>
            <w:szCs w:val="24"/>
            <w:u w:val="single"/>
          </w:rPr>
          <w:t>k</w:t>
        </w:r>
        <w:r>
          <w:rPr>
            <w:rFonts w:ascii="Times New Roman" w:hAnsi="Times New Roman"/>
            <w:color w:val="0563C1"/>
            <w:sz w:val="24"/>
            <w:szCs w:val="24"/>
            <w:u w:val="single"/>
          </w:rPr>
          <w:t>/government/publications/overseas-earnings-thresholds-for-plan-2-student-loans</w:t>
        </w:r>
      </w:hyperlink>
    </w:p>
    <w:p w14:paraId="03FDAECD" w14:textId="09B05E90" w:rsidR="008866B5" w:rsidRPr="008866B5" w:rsidRDefault="008866B5" w:rsidP="008866B5">
      <w:pPr>
        <w:keepLines/>
        <w:spacing w:after="0" w:line="360" w:lineRule="auto"/>
        <w:ind w:left="720" w:hanging="720"/>
      </w:pPr>
      <w:r>
        <w:t xml:space="preserve">Student Loans Company. (n.d.). </w:t>
      </w:r>
      <w:r>
        <w:rPr>
          <w:rStyle w:val="Emphasis"/>
        </w:rPr>
        <w:t>Overseas earnings thresholds for Plan 2 student loans, 2020–21</w:t>
      </w:r>
      <w:r>
        <w:t>. GOV.UK. Retrieved February 11, 2022, from</w:t>
      </w:r>
    </w:p>
    <w:p w14:paraId="303BD4CC"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UCAS. (2022). </w:t>
      </w:r>
      <w:r w:rsidRPr="00BC3C05">
        <w:rPr>
          <w:rFonts w:ascii="Times New Roman" w:hAnsi="Times New Roman" w:cs="Times New Roman"/>
          <w:i/>
          <w:iCs/>
          <w:kern w:val="2"/>
          <w:sz w:val="24"/>
          <w:szCs w:val="24"/>
          <w14:ligatures w14:val="standardContextual"/>
        </w:rPr>
        <w:t>UCAS undergraduate sector-level end of cycle data resources 2021</w:t>
      </w:r>
      <w:r w:rsidRPr="00BC3C05">
        <w:rPr>
          <w:rFonts w:ascii="Times New Roman" w:hAnsi="Times New Roman" w:cs="Times New Roman"/>
          <w:kern w:val="2"/>
          <w:sz w:val="24"/>
          <w:szCs w:val="24"/>
          <w14:ligatures w14:val="standardContextual"/>
        </w:rPr>
        <w:t xml:space="preserve"> [Data set]. </w:t>
      </w:r>
      <w:hyperlink r:id="rId58">
        <w:r w:rsidRPr="00BC3C05">
          <w:rPr>
            <w:rFonts w:ascii="Times New Roman" w:hAnsi="Times New Roman" w:cs="Times New Roman"/>
            <w:color w:val="0563C1" w:themeColor="hyperlink"/>
            <w:kern w:val="2"/>
            <w:sz w:val="24"/>
            <w:szCs w:val="24"/>
            <w:u w:val="single"/>
            <w14:ligatures w14:val="standardContextual"/>
          </w:rPr>
          <w:t>https://www.ucas.com/data-and-analysis/undergraduate-statistics-and-reports/ucas-undergraduate-sector-level-end-of-cycle-data-resources-2021</w:t>
        </w:r>
      </w:hyperlink>
    </w:p>
    <w:p w14:paraId="025F617E"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UK Government. (n.d.-a). </w:t>
      </w:r>
      <w:r w:rsidRPr="00BC3C05">
        <w:rPr>
          <w:rFonts w:ascii="Times New Roman" w:hAnsi="Times New Roman" w:cs="Times New Roman"/>
          <w:i/>
          <w:iCs/>
          <w:kern w:val="2"/>
          <w:sz w:val="24"/>
          <w:szCs w:val="24"/>
          <w14:ligatures w14:val="standardContextual"/>
        </w:rPr>
        <w:t>Repaying your student loan: What you pay.</w:t>
      </w:r>
      <w:r w:rsidRPr="00BC3C05">
        <w:rPr>
          <w:rFonts w:ascii="Times New Roman" w:hAnsi="Times New Roman" w:cs="Times New Roman"/>
          <w:kern w:val="2"/>
          <w:sz w:val="24"/>
          <w:szCs w:val="24"/>
          <w14:ligatures w14:val="standardContextual"/>
        </w:rPr>
        <w:t xml:space="preserve"> GOV.UK. </w:t>
      </w:r>
      <w:hyperlink r:id="rId59">
        <w:r w:rsidRPr="00BC3C05">
          <w:rPr>
            <w:rFonts w:ascii="Times New Roman" w:hAnsi="Times New Roman" w:cs="Times New Roman"/>
            <w:color w:val="0563C1" w:themeColor="hyperlink"/>
            <w:kern w:val="2"/>
            <w:sz w:val="24"/>
            <w:szCs w:val="24"/>
            <w:u w:val="single"/>
            <w14:ligatures w14:val="standardContextual"/>
          </w:rPr>
          <w:t>https://www.gov.uk/repaying-your-student-loan/what-you-pay</w:t>
        </w:r>
      </w:hyperlink>
    </w:p>
    <w:p w14:paraId="202BC7E9"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UK Government. (n.d.-b). </w:t>
      </w:r>
      <w:r w:rsidRPr="00BC3C05">
        <w:rPr>
          <w:rFonts w:ascii="Times New Roman" w:hAnsi="Times New Roman" w:cs="Times New Roman"/>
          <w:i/>
          <w:iCs/>
          <w:kern w:val="2"/>
          <w:sz w:val="24"/>
          <w:szCs w:val="24"/>
          <w14:ligatures w14:val="standardContextual"/>
        </w:rPr>
        <w:t>When your student loan gets written off or cancelled.</w:t>
      </w:r>
      <w:r w:rsidRPr="00BC3C05">
        <w:rPr>
          <w:rFonts w:ascii="Times New Roman" w:hAnsi="Times New Roman" w:cs="Times New Roman"/>
          <w:kern w:val="2"/>
          <w:sz w:val="24"/>
          <w:szCs w:val="24"/>
          <w14:ligatures w14:val="standardContextual"/>
        </w:rPr>
        <w:t xml:space="preserve"> GOV.UK. </w:t>
      </w:r>
      <w:hyperlink r:id="rId60">
        <w:r w:rsidRPr="00BC3C05">
          <w:rPr>
            <w:rFonts w:ascii="Times New Roman" w:hAnsi="Times New Roman" w:cs="Times New Roman"/>
            <w:color w:val="0563C1" w:themeColor="hyperlink"/>
            <w:kern w:val="2"/>
            <w:sz w:val="24"/>
            <w:szCs w:val="24"/>
            <w:u w:val="single"/>
            <w14:ligatures w14:val="standardContextual"/>
          </w:rPr>
          <w:t>https://www.gov.uk/repaying-your-student-loan/when-your-student-loan-gets-written-off</w:t>
        </w:r>
      </w:hyperlink>
    </w:p>
    <w:p w14:paraId="4AA104C5"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lastRenderedPageBreak/>
        <w:t xml:space="preserve">UK Government. (n.d.-c). </w:t>
      </w:r>
      <w:r w:rsidRPr="00BC3C05">
        <w:rPr>
          <w:rFonts w:ascii="Times New Roman" w:hAnsi="Times New Roman" w:cs="Times New Roman"/>
          <w:i/>
          <w:iCs/>
          <w:kern w:val="2"/>
          <w:sz w:val="24"/>
          <w:szCs w:val="24"/>
          <w14:ligatures w14:val="standardContextual"/>
        </w:rPr>
        <w:t>How interest is calculated (Plan 2).</w:t>
      </w:r>
      <w:r w:rsidRPr="00BC3C05">
        <w:rPr>
          <w:rFonts w:ascii="Times New Roman" w:hAnsi="Times New Roman" w:cs="Times New Roman"/>
          <w:kern w:val="2"/>
          <w:sz w:val="24"/>
          <w:szCs w:val="24"/>
          <w14:ligatures w14:val="standardContextual"/>
        </w:rPr>
        <w:t xml:space="preserve"> GOV.UK. </w:t>
      </w:r>
      <w:hyperlink r:id="rId61">
        <w:r w:rsidRPr="00BC3C05">
          <w:rPr>
            <w:rFonts w:ascii="Times New Roman" w:hAnsi="Times New Roman" w:cs="Times New Roman"/>
            <w:color w:val="0563C1" w:themeColor="hyperlink"/>
            <w:kern w:val="2"/>
            <w:sz w:val="24"/>
            <w:szCs w:val="24"/>
            <w:u w:val="single"/>
            <w14:ligatures w14:val="standardContextual"/>
          </w:rPr>
          <w:t>https://www.gov.uk/guidance/how-interest-is-calculated-plan-2</w:t>
        </w:r>
      </w:hyperlink>
    </w:p>
    <w:p w14:paraId="1E40E338" w14:textId="77777777" w:rsidR="0042694A"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Pr>
          <w:rFonts w:ascii="Times New Roman" w:hAnsi="Times New Roman"/>
          <w:sz w:val="24"/>
        </w:rPr>
        <w:t xml:space="preserve">Warner, J. T., &amp; </w:t>
      </w:r>
      <w:proofErr w:type="spellStart"/>
      <w:r>
        <w:rPr>
          <w:rFonts w:ascii="Times New Roman" w:hAnsi="Times New Roman"/>
          <w:sz w:val="24"/>
        </w:rPr>
        <w:t>Pleeter</w:t>
      </w:r>
      <w:proofErr w:type="spellEnd"/>
      <w:r>
        <w:rPr>
          <w:rFonts w:ascii="Times New Roman" w:hAnsi="Times New Roman"/>
          <w:sz w:val="24"/>
        </w:rPr>
        <w:t xml:space="preserve">, S. (2001). The personal discount rate: Evidence from military downsizing programs. </w:t>
      </w:r>
      <w:r>
        <w:rPr>
          <w:rFonts w:ascii="Times New Roman" w:hAnsi="Times New Roman"/>
          <w:i/>
          <w:sz w:val="24"/>
        </w:rPr>
        <w:t>American Economic Review, 91</w:t>
      </w:r>
      <w:r>
        <w:rPr>
          <w:rFonts w:ascii="Times New Roman" w:hAnsi="Times New Roman"/>
          <w:sz w:val="24"/>
        </w:rPr>
        <w:t xml:space="preserve">(1), 33–53. </w:t>
      </w:r>
      <w:hyperlink r:id="rId62">
        <w:r>
          <w:rPr>
            <w:rFonts w:ascii="Times New Roman" w:hAnsi="Times New Roman"/>
            <w:color w:val="0563C1"/>
            <w:sz w:val="24"/>
            <w:szCs w:val="24"/>
            <w:u w:val="single"/>
          </w:rPr>
          <w:t>https://doi.org/10.1257/aer.91.1.33</w:t>
        </w:r>
      </w:hyperlink>
    </w:p>
    <w:p w14:paraId="3A59932A" w14:textId="77777777" w:rsidR="0042694A" w:rsidRPr="00BC3C05" w:rsidRDefault="0042694A" w:rsidP="0042694A">
      <w:pPr>
        <w:keepLines/>
        <w:spacing w:after="0" w:line="360" w:lineRule="auto"/>
        <w:ind w:left="720" w:hanging="720"/>
        <w:rPr>
          <w:rFonts w:ascii="Times New Roman" w:hAnsi="Times New Roman" w:cs="Times New Roman"/>
          <w:kern w:val="2"/>
          <w:sz w:val="24"/>
          <w:szCs w:val="24"/>
          <w14:ligatures w14:val="standardContextual"/>
        </w:rPr>
      </w:pPr>
      <w:r w:rsidRPr="00BC3C05">
        <w:rPr>
          <w:rFonts w:ascii="Times New Roman" w:hAnsi="Times New Roman" w:cs="Times New Roman"/>
          <w:kern w:val="2"/>
          <w:sz w:val="24"/>
          <w:szCs w:val="24"/>
          <w14:ligatures w14:val="standardContextual"/>
        </w:rPr>
        <w:t xml:space="preserve">World Bank. (2025). </w:t>
      </w:r>
      <w:r w:rsidRPr="00BC3C05">
        <w:rPr>
          <w:rFonts w:ascii="Times New Roman" w:hAnsi="Times New Roman" w:cs="Times New Roman"/>
          <w:i/>
          <w:iCs/>
          <w:kern w:val="2"/>
          <w:sz w:val="24"/>
          <w:szCs w:val="24"/>
          <w14:ligatures w14:val="standardContextual"/>
        </w:rPr>
        <w:t>World Development Indicators</w:t>
      </w:r>
      <w:r w:rsidRPr="00BC3C05">
        <w:rPr>
          <w:rFonts w:ascii="Times New Roman" w:hAnsi="Times New Roman" w:cs="Times New Roman"/>
          <w:kern w:val="2"/>
          <w:sz w:val="24"/>
          <w:szCs w:val="24"/>
          <w14:ligatures w14:val="standardContextual"/>
        </w:rPr>
        <w:t xml:space="preserve"> [Data set]. </w:t>
      </w:r>
      <w:hyperlink r:id="rId63">
        <w:r w:rsidRPr="00BC3C05">
          <w:rPr>
            <w:rFonts w:ascii="Times New Roman" w:hAnsi="Times New Roman" w:cs="Times New Roman"/>
            <w:color w:val="0563C1" w:themeColor="hyperlink"/>
            <w:kern w:val="2"/>
            <w:sz w:val="24"/>
            <w:szCs w:val="24"/>
            <w:u w:val="single"/>
            <w14:ligatures w14:val="standardContextual"/>
          </w:rPr>
          <w:t>https://databank.worldbank.org/source/world-development-indicators</w:t>
        </w:r>
      </w:hyperlink>
    </w:p>
    <w:sectPr w:rsidR="0042694A" w:rsidRPr="00BC3C05">
      <w:headerReference w:type="default" r:id="rId64"/>
      <w:footerReference w:type="default" r:id="rId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3AAC6" w14:textId="77777777" w:rsidR="00094C78" w:rsidRDefault="00094C78" w:rsidP="00BC3C05">
      <w:pPr>
        <w:spacing w:after="0" w:line="240" w:lineRule="auto"/>
      </w:pPr>
      <w:r>
        <w:separator/>
      </w:r>
    </w:p>
  </w:endnote>
  <w:endnote w:type="continuationSeparator" w:id="0">
    <w:p w14:paraId="3741477C" w14:textId="77777777" w:rsidR="00094C78" w:rsidRDefault="00094C78" w:rsidP="00BC3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6EA6" w14:textId="77777777" w:rsidR="00C6711D" w:rsidRDefault="00C67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6F625" w14:textId="77777777" w:rsidR="00094C78" w:rsidRDefault="00094C78" w:rsidP="00BC3C05">
      <w:pPr>
        <w:spacing w:after="0" w:line="240" w:lineRule="auto"/>
      </w:pPr>
      <w:r>
        <w:separator/>
      </w:r>
    </w:p>
  </w:footnote>
  <w:footnote w:type="continuationSeparator" w:id="0">
    <w:p w14:paraId="46D51DD2" w14:textId="77777777" w:rsidR="00094C78" w:rsidRDefault="00094C78" w:rsidP="00BC3C05">
      <w:pPr>
        <w:spacing w:after="0" w:line="240" w:lineRule="auto"/>
      </w:pPr>
      <w:r>
        <w:continuationSeparator/>
      </w:r>
    </w:p>
  </w:footnote>
  <w:footnote w:id="1">
    <w:p w14:paraId="3DE2D033" w14:textId="77777777" w:rsidR="00BC3C05" w:rsidRDefault="00BC3C05" w:rsidP="00BC3C05">
      <w:pPr>
        <w:pStyle w:val="FootnoteText"/>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9634" w14:textId="77777777" w:rsidR="00C6711D" w:rsidRDefault="00C67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490953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575862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38989164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0762777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59698478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86635389">
    <w:abstractNumId w:val="4"/>
  </w:num>
  <w:num w:numId="7" w16cid:durableId="203419058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801656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6436816">
    <w:abstractNumId w:val="6"/>
  </w:num>
  <w:num w:numId="10" w16cid:durableId="468010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05"/>
    <w:rsid w:val="00094C78"/>
    <w:rsid w:val="0014580B"/>
    <w:rsid w:val="00253A5A"/>
    <w:rsid w:val="00346666"/>
    <w:rsid w:val="003E5BA0"/>
    <w:rsid w:val="0042694A"/>
    <w:rsid w:val="0043291B"/>
    <w:rsid w:val="004B4298"/>
    <w:rsid w:val="00546593"/>
    <w:rsid w:val="006660FA"/>
    <w:rsid w:val="006E70BA"/>
    <w:rsid w:val="00737A6C"/>
    <w:rsid w:val="0075037F"/>
    <w:rsid w:val="0079706B"/>
    <w:rsid w:val="007B323A"/>
    <w:rsid w:val="007E33C1"/>
    <w:rsid w:val="007F2952"/>
    <w:rsid w:val="008866B5"/>
    <w:rsid w:val="008D35C1"/>
    <w:rsid w:val="00960934"/>
    <w:rsid w:val="0098270D"/>
    <w:rsid w:val="009C377C"/>
    <w:rsid w:val="009D53A9"/>
    <w:rsid w:val="009F7249"/>
    <w:rsid w:val="00A1326D"/>
    <w:rsid w:val="00A556E8"/>
    <w:rsid w:val="00B30E3C"/>
    <w:rsid w:val="00B44830"/>
    <w:rsid w:val="00B4610B"/>
    <w:rsid w:val="00B60B7C"/>
    <w:rsid w:val="00BC3C05"/>
    <w:rsid w:val="00C6711D"/>
    <w:rsid w:val="00CB3347"/>
    <w:rsid w:val="00CF718B"/>
    <w:rsid w:val="00E754F9"/>
    <w:rsid w:val="00EA4DCB"/>
    <w:rsid w:val="00ED60A5"/>
    <w:rsid w:val="00EF2C11"/>
    <w:rsid w:val="00FE0C7E"/>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E80B"/>
  <w15:chartTrackingRefBased/>
  <w15:docId w15:val="{28C56AED-4BC8-4F77-9876-ED1DF240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3C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C3C0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BC3C05"/>
    <w:pPr>
      <w:keepNext/>
      <w:keepLines/>
      <w:spacing w:before="40" w:after="0" w:line="240" w:lineRule="auto"/>
      <w:outlineLvl w:val="2"/>
    </w:pPr>
    <w:rPr>
      <w:rFonts w:asciiTheme="majorHAnsi" w:eastAsiaTheme="majorEastAsia" w:hAnsiTheme="majorHAnsi" w:cstheme="majorBidi"/>
      <w:color w:val="1F3763" w:themeColor="accent1" w:themeShade="7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0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3C0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3C05"/>
    <w:rPr>
      <w:rFonts w:asciiTheme="majorHAnsi" w:eastAsiaTheme="majorEastAsia" w:hAnsiTheme="majorHAnsi" w:cstheme="majorBidi"/>
      <w:color w:val="1F3763" w:themeColor="accent1" w:themeShade="7F"/>
      <w:kern w:val="2"/>
      <w:sz w:val="24"/>
      <w:szCs w:val="24"/>
      <w14:ligatures w14:val="standardContextual"/>
    </w:rPr>
  </w:style>
  <w:style w:type="numbering" w:customStyle="1" w:styleId="NoList1">
    <w:name w:val="No List1"/>
    <w:next w:val="NoList"/>
    <w:uiPriority w:val="99"/>
    <w:semiHidden/>
    <w:unhideWhenUsed/>
    <w:rsid w:val="00BC3C05"/>
  </w:style>
  <w:style w:type="table" w:customStyle="1" w:styleId="Style1">
    <w:name w:val="Style1"/>
    <w:basedOn w:val="TableWeb3"/>
    <w:uiPriority w:val="99"/>
    <w:rsid w:val="00BC3C05"/>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BC3C05"/>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BC3C0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C3C05"/>
    <w:rPr>
      <w:b/>
      <w:bCs/>
    </w:rPr>
  </w:style>
  <w:style w:type="character" w:styleId="Emphasis">
    <w:name w:val="Emphasis"/>
    <w:basedOn w:val="DefaultParagraphFont"/>
    <w:uiPriority w:val="20"/>
    <w:qFormat/>
    <w:rsid w:val="00BC3C05"/>
    <w:rPr>
      <w:i/>
      <w:iCs/>
    </w:rPr>
  </w:style>
  <w:style w:type="paragraph" w:styleId="HTMLPreformatted">
    <w:name w:val="HTML Preformatted"/>
    <w:basedOn w:val="Normal"/>
    <w:link w:val="HTMLPreformattedChar"/>
    <w:uiPriority w:val="99"/>
    <w:semiHidden/>
    <w:unhideWhenUsed/>
    <w:rsid w:val="00BC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C3C0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C3C05"/>
    <w:rPr>
      <w:rFonts w:ascii="Courier New" w:eastAsia="Times New Roman" w:hAnsi="Courier New" w:cs="Courier New"/>
      <w:sz w:val="20"/>
      <w:szCs w:val="20"/>
    </w:rPr>
  </w:style>
  <w:style w:type="character" w:styleId="PlaceholderText">
    <w:name w:val="Placeholder Text"/>
    <w:basedOn w:val="DefaultParagraphFont"/>
    <w:uiPriority w:val="99"/>
    <w:semiHidden/>
    <w:rsid w:val="00BC3C05"/>
    <w:rPr>
      <w:color w:val="666666"/>
    </w:rPr>
  </w:style>
  <w:style w:type="character" w:customStyle="1" w:styleId="katex-mathml">
    <w:name w:val="katex-mathml"/>
    <w:basedOn w:val="DefaultParagraphFont"/>
    <w:rsid w:val="00BC3C05"/>
  </w:style>
  <w:style w:type="character" w:customStyle="1" w:styleId="mord">
    <w:name w:val="mord"/>
    <w:basedOn w:val="DefaultParagraphFont"/>
    <w:rsid w:val="00BC3C05"/>
  </w:style>
  <w:style w:type="character" w:customStyle="1" w:styleId="vlist-s">
    <w:name w:val="vlist-s"/>
    <w:basedOn w:val="DefaultParagraphFont"/>
    <w:rsid w:val="00BC3C05"/>
  </w:style>
  <w:style w:type="character" w:customStyle="1" w:styleId="mopen">
    <w:name w:val="mopen"/>
    <w:basedOn w:val="DefaultParagraphFont"/>
    <w:rsid w:val="00BC3C05"/>
  </w:style>
  <w:style w:type="character" w:customStyle="1" w:styleId="mpunct">
    <w:name w:val="mpunct"/>
    <w:basedOn w:val="DefaultParagraphFont"/>
    <w:rsid w:val="00BC3C05"/>
  </w:style>
  <w:style w:type="character" w:customStyle="1" w:styleId="mbin">
    <w:name w:val="mbin"/>
    <w:basedOn w:val="DefaultParagraphFont"/>
    <w:rsid w:val="00BC3C05"/>
  </w:style>
  <w:style w:type="character" w:customStyle="1" w:styleId="mclose">
    <w:name w:val="mclose"/>
    <w:basedOn w:val="DefaultParagraphFont"/>
    <w:rsid w:val="00BC3C05"/>
  </w:style>
  <w:style w:type="paragraph" w:styleId="ListParagraph">
    <w:name w:val="List Paragraph"/>
    <w:basedOn w:val="Normal"/>
    <w:uiPriority w:val="34"/>
    <w:qFormat/>
    <w:rsid w:val="00BC3C05"/>
    <w:pPr>
      <w:spacing w:after="0" w:line="240" w:lineRule="auto"/>
      <w:ind w:left="720"/>
      <w:contextualSpacing/>
    </w:pPr>
    <w:rPr>
      <w:kern w:val="2"/>
      <w:sz w:val="24"/>
      <w:szCs w:val="24"/>
      <w14:ligatures w14:val="standardContextual"/>
    </w:rPr>
  </w:style>
  <w:style w:type="character" w:customStyle="1" w:styleId="mop">
    <w:name w:val="mop"/>
    <w:basedOn w:val="DefaultParagraphFont"/>
    <w:rsid w:val="00BC3C05"/>
  </w:style>
  <w:style w:type="character" w:customStyle="1" w:styleId="mrel">
    <w:name w:val="mrel"/>
    <w:basedOn w:val="DefaultParagraphFont"/>
    <w:rsid w:val="00BC3C05"/>
  </w:style>
  <w:style w:type="table" w:styleId="TableGrid">
    <w:name w:val="Table Grid"/>
    <w:basedOn w:val="TableNormal"/>
    <w:uiPriority w:val="39"/>
    <w:rsid w:val="00BC3C0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C05"/>
    <w:rPr>
      <w:color w:val="0563C1" w:themeColor="hyperlink"/>
      <w:u w:val="single"/>
    </w:rPr>
  </w:style>
  <w:style w:type="character" w:styleId="UnresolvedMention">
    <w:name w:val="Unresolved Mention"/>
    <w:basedOn w:val="DefaultParagraphFont"/>
    <w:uiPriority w:val="99"/>
    <w:semiHidden/>
    <w:unhideWhenUsed/>
    <w:rsid w:val="00BC3C05"/>
    <w:rPr>
      <w:color w:val="605E5C"/>
      <w:shd w:val="clear" w:color="auto" w:fill="E1DFDD"/>
    </w:rPr>
  </w:style>
  <w:style w:type="character" w:styleId="CommentReference">
    <w:name w:val="annotation reference"/>
    <w:basedOn w:val="DefaultParagraphFont"/>
    <w:uiPriority w:val="99"/>
    <w:semiHidden/>
    <w:unhideWhenUsed/>
    <w:rsid w:val="00BC3C05"/>
    <w:rPr>
      <w:sz w:val="16"/>
      <w:szCs w:val="16"/>
    </w:rPr>
  </w:style>
  <w:style w:type="paragraph" w:styleId="CommentText">
    <w:name w:val="annotation text"/>
    <w:basedOn w:val="Normal"/>
    <w:link w:val="CommentTextChar"/>
    <w:uiPriority w:val="99"/>
    <w:semiHidden/>
    <w:unhideWhenUsed/>
    <w:rsid w:val="00BC3C05"/>
    <w:pPr>
      <w:spacing w:after="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semiHidden/>
    <w:rsid w:val="00BC3C05"/>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C3C05"/>
    <w:rPr>
      <w:b/>
      <w:bCs/>
    </w:rPr>
  </w:style>
  <w:style w:type="character" w:customStyle="1" w:styleId="CommentSubjectChar">
    <w:name w:val="Comment Subject Char"/>
    <w:basedOn w:val="CommentTextChar"/>
    <w:link w:val="CommentSubject"/>
    <w:uiPriority w:val="99"/>
    <w:semiHidden/>
    <w:rsid w:val="00BC3C05"/>
    <w:rPr>
      <w:b/>
      <w:bCs/>
      <w:kern w:val="2"/>
      <w:sz w:val="20"/>
      <w:szCs w:val="20"/>
      <w14:ligatures w14:val="standardContextual"/>
    </w:rPr>
  </w:style>
  <w:style w:type="paragraph" w:styleId="BalloonText">
    <w:name w:val="Balloon Text"/>
    <w:basedOn w:val="Normal"/>
    <w:link w:val="BalloonTextChar"/>
    <w:uiPriority w:val="99"/>
    <w:semiHidden/>
    <w:unhideWhenUsed/>
    <w:rsid w:val="00BC3C05"/>
    <w:pPr>
      <w:spacing w:after="0" w:line="240" w:lineRule="auto"/>
    </w:pPr>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BC3C05"/>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BC3C05"/>
    <w:rPr>
      <w:color w:val="954F72" w:themeColor="followedHyperlink"/>
      <w:u w:val="single"/>
    </w:rPr>
  </w:style>
  <w:style w:type="character" w:customStyle="1" w:styleId="relative">
    <w:name w:val="relative"/>
    <w:basedOn w:val="DefaultParagraphFont"/>
    <w:rsid w:val="00BC3C05"/>
  </w:style>
  <w:style w:type="paragraph" w:customStyle="1" w:styleId="not-prose">
    <w:name w:val="not-prose"/>
    <w:basedOn w:val="Normal"/>
    <w:rsid w:val="00BC3C0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Normal"/>
    <w:rsid w:val="00BC3C05"/>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1">
    <w:name w:val="s1"/>
    <w:basedOn w:val="DefaultParagraphFont"/>
    <w:rsid w:val="00BC3C05"/>
  </w:style>
  <w:style w:type="character" w:customStyle="1" w:styleId="apple-converted-space">
    <w:name w:val="apple-converted-space"/>
    <w:basedOn w:val="DefaultParagraphFont"/>
    <w:rsid w:val="00BC3C05"/>
  </w:style>
  <w:style w:type="paragraph" w:customStyle="1" w:styleId="p2">
    <w:name w:val="p2"/>
    <w:basedOn w:val="Normal"/>
    <w:rsid w:val="00BC3C05"/>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2">
    <w:name w:val="s2"/>
    <w:basedOn w:val="DefaultParagraphFont"/>
    <w:rsid w:val="00BC3C05"/>
  </w:style>
  <w:style w:type="paragraph" w:customStyle="1" w:styleId="p3">
    <w:name w:val="p3"/>
    <w:basedOn w:val="Normal"/>
    <w:rsid w:val="00BC3C05"/>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3">
    <w:name w:val="s3"/>
    <w:basedOn w:val="DefaultParagraphFont"/>
    <w:rsid w:val="00BC3C05"/>
  </w:style>
  <w:style w:type="character" w:customStyle="1" w:styleId="s4">
    <w:name w:val="s4"/>
    <w:basedOn w:val="DefaultParagraphFont"/>
    <w:rsid w:val="00BC3C05"/>
  </w:style>
  <w:style w:type="paragraph" w:styleId="Caption">
    <w:name w:val="caption"/>
    <w:basedOn w:val="Normal"/>
    <w:next w:val="Normal"/>
    <w:uiPriority w:val="35"/>
    <w:unhideWhenUsed/>
    <w:qFormat/>
    <w:rsid w:val="00BC3C05"/>
    <w:pPr>
      <w:spacing w:after="200" w:line="240" w:lineRule="auto"/>
    </w:pPr>
    <w:rPr>
      <w:i/>
      <w:iCs/>
      <w:color w:val="44546A" w:themeColor="text2"/>
      <w:kern w:val="2"/>
      <w:sz w:val="18"/>
      <w:szCs w:val="18"/>
      <w14:ligatures w14:val="standardContextual"/>
    </w:rPr>
  </w:style>
  <w:style w:type="paragraph" w:styleId="FootnoteText">
    <w:name w:val="footnote text"/>
    <w:basedOn w:val="Normal"/>
    <w:link w:val="FootnoteTextChar"/>
    <w:uiPriority w:val="99"/>
    <w:semiHidden/>
    <w:unhideWhenUsed/>
    <w:rsid w:val="00BC3C05"/>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BC3C05"/>
    <w:rPr>
      <w:kern w:val="2"/>
      <w:sz w:val="20"/>
      <w:szCs w:val="20"/>
      <w14:ligatures w14:val="standardContextual"/>
    </w:rPr>
  </w:style>
  <w:style w:type="character" w:styleId="FootnoteReference">
    <w:name w:val="footnote reference"/>
    <w:basedOn w:val="DefaultParagraphFont"/>
    <w:uiPriority w:val="99"/>
    <w:semiHidden/>
    <w:unhideWhenUsed/>
    <w:rsid w:val="00BC3C05"/>
    <w:rPr>
      <w:vertAlign w:val="superscript"/>
    </w:rPr>
  </w:style>
  <w:style w:type="paragraph" w:customStyle="1" w:styleId="isselectedend">
    <w:name w:val="isselectedend"/>
    <w:basedOn w:val="Normal"/>
    <w:rsid w:val="00BC3C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DefaultParagraphFont"/>
    <w:rsid w:val="00BC3C05"/>
  </w:style>
  <w:style w:type="paragraph" w:styleId="Header">
    <w:name w:val="header"/>
    <w:basedOn w:val="Normal"/>
    <w:link w:val="HeaderChar"/>
    <w:uiPriority w:val="99"/>
    <w:unhideWhenUsed/>
    <w:rsid w:val="00BC3C05"/>
    <w:pPr>
      <w:tabs>
        <w:tab w:val="center" w:pos="4703"/>
        <w:tab w:val="right" w:pos="9406"/>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BC3C05"/>
    <w:rPr>
      <w:kern w:val="2"/>
      <w:sz w:val="24"/>
      <w:szCs w:val="24"/>
      <w14:ligatures w14:val="standardContextual"/>
    </w:rPr>
  </w:style>
  <w:style w:type="paragraph" w:styleId="Footer">
    <w:name w:val="footer"/>
    <w:basedOn w:val="Normal"/>
    <w:link w:val="FooterChar"/>
    <w:uiPriority w:val="99"/>
    <w:unhideWhenUsed/>
    <w:rsid w:val="00BC3C05"/>
    <w:pPr>
      <w:tabs>
        <w:tab w:val="center" w:pos="4703"/>
        <w:tab w:val="right" w:pos="9406"/>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BC3C05"/>
    <w:rPr>
      <w:kern w:val="2"/>
      <w:sz w:val="24"/>
      <w:szCs w:val="24"/>
      <w14:ligatures w14:val="standardContextual"/>
    </w:rPr>
  </w:style>
  <w:style w:type="character" w:customStyle="1" w:styleId="ntpebdom">
    <w:name w:val="ntpebdom"/>
    <w:basedOn w:val="DefaultParagraphFont"/>
    <w:rsid w:val="00BC3C05"/>
  </w:style>
  <w:style w:type="paragraph" w:customStyle="1" w:styleId="SourceCode">
    <w:name w:val="Source Code"/>
    <w:basedOn w:val="Normal"/>
    <w:rsid w:val="00BC3C05"/>
    <w:pPr>
      <w:wordWrap w:val="0"/>
      <w:spacing w:after="0" w:line="240" w:lineRule="auto"/>
    </w:pPr>
    <w:rPr>
      <w:kern w:val="2"/>
      <w:sz w:val="24"/>
      <w:szCs w:val="24"/>
      <w14:ligatures w14:val="standardContextual"/>
    </w:rPr>
  </w:style>
  <w:style w:type="character" w:customStyle="1" w:styleId="KeywordTok">
    <w:name w:val="KeywordTok"/>
    <w:rsid w:val="00BC3C05"/>
    <w:rPr>
      <w:b/>
      <w:color w:val="007020"/>
    </w:rPr>
  </w:style>
  <w:style w:type="character" w:customStyle="1" w:styleId="DataTypeTok">
    <w:name w:val="DataTypeTok"/>
    <w:rsid w:val="00BC3C05"/>
    <w:rPr>
      <w:color w:val="902000"/>
    </w:rPr>
  </w:style>
  <w:style w:type="character" w:customStyle="1" w:styleId="DecValTok">
    <w:name w:val="DecValTok"/>
    <w:rsid w:val="00BC3C05"/>
    <w:rPr>
      <w:color w:val="40A070"/>
    </w:rPr>
  </w:style>
  <w:style w:type="character" w:customStyle="1" w:styleId="BaseNTok">
    <w:name w:val="BaseNTok"/>
    <w:rsid w:val="00BC3C05"/>
    <w:rPr>
      <w:color w:val="40A070"/>
    </w:rPr>
  </w:style>
  <w:style w:type="character" w:customStyle="1" w:styleId="FloatTok">
    <w:name w:val="FloatTok"/>
    <w:rsid w:val="00BC3C05"/>
    <w:rPr>
      <w:color w:val="40A070"/>
    </w:rPr>
  </w:style>
  <w:style w:type="character" w:customStyle="1" w:styleId="ConstantTok">
    <w:name w:val="ConstantTok"/>
    <w:rsid w:val="00BC3C05"/>
    <w:rPr>
      <w:color w:val="880000"/>
    </w:rPr>
  </w:style>
  <w:style w:type="character" w:customStyle="1" w:styleId="CharTok">
    <w:name w:val="CharTok"/>
    <w:rsid w:val="00BC3C05"/>
    <w:rPr>
      <w:color w:val="4070A0"/>
    </w:rPr>
  </w:style>
  <w:style w:type="character" w:customStyle="1" w:styleId="SpecialCharTok">
    <w:name w:val="SpecialCharTok"/>
    <w:rsid w:val="00BC3C05"/>
    <w:rPr>
      <w:color w:val="4070A0"/>
    </w:rPr>
  </w:style>
  <w:style w:type="character" w:customStyle="1" w:styleId="StringTok">
    <w:name w:val="StringTok"/>
    <w:rsid w:val="00BC3C05"/>
    <w:rPr>
      <w:color w:val="4070A0"/>
    </w:rPr>
  </w:style>
  <w:style w:type="character" w:customStyle="1" w:styleId="VerbatimStringTok">
    <w:name w:val="VerbatimStringTok"/>
    <w:rsid w:val="00BC3C05"/>
    <w:rPr>
      <w:color w:val="4070A0"/>
    </w:rPr>
  </w:style>
  <w:style w:type="character" w:customStyle="1" w:styleId="SpecialStringTok">
    <w:name w:val="SpecialStringTok"/>
    <w:rsid w:val="00BC3C05"/>
    <w:rPr>
      <w:color w:val="BB6688"/>
    </w:rPr>
  </w:style>
  <w:style w:type="character" w:customStyle="1" w:styleId="ImportTok">
    <w:name w:val="ImportTok"/>
    <w:rsid w:val="00BC3C05"/>
    <w:rPr>
      <w:b/>
      <w:color w:val="008000"/>
    </w:rPr>
  </w:style>
  <w:style w:type="character" w:customStyle="1" w:styleId="CommentTok">
    <w:name w:val="CommentTok"/>
    <w:rsid w:val="00BC3C05"/>
    <w:rPr>
      <w:i/>
      <w:color w:val="60A0B0"/>
    </w:rPr>
  </w:style>
  <w:style w:type="character" w:customStyle="1" w:styleId="DocumentationTok">
    <w:name w:val="DocumentationTok"/>
    <w:rsid w:val="00BC3C05"/>
    <w:rPr>
      <w:i/>
      <w:color w:val="BA2121"/>
    </w:rPr>
  </w:style>
  <w:style w:type="character" w:customStyle="1" w:styleId="AnnotationTok">
    <w:name w:val="AnnotationTok"/>
    <w:rsid w:val="00BC3C05"/>
    <w:rPr>
      <w:b/>
      <w:i/>
      <w:color w:val="60A0B0"/>
    </w:rPr>
  </w:style>
  <w:style w:type="character" w:customStyle="1" w:styleId="CommentVarTok">
    <w:name w:val="CommentVarTok"/>
    <w:rsid w:val="00BC3C05"/>
    <w:rPr>
      <w:b/>
      <w:i/>
      <w:color w:val="60A0B0"/>
    </w:rPr>
  </w:style>
  <w:style w:type="character" w:customStyle="1" w:styleId="OtherTok">
    <w:name w:val="OtherTok"/>
    <w:rsid w:val="00BC3C05"/>
    <w:rPr>
      <w:color w:val="007020"/>
    </w:rPr>
  </w:style>
  <w:style w:type="character" w:customStyle="1" w:styleId="FunctionTok">
    <w:name w:val="FunctionTok"/>
    <w:rsid w:val="00BC3C05"/>
    <w:rPr>
      <w:color w:val="06287E"/>
    </w:rPr>
  </w:style>
  <w:style w:type="character" w:customStyle="1" w:styleId="VariableTok">
    <w:name w:val="VariableTok"/>
    <w:rsid w:val="00BC3C05"/>
    <w:rPr>
      <w:color w:val="19177C"/>
    </w:rPr>
  </w:style>
  <w:style w:type="character" w:customStyle="1" w:styleId="ControlFlowTok">
    <w:name w:val="ControlFlowTok"/>
    <w:rsid w:val="00BC3C05"/>
    <w:rPr>
      <w:b/>
      <w:color w:val="007020"/>
    </w:rPr>
  </w:style>
  <w:style w:type="character" w:customStyle="1" w:styleId="OperatorTok">
    <w:name w:val="OperatorTok"/>
    <w:rsid w:val="00BC3C05"/>
    <w:rPr>
      <w:color w:val="666666"/>
    </w:rPr>
  </w:style>
  <w:style w:type="character" w:customStyle="1" w:styleId="BuiltInTok">
    <w:name w:val="BuiltInTok"/>
    <w:rsid w:val="00BC3C05"/>
    <w:rPr>
      <w:color w:val="008000"/>
    </w:rPr>
  </w:style>
  <w:style w:type="character" w:customStyle="1" w:styleId="ExtensionTok">
    <w:name w:val="ExtensionTok"/>
    <w:rsid w:val="00BC3C05"/>
  </w:style>
  <w:style w:type="character" w:customStyle="1" w:styleId="PreprocessorTok">
    <w:name w:val="PreprocessorTok"/>
    <w:rsid w:val="00BC3C05"/>
    <w:rPr>
      <w:color w:val="BC7A00"/>
    </w:rPr>
  </w:style>
  <w:style w:type="character" w:customStyle="1" w:styleId="AttributeTok">
    <w:name w:val="AttributeTok"/>
    <w:rsid w:val="00BC3C05"/>
    <w:rPr>
      <w:color w:val="7D9029"/>
    </w:rPr>
  </w:style>
  <w:style w:type="character" w:customStyle="1" w:styleId="RegionMarkerTok">
    <w:name w:val="RegionMarkerTok"/>
    <w:rsid w:val="00BC3C05"/>
  </w:style>
  <w:style w:type="character" w:customStyle="1" w:styleId="InformationTok">
    <w:name w:val="InformationTok"/>
    <w:rsid w:val="00BC3C05"/>
    <w:rPr>
      <w:b/>
      <w:i/>
      <w:color w:val="60A0B0"/>
    </w:rPr>
  </w:style>
  <w:style w:type="character" w:customStyle="1" w:styleId="WarningTok">
    <w:name w:val="WarningTok"/>
    <w:rsid w:val="00BC3C05"/>
    <w:rPr>
      <w:b/>
      <w:i/>
      <w:color w:val="60A0B0"/>
    </w:rPr>
  </w:style>
  <w:style w:type="character" w:customStyle="1" w:styleId="AlertTok">
    <w:name w:val="AlertTok"/>
    <w:rsid w:val="00BC3C05"/>
    <w:rPr>
      <w:b/>
      <w:color w:val="FF0000"/>
    </w:rPr>
  </w:style>
  <w:style w:type="character" w:customStyle="1" w:styleId="ErrorTok">
    <w:name w:val="ErrorTok"/>
    <w:rsid w:val="00BC3C05"/>
    <w:rPr>
      <w:b/>
      <w:color w:val="FF0000"/>
    </w:rPr>
  </w:style>
  <w:style w:type="character" w:customStyle="1" w:styleId="NormalTok">
    <w:name w:val="NormalTok"/>
    <w:rsid w:val="00BC3C05"/>
  </w:style>
  <w:style w:type="paragraph" w:styleId="Revision">
    <w:name w:val="Revision"/>
    <w:hidden/>
    <w:uiPriority w:val="99"/>
    <w:semiHidden/>
    <w:rsid w:val="00BC3C05"/>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257/aer.20190159" TargetMode="External"/><Relationship Id="rId21" Type="http://schemas.openxmlformats.org/officeDocument/2006/relationships/image" Target="media/image13.png"/><Relationship Id="rId34" Type="http://schemas.openxmlformats.org/officeDocument/2006/relationships/hyperlink" Target="https://www.ecb.europa.eu/press/pr/date/2021/html/ecb.pr210708~dc78cc4b0d.en.html" TargetMode="External"/><Relationship Id="rId42" Type="http://schemas.openxmlformats.org/officeDocument/2006/relationships/hyperlink" Target="https://doi.org/10.1080/00221546.1987.11778239" TargetMode="External"/><Relationship Id="rId47" Type="http://schemas.openxmlformats.org/officeDocument/2006/relationships/hyperlink" Target="https://doi.org/10.1007/s10683-021-09716-9" TargetMode="External"/><Relationship Id="rId50" Type="http://schemas.openxmlformats.org/officeDocument/2006/relationships/hyperlink" Target="https://www.publicfirst.co.uk/couting-the-cost" TargetMode="External"/><Relationship Id="rId55" Type="http://schemas.openxmlformats.org/officeDocument/2006/relationships/hyperlink" Target="https://doi.org/10.1016/0272-7757(90)90040-C" TargetMode="External"/><Relationship Id="rId63" Type="http://schemas.openxmlformats.org/officeDocument/2006/relationships/hyperlink" Target="https://databank.worldbank.org/source/world-development-indicator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jstor.org/stable/1812115" TargetMode="External"/><Relationship Id="rId11" Type="http://schemas.openxmlformats.org/officeDocument/2006/relationships/image" Target="media/image3.png"/><Relationship Id="rId24" Type="http://schemas.openxmlformats.org/officeDocument/2006/relationships/hyperlink" Target="https://CRAN.R-project.org/package=WDI" TargetMode="External"/><Relationship Id="rId32" Type="http://schemas.openxmlformats.org/officeDocument/2006/relationships/hyperlink" Target="https://doi.org/10.1162/003465398557825" TargetMode="External"/><Relationship Id="rId37" Type="http://schemas.openxmlformats.org/officeDocument/2006/relationships/hyperlink" Target="https://doi.org/10.1080/00221546.1997.11779004" TargetMode="External"/><Relationship Id="rId40" Type="http://schemas.openxmlformats.org/officeDocument/2006/relationships/hyperlink" Target="https://doi.org/10.3386/w6323" TargetMode="External"/><Relationship Id="rId45" Type="http://schemas.openxmlformats.org/officeDocument/2006/relationships/hyperlink" Target="https://doi.org/10.1080/1369183x.2020.1726173" TargetMode="External"/><Relationship Id="rId53" Type="http://schemas.openxmlformats.org/officeDocument/2006/relationships/hyperlink" Target="https://kclpure.kcl.ac.uk/ws/files/97277490/The_E_ect_of_University_Fees_SA_Accepted13July2017_GREEN_AAM.pdf" TargetMode="External"/><Relationship Id="rId58" Type="http://schemas.openxmlformats.org/officeDocument/2006/relationships/hyperlink" Target="https://www.ucas.com/data-and-analysis/undergraduate-statistics-and-reports/ucas-undergraduate-sector-level-end-of-cycle-data-resources-2021"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gov.uk/guidance/how-interest-is-calculated-plan-2"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escholarship.org/uc/item/9569q5n5" TargetMode="External"/><Relationship Id="rId30" Type="http://schemas.openxmlformats.org/officeDocument/2006/relationships/hyperlink" Target="https://www.iza.org/publications/dp/18178/international-student-migration-did-brexit-close-the-door-to-eu-students" TargetMode="External"/><Relationship Id="rId35" Type="http://schemas.openxmlformats.org/officeDocument/2006/relationships/hyperlink" Target="https://doi.org/10.2908/NAMA_10_FTE" TargetMode="External"/><Relationship Id="rId43" Type="http://schemas.openxmlformats.org/officeDocument/2006/relationships/hyperlink" Target="https://doi.org/10.1007/s40953-021-00283-7" TargetMode="External"/><Relationship Id="rId48" Type="http://schemas.openxmlformats.org/officeDocument/2006/relationships/hyperlink" Target="https://doi.org/10.1093/oxrep/grab043" TargetMode="External"/><Relationship Id="rId56" Type="http://schemas.openxmlformats.org/officeDocument/2006/relationships/hyperlink" Target="https://doi.org/10.1086/690829" TargetMode="External"/><Relationship Id="rId64" Type="http://schemas.openxmlformats.org/officeDocument/2006/relationships/header" Target="header1.xml"/><Relationship Id="rId8" Type="http://schemas.openxmlformats.org/officeDocument/2006/relationships/hyperlink" Target="mailto:stoycho.rusinov@csd.eu" TargetMode="External"/><Relationship Id="rId51" Type="http://schemas.openxmlformats.org/officeDocument/2006/relationships/hyperlink" Target="https://doi.org/10.1017/dap.2024.4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21105/joss.00848" TargetMode="External"/><Relationship Id="rId33" Type="http://schemas.openxmlformats.org/officeDocument/2006/relationships/hyperlink" Target="https://doi.org/10.1016/j.econedurev.2011.10.004" TargetMode="External"/><Relationship Id="rId38" Type="http://schemas.openxmlformats.org/officeDocument/2006/relationships/hyperlink" Target="https://doi.org/10.3102/0162373711415261" TargetMode="External"/><Relationship Id="rId46" Type="http://schemas.openxmlformats.org/officeDocument/2006/relationships/hyperlink" Target="https://doi.org/10.1080/03098770120050909" TargetMode="External"/><Relationship Id="rId59" Type="http://schemas.openxmlformats.org/officeDocument/2006/relationships/hyperlink" Target="https://www.gov.uk/repaying-your-student-loan/what-you-pay" TargetMode="External"/><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commonslibrary.parliament.uk/research-briefings/cbp-8151/" TargetMode="External"/><Relationship Id="rId54" Type="http://schemas.openxmlformats.org/officeDocument/2006/relationships/hyperlink" Target="https://doi.org/10.1111/ecca.12278" TargetMode="External"/><Relationship Id="rId62" Type="http://schemas.openxmlformats.org/officeDocument/2006/relationships/hyperlink" Target="https://doi.org/10.1257/aer.91.1.3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57/jel.20191450" TargetMode="External"/><Relationship Id="rId28" Type="http://schemas.openxmlformats.org/officeDocument/2006/relationships/hyperlink" Target="https://calhoun.faculty.asu.edu/sites/g/files/litvpz3321/files/publications/articles/populism_brexit.pdf" TargetMode="External"/><Relationship Id="rId36" Type="http://schemas.openxmlformats.org/officeDocument/2006/relationships/hyperlink" Target="https://doi.org/10.1177/0969776406065429" TargetMode="External"/><Relationship Id="rId49" Type="http://schemas.openxmlformats.org/officeDocument/2006/relationships/hyperlink" Target="https://eml.berkeley.edu/reprints/mcfadden/zarembka.pdf" TargetMode="External"/><Relationship Id="rId57" Type="http://schemas.openxmlformats.org/officeDocument/2006/relationships/hyperlink" Target="https://www.gov.uk/government/publications/overseas-earnings-thresholds-for-plan-2-student-loans" TargetMode="External"/><Relationship Id="rId10" Type="http://schemas.openxmlformats.org/officeDocument/2006/relationships/image" Target="media/image2.png"/><Relationship Id="rId31" Type="http://schemas.openxmlformats.org/officeDocument/2006/relationships/hyperlink" Target="https://assets.publishing.service.gov.uk/government/uploads/system/uploads/attachment_data/file/958998/EU_exit_estimating_the_impact_on_UK_higher_education.pdf" TargetMode="External"/><Relationship Id="rId44" Type="http://schemas.openxmlformats.org/officeDocument/2006/relationships/hyperlink" Target="https://doi.org/10.1007/978-981-33-4980-3_12" TargetMode="External"/><Relationship Id="rId52" Type="http://schemas.openxmlformats.org/officeDocument/2006/relationships/hyperlink" Target="https://doi.org/10.2139/ssrn.2481553" TargetMode="External"/><Relationship Id="rId60" Type="http://schemas.openxmlformats.org/officeDocument/2006/relationships/hyperlink" Target="https://www.gov.uk/repaying-your-student-loan/when-your-student-loan-gets-written-off"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gov.uk/government/news/graduate-route-for-best-and-brightest-laun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F6FE1-CD7C-6F41-9D27-FB163AA9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41</Pages>
  <Words>11499</Words>
  <Characters>65547</Characters>
  <Application>Microsoft Office Word</Application>
  <DocSecurity>0</DocSecurity>
  <Lines>546</Lines>
  <Paragraphs>153</Paragraphs>
  <ScaleCrop>false</ScaleCrop>
  <Company/>
  <LinksUpToDate>false</LinksUpToDate>
  <CharactersWithSpaces>76893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Microsoft Office User</cp:lastModifiedBy>
  <cp:revision>3</cp:revision>
  <cp:lastPrinted>2026-08-18T11:33:00Z</cp:lastPrinted>
  <dcterms:created xsi:type="dcterms:W3CDTF">2026-08-12T20:34:00Z</dcterms:created>
  <dcterms:modified xsi:type="dcterms:W3CDTF">2026-08-18T14:59:00Z</dcterms:modified>
</cp:coreProperties>
</file>