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53B2" w:rsidRPr="00E33ED7" w:rsidRDefault="009F7DC7" w:rsidP="00E33ED7">
      <w:pPr>
        <w:jc w:val="center"/>
        <w:rPr>
          <w:rFonts w:ascii="Times New Roman" w:hAnsi="Times New Roman" w:cs="Times New Roman"/>
          <w:b/>
          <w:sz w:val="36"/>
          <w:szCs w:val="36"/>
        </w:rPr>
      </w:pPr>
      <w:r>
        <w:rPr>
          <w:rFonts w:ascii="Times New Roman" w:hAnsi="Times New Roman" w:cs="Times New Roman"/>
          <w:b/>
          <w:sz w:val="36"/>
          <w:szCs w:val="36"/>
        </w:rPr>
        <w:t>Online appendix</w:t>
      </w:r>
    </w:p>
    <w:p w:rsidR="008C12E6" w:rsidRDefault="008C12E6" w:rsidP="00645D9F">
      <w:pPr>
        <w:pStyle w:val="Heading1"/>
        <w:jc w:val="both"/>
        <w:rPr>
          <w:i/>
          <w:sz w:val="28"/>
          <w:szCs w:val="28"/>
        </w:rPr>
      </w:pPr>
      <w:r>
        <w:rPr>
          <w:i/>
          <w:sz w:val="28"/>
          <w:szCs w:val="28"/>
        </w:rPr>
        <w:t xml:space="preserve">Control group construction </w:t>
      </w:r>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To validate that treated EU origin markets are compared against structurally similar unaffected markets, we implement a trajectory-based nearest-neighbor matching procedure grounded exclusively in pre-Brexit application dynamics. For each country c, we construct a vector of pre-period applications:</w:t>
      </w:r>
    </w:p>
    <w:p w:rsidR="008C12E6" w:rsidRPr="00525305" w:rsidRDefault="00D8212D" w:rsidP="008C12E6">
      <w:pPr>
        <w:spacing w:before="100" w:beforeAutospacing="1" w:after="100" w:afterAutospacing="1" w:line="360" w:lineRule="auto"/>
        <w:jc w:val="both"/>
        <w:rPr>
          <w:rFonts w:ascii="Times New Roman" w:eastAsia="Times New Roman" w:hAnsi="Times New Roman" w:cs="Times New Roman"/>
          <w:lang w:eastAsia="en-GB"/>
        </w:rPr>
      </w:pPr>
      <m:oMathPara>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Y</m:t>
              </m:r>
            </m:e>
            <m:sub>
              <m:r>
                <w:rPr>
                  <w:rFonts w:ascii="Cambria Math" w:eastAsia="Times New Roman" w:hAnsi="Cambria Math" w:cs="Times New Roman"/>
                  <w:lang w:eastAsia="en-GB"/>
                </w:rPr>
                <m:t>c</m:t>
              </m:r>
            </m:sub>
            <m:sup>
              <m:r>
                <w:rPr>
                  <w:rFonts w:ascii="Cambria Math" w:eastAsia="Times New Roman" w:hAnsi="Cambria Math" w:cs="Times New Roman"/>
                  <w:lang w:eastAsia="en-GB"/>
                </w:rPr>
                <m:t>pre</m:t>
              </m:r>
            </m:sup>
          </m:sSubSup>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c,2014</m:t>
              </m:r>
            </m:sub>
          </m:sSub>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c,2015</m:t>
              </m:r>
            </m:sub>
          </m:sSub>
          <m:r>
            <w:rPr>
              <w:rFonts w:ascii="Cambria Math" w:eastAsia="Times New Roman" w:hAnsi="Cambria Math" w:cs="Times New Roman"/>
              <w:lang w:eastAsia="en-GB"/>
            </w:rPr>
            <m:t>, …, 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c,2020</m:t>
              </m:r>
            </m:sub>
          </m:sSub>
          <m:r>
            <w:rPr>
              <w:rFonts w:ascii="Cambria Math" w:eastAsia="Times New Roman" w:hAnsi="Cambria Math" w:cs="Times New Roman"/>
              <w:lang w:eastAsia="en-GB"/>
            </w:rPr>
            <m:t>)</m:t>
          </m:r>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We normalize trajectories by log-scaling and z-standardization to emphasize pattern similarity rather than size differences:</w:t>
      </w:r>
    </w:p>
    <w:p w:rsidR="008C12E6" w:rsidRPr="00525305" w:rsidRDefault="00D8212D" w:rsidP="008C12E6">
      <w:pPr>
        <w:spacing w:before="100" w:beforeAutospacing="1" w:after="100" w:afterAutospacing="1" w:line="360" w:lineRule="auto"/>
        <w:jc w:val="both"/>
        <w:rPr>
          <w:rFonts w:ascii="Times New Roman" w:eastAsia="Times New Roman" w:hAnsi="Times New Roman" w:cs="Times New Roman"/>
          <w:lang w:eastAsia="en-GB"/>
        </w:rPr>
      </w:pPr>
      <m:oMathPara>
        <m:oMath>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c,t</m:t>
                  </m:r>
                </m:sub>
              </m:sSub>
            </m:e>
          </m:acc>
          <m:r>
            <w:rPr>
              <w:rFonts w:ascii="Cambria Math" w:eastAsia="Times New Roman" w:hAnsi="Cambria Math" w:cs="Times New Roman"/>
              <w:lang w:eastAsia="en-GB"/>
            </w:rPr>
            <m:t>=</m:t>
          </m:r>
          <m:f>
            <m:fPr>
              <m:ctrlPr>
                <w:rPr>
                  <w:rFonts w:ascii="Cambria Math" w:eastAsia="Times New Roman" w:hAnsi="Cambria Math" w:cs="Times New Roman"/>
                  <w:i/>
                  <w:lang w:eastAsia="en-GB"/>
                </w:rPr>
              </m:ctrlPr>
            </m:fPr>
            <m:num>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ct</m:t>
                          </m:r>
                        </m:sub>
                      </m:sSub>
                      <m:r>
                        <w:rPr>
                          <w:rFonts w:ascii="Cambria Math" w:eastAsia="Times New Roman" w:hAnsi="Cambria Math" w:cs="Times New Roman"/>
                          <w:lang w:eastAsia="en-GB"/>
                        </w:rPr>
                        <m:t>+1</m:t>
                      </m:r>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μ</m:t>
                      </m:r>
                    </m:e>
                    <m:sub>
                      <m:r>
                        <w:rPr>
                          <w:rFonts w:ascii="Cambria Math" w:eastAsia="Times New Roman" w:hAnsi="Cambria Math" w:cs="Times New Roman"/>
                          <w:lang w:eastAsia="en-GB"/>
                        </w:rPr>
                        <m:t>c</m:t>
                      </m:r>
                    </m:sub>
                  </m:sSub>
                </m:e>
              </m:func>
            </m:num>
            <m:den>
              <m:sSub>
                <m:sSubPr>
                  <m:ctrlPr>
                    <w:rPr>
                      <w:rFonts w:ascii="Cambria Math" w:eastAsia="Times New Roman" w:hAnsi="Cambria Math" w:cs="Times New Roman"/>
                      <w:i/>
                      <w:lang w:eastAsia="en-GB"/>
                    </w:rPr>
                  </m:ctrlPr>
                </m:sSubPr>
                <m:e>
                  <m:r>
                    <m:rPr>
                      <m:sty m:val="bi"/>
                    </m:rPr>
                    <w:rPr>
                      <w:rFonts w:ascii="Cambria Math" w:eastAsia="Times New Roman" w:hAnsi="Cambria Math" w:cs="Times New Roman"/>
                      <w:lang w:eastAsia="en-GB"/>
                    </w:rPr>
                    <m:t>σ</m:t>
                  </m:r>
                </m:e>
                <m:sub>
                  <m:r>
                    <w:rPr>
                      <w:rFonts w:ascii="Cambria Math" w:eastAsia="Times New Roman" w:hAnsi="Cambria Math" w:cs="Times New Roman"/>
                      <w:lang w:eastAsia="en-GB"/>
                    </w:rPr>
                    <m:t>c</m:t>
                  </m:r>
                </m:sub>
              </m:sSub>
            </m:den>
          </m:f>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where </w:t>
      </w:r>
      <w:r>
        <w:rPr>
          <w:rFonts w:ascii="Times New Roman" w:eastAsia="Times New Roman" w:hAnsi="Times New Roman" w:cs="Times New Roman"/>
          <w:i/>
          <w:iCs/>
          <w:lang w:eastAsia="en-GB"/>
        </w:rPr>
        <w:t>μ</w:t>
      </w:r>
      <w:r>
        <w:rPr>
          <w:rFonts w:ascii="Times New Roman" w:eastAsia="Times New Roman" w:hAnsi="Times New Roman" w:cs="Times New Roman"/>
          <w:i/>
          <w:iCs/>
          <w:vertAlign w:val="subscript"/>
          <w:lang w:eastAsia="en-GB"/>
        </w:rPr>
        <w:t>c</w:t>
      </w:r>
      <w:r>
        <w:rPr>
          <w:rFonts w:ascii="Times New Roman" w:eastAsia="Times New Roman" w:hAnsi="Times New Roman" w:cs="Times New Roman"/>
          <w:lang w:eastAsia="en-GB"/>
        </w:rPr>
        <w:t xml:space="preserve">, </w:t>
      </w:r>
      <w:r>
        <w:rPr>
          <w:rFonts w:ascii="Times New Roman" w:eastAsia="Times New Roman" w:hAnsi="Times New Roman" w:cs="Times New Roman"/>
          <w:i/>
          <w:iCs/>
          <w:lang w:eastAsia="en-GB"/>
        </w:rPr>
        <w:t>σ</w:t>
      </w:r>
      <w:r>
        <w:rPr>
          <w:rFonts w:ascii="Times New Roman" w:eastAsia="Times New Roman" w:hAnsi="Times New Roman" w:cs="Times New Roman"/>
          <w:i/>
          <w:iCs/>
          <w:vertAlign w:val="subscript"/>
          <w:lang w:eastAsia="en-GB"/>
        </w:rPr>
        <w:t>c</w:t>
      </w:r>
      <w:r>
        <w:rPr>
          <w:rFonts w:ascii="Times New Roman" w:eastAsia="Times New Roman" w:hAnsi="Times New Roman" w:cs="Times New Roman"/>
          <w:lang w:eastAsia="en-GB"/>
        </w:rPr>
        <w:t xml:space="preserve"> are mean and standard deviation in the pre-period. This transformation produces a scale-invariant representation consistent with best practices in time-series similarity modeling (Montero-Manso &amp; Hyndman, 2021). We then compute pairwise Euclidean distances between standardized pre-trend paths:</w:t>
      </w:r>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m:oMathPara>
        <m:oMath>
          <m:r>
            <w:rPr>
              <w:rFonts w:ascii="Cambria Math" w:eastAsia="Times New Roman" w:hAnsi="Cambria Math" w:cs="Times New Roman"/>
              <w:lang w:eastAsia="en-GB"/>
            </w:rPr>
            <m:t>d</m:t>
          </m:r>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i,j</m:t>
              </m:r>
            </m:e>
          </m:d>
          <m:r>
            <w:rPr>
              <w:rFonts w:ascii="Cambria Math" w:eastAsia="Times New Roman" w:hAnsi="Cambria Math" w:cs="Times New Roman"/>
              <w:lang w:eastAsia="en-GB"/>
            </w:rPr>
            <m:t>=</m:t>
          </m:r>
          <m:rad>
            <m:radPr>
              <m:degHide m:val="1"/>
              <m:ctrlPr>
                <w:rPr>
                  <w:rFonts w:ascii="Cambria Math" w:eastAsia="Times New Roman" w:hAnsi="Cambria Math" w:cs="Times New Roman"/>
                  <w:i/>
                  <w:lang w:eastAsia="en-GB"/>
                </w:rPr>
              </m:ctrlPr>
            </m:radPr>
            <m:deg/>
            <m:e>
              <m:nary>
                <m:naryPr>
                  <m:chr m:val="∑"/>
                  <m:limLoc m:val="undOvr"/>
                  <m:supHide m:val="1"/>
                  <m:ctrlPr>
                    <w:rPr>
                      <w:rFonts w:ascii="Cambria Math" w:eastAsia="Times New Roman" w:hAnsi="Cambria Math" w:cs="Times New Roman"/>
                      <w:i/>
                      <w:lang w:eastAsia="en-GB"/>
                    </w:rPr>
                  </m:ctrlPr>
                </m:naryPr>
                <m:sub>
                  <m:r>
                    <w:rPr>
                      <w:rFonts w:ascii="Cambria Math" w:eastAsia="Times New Roman" w:hAnsi="Cambria Math" w:cs="Times New Roman"/>
                      <w:lang w:eastAsia="en-GB"/>
                    </w:rPr>
                    <m:t>t≤2020</m:t>
                  </m:r>
                </m:sub>
                <m:sup/>
                <m:e>
                  <m:sSup>
                    <m:sSupPr>
                      <m:ctrlPr>
                        <w:rPr>
                          <w:rFonts w:ascii="Cambria Math" w:eastAsia="Times New Roman" w:hAnsi="Cambria Math" w:cs="Times New Roman"/>
                          <w:i/>
                          <w:lang w:eastAsia="en-GB"/>
                        </w:rPr>
                      </m:ctrlPr>
                    </m:sSupPr>
                    <m:e>
                      <m:d>
                        <m:dPr>
                          <m:ctrlPr>
                            <w:rPr>
                              <w:rFonts w:ascii="Cambria Math" w:eastAsia="Times New Roman" w:hAnsi="Cambria Math" w:cs="Times New Roman"/>
                              <w:i/>
                              <w:lang w:eastAsia="en-GB"/>
                            </w:rPr>
                          </m:ctrlPr>
                        </m:dPr>
                        <m:e>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it</m:t>
                                  </m:r>
                                </m:sub>
                              </m:sSub>
                            </m:e>
                          </m:acc>
                          <m:r>
                            <w:rPr>
                              <w:rFonts w:ascii="Cambria Math" w:eastAsia="Times New Roman" w:hAnsi="Cambria Math" w:cs="Times New Roman"/>
                              <w:lang w:eastAsia="en-GB"/>
                            </w:rPr>
                            <m:t>-</m:t>
                          </m:r>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jt</m:t>
                                  </m:r>
                                </m:sub>
                              </m:sSub>
                            </m:e>
                          </m:acc>
                        </m:e>
                      </m:d>
                    </m:e>
                    <m:sup>
                      <m:r>
                        <w:rPr>
                          <w:rFonts w:ascii="Cambria Math" w:eastAsia="Times New Roman" w:hAnsi="Cambria Math" w:cs="Times New Roman"/>
                          <w:lang w:eastAsia="en-GB"/>
                        </w:rPr>
                        <m:t>2</m:t>
                      </m:r>
                    </m:sup>
                  </m:sSup>
                </m:e>
              </m:nary>
            </m:e>
          </m:rad>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For each EU origin market </w:t>
      </w:r>
      <m:oMath>
        <m:r>
          <w:rPr>
            <w:rFonts w:ascii="Cambria Math" w:eastAsia="Times New Roman" w:hAnsi="Cambria Math" w:cs="Times New Roman"/>
            <w:lang w:eastAsia="en-GB"/>
          </w:rPr>
          <m:t>i</m:t>
        </m:r>
      </m:oMath>
      <w:r>
        <w:rPr>
          <w:rFonts w:ascii="Times New Roman" w:eastAsia="Times New Roman" w:hAnsi="Times New Roman" w:cs="Times New Roman"/>
          <w:lang w:eastAsia="en-GB"/>
        </w:rPr>
        <w:t>, we select the three non-EU origins with the minimum trajectory distance:</w:t>
      </w:r>
    </w:p>
    <w:p w:rsidR="008C12E6" w:rsidRPr="00525305" w:rsidRDefault="00D8212D" w:rsidP="008C12E6">
      <w:pPr>
        <w:spacing w:before="100" w:beforeAutospacing="1" w:after="100" w:afterAutospacing="1" w:line="360" w:lineRule="auto"/>
        <w:jc w:val="center"/>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m:rPr>
                <m:sty m:val="p"/>
              </m:rPr>
              <w:rPr>
                <w:rFonts w:ascii="Cambria Math" w:eastAsia="Times New Roman" w:hAnsi="Cambria Math" w:cs="Times New Roman"/>
                <w:lang w:eastAsia="en-GB"/>
              </w:rPr>
              <m:t>Γ</m:t>
            </m:r>
            <m:ctrlPr>
              <w:rPr>
                <w:rFonts w:ascii="Cambria Math" w:eastAsia="Times New Roman" w:hAnsi="Cambria Math" w:cs="Times New Roman"/>
                <w:lang w:eastAsia="en-GB"/>
              </w:rPr>
            </m:ctrlP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Cs/>
                <w:lang w:eastAsia="en-GB"/>
              </w:rPr>
            </m:ctrlPr>
          </m:sSubPr>
          <m:e>
            <m:r>
              <m:rPr>
                <m:sty m:val="p"/>
              </m:rPr>
              <w:rPr>
                <w:rFonts w:ascii="Cambria Math" w:eastAsia="Times New Roman" w:hAnsi="Cambria Math" w:cs="Times New Roman"/>
                <w:lang w:eastAsia="en-GB"/>
              </w:rPr>
              <m:t>argmin</m:t>
            </m:r>
          </m:e>
          <m:sub>
            <m:r>
              <w:rPr>
                <w:rFonts w:ascii="Cambria Math" w:eastAsia="Times New Roman" w:hAnsi="Cambria Math" w:cs="Times New Roman"/>
                <w:lang w:eastAsia="en-GB"/>
              </w:rPr>
              <m:t>j∈</m:t>
            </m:r>
            <m:r>
              <m:rPr>
                <m:sty m:val="p"/>
              </m:rPr>
              <w:rPr>
                <w:rFonts w:ascii="Cambria Math" w:eastAsia="Times New Roman" w:hAnsi="Cambria Math" w:cs="Times New Roman"/>
                <w:lang w:eastAsia="en-GB"/>
              </w:rPr>
              <m:t>Γ</m:t>
            </m:r>
          </m:sub>
        </m:sSub>
        <m:r>
          <w:rPr>
            <w:rFonts w:ascii="Cambria Math" w:eastAsia="Times New Roman" w:hAnsi="Cambria Math" w:cs="Times New Roman"/>
            <w:lang w:eastAsia="en-GB"/>
          </w:rPr>
          <m:t>d</m:t>
        </m:r>
        <m:d>
          <m:dPr>
            <m:ctrlPr>
              <w:rPr>
                <w:rFonts w:ascii="Cambria Math" w:eastAsia="Times New Roman" w:hAnsi="Cambria Math" w:cs="Times New Roman"/>
                <w:i/>
                <w:iCs/>
                <w:lang w:eastAsia="en-GB"/>
              </w:rPr>
            </m:ctrlPr>
          </m:dPr>
          <m:e>
            <m:r>
              <w:rPr>
                <w:rFonts w:ascii="Cambria Math" w:eastAsia="Times New Roman" w:hAnsi="Cambria Math" w:cs="Times New Roman"/>
                <w:lang w:eastAsia="en-GB"/>
              </w:rPr>
              <m:t>i,j</m:t>
            </m:r>
          </m:e>
        </m:d>
      </m:oMath>
      <w:r w:rsidR="009A20EB">
        <w:rPr>
          <w:rFonts w:ascii="Times New Roman" w:eastAsia="Times New Roman" w:hAnsi="Times New Roman" w:cs="Times New Roman"/>
          <w:iCs/>
          <w:lang w:eastAsia="en-GB"/>
        </w:rPr>
        <w:t xml:space="preserve"> </w:t>
      </w:r>
      <w:r w:rsidR="009A20EB">
        <w:rPr>
          <w:rFonts w:ascii="Times New Roman" w:eastAsia="Times New Roman" w:hAnsi="Times New Roman" w:cs="Times New Roman"/>
          <w:iCs/>
          <w:lang w:eastAsia="en-GB"/>
        </w:rPr>
        <w:tab/>
      </w:r>
      <m:oMath>
        <m:d>
          <m:dPr>
            <m:begChr m:val="|"/>
            <m:endChr m:val="|"/>
            <m:ctrlPr>
              <w:rPr>
                <w:rFonts w:ascii="Cambria Math" w:eastAsia="Times New Roman" w:hAnsi="Cambria Math" w:cs="Times New Roman"/>
                <w:i/>
                <w:iCs/>
                <w:lang w:eastAsia="en-GB"/>
              </w:rPr>
            </m:ctrlPr>
          </m:dPr>
          <m:e>
            <m:sSub>
              <m:sSubPr>
                <m:ctrlPr>
                  <w:rPr>
                    <w:rFonts w:ascii="Cambria Math" w:eastAsia="Times New Roman" w:hAnsi="Cambria Math" w:cs="Times New Roman"/>
                    <w:i/>
                    <w:iCs/>
                    <w:lang w:eastAsia="en-GB"/>
                  </w:rPr>
                </m:ctrlPr>
              </m:sSubPr>
              <m:e>
                <m:r>
                  <m:rPr>
                    <m:sty m:val="p"/>
                  </m:rP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e>
        </m:d>
        <m:r>
          <w:rPr>
            <w:rFonts w:ascii="Cambria Math" w:eastAsia="Times New Roman" w:hAnsi="Cambria Math" w:cs="Times New Roman"/>
            <w:lang w:eastAsia="en-GB"/>
          </w:rPr>
          <m:t>=3</m:t>
        </m:r>
      </m:oMath>
    </w:p>
    <w:p w:rsidR="008C12E6"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This design follows established matching-based causal inference methodology (Rosenbaum &amp; Rubin, 1985; </w:t>
      </w:r>
      <w:bookmarkStart w:id="0" w:name="_GoBack"/>
      <w:r>
        <w:rPr>
          <w:rFonts w:ascii="Times New Roman" w:eastAsia="Times New Roman" w:hAnsi="Times New Roman" w:cs="Times New Roman"/>
          <w:lang w:eastAsia="en-GB"/>
        </w:rPr>
        <w:t>Stuart</w:t>
      </w:r>
      <w:bookmarkEnd w:id="0"/>
      <w:r>
        <w:rPr>
          <w:rFonts w:ascii="Times New Roman" w:eastAsia="Times New Roman" w:hAnsi="Times New Roman" w:cs="Times New Roman"/>
          <w:lang w:eastAsia="en-GB"/>
        </w:rPr>
        <w:t>, 2010), ensuring that counterfactual comparisons rely on units exhibiting the closest pre-shock behavior rather than arbitrary geographic or economic similarity. The approach satisfies the key DiD requirement of parallel pre-treatment trends for valid causal identification (Abadie &amp; Cattaneo, 2018; Imai &amp; Kim, 2020). We then jointly visualize the full 2014-2024 trajectories of each EU market and its matched donor set. The resulting matched-panel plots show tight pre-2021 alignment and a sharp post-2021 divergence that coincides with the introduction of international fee status for EU applicants — consistent with an exogenous tuition-induced demand shock.</w:t>
      </w:r>
    </w:p>
    <w:tbl>
      <w:tblPr>
        <w:tblW w:w="10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81"/>
        <w:gridCol w:w="40"/>
        <w:gridCol w:w="109"/>
        <w:gridCol w:w="874"/>
        <w:gridCol w:w="14"/>
        <w:gridCol w:w="282"/>
        <w:gridCol w:w="1083"/>
        <w:gridCol w:w="143"/>
        <w:gridCol w:w="155"/>
        <w:gridCol w:w="962"/>
        <w:gridCol w:w="16"/>
        <w:gridCol w:w="1044"/>
        <w:gridCol w:w="362"/>
        <w:gridCol w:w="258"/>
        <w:gridCol w:w="1060"/>
        <w:gridCol w:w="100"/>
        <w:gridCol w:w="1009"/>
        <w:gridCol w:w="232"/>
        <w:gridCol w:w="1207"/>
      </w:tblGrid>
      <w:tr w:rsidR="008C12E6" w:rsidRPr="00575689" w:rsidTr="008C12E6">
        <w:trPr>
          <w:trHeight w:val="408"/>
          <w:jc w:val="center"/>
        </w:trPr>
        <w:tc>
          <w:tcPr>
            <w:tcW w:w="1330" w:type="dxa"/>
            <w:gridSpan w:val="3"/>
            <w:shd w:val="clear" w:color="auto" w:fill="auto"/>
            <w:noWrap/>
            <w:vAlign w:val="center"/>
            <w:hideMark/>
          </w:tcPr>
          <w:p w:rsidR="008C12E6" w:rsidRPr="008C12E6" w:rsidRDefault="008C12E6" w:rsidP="008C12E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Austria</w:t>
            </w:r>
          </w:p>
        </w:tc>
        <w:tc>
          <w:tcPr>
            <w:tcW w:w="1279" w:type="dxa"/>
            <w:gridSpan w:val="4"/>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Belgium</w:t>
            </w:r>
          </w:p>
        </w:tc>
        <w:tc>
          <w:tcPr>
            <w:tcW w:w="1226"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Bulgaria</w:t>
            </w:r>
          </w:p>
        </w:tc>
        <w:tc>
          <w:tcPr>
            <w:tcW w:w="1133" w:type="dxa"/>
            <w:gridSpan w:val="3"/>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Croatia</w:t>
            </w:r>
          </w:p>
        </w:tc>
        <w:tc>
          <w:tcPr>
            <w:tcW w:w="1664" w:type="dxa"/>
            <w:gridSpan w:val="3"/>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Cyprus (European Union)</w:t>
            </w:r>
          </w:p>
        </w:tc>
        <w:tc>
          <w:tcPr>
            <w:tcW w:w="1060" w:type="dxa"/>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Czech Republic</w:t>
            </w:r>
          </w:p>
        </w:tc>
        <w:tc>
          <w:tcPr>
            <w:tcW w:w="1109"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Denmark</w:t>
            </w:r>
          </w:p>
        </w:tc>
        <w:tc>
          <w:tcPr>
            <w:tcW w:w="1439"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Estonia</w:t>
            </w:r>
          </w:p>
        </w:tc>
      </w:tr>
      <w:tr w:rsidR="008C12E6" w:rsidRPr="00575689" w:rsidTr="008C12E6">
        <w:trPr>
          <w:trHeight w:val="288"/>
          <w:jc w:val="center"/>
        </w:trPr>
        <w:tc>
          <w:tcPr>
            <w:tcW w:w="133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Isle of Man</w:t>
            </w:r>
          </w:p>
        </w:tc>
        <w:tc>
          <w:tcPr>
            <w:tcW w:w="127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Switzerland</w:t>
            </w:r>
          </w:p>
        </w:tc>
        <w:tc>
          <w:tcPr>
            <w:tcW w:w="1226"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Norway</w:t>
            </w:r>
          </w:p>
        </w:tc>
        <w:tc>
          <w:tcPr>
            <w:tcW w:w="113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Greenland</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Singapore</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Turkey</w:t>
            </w:r>
          </w:p>
        </w:tc>
        <w:tc>
          <w:tcPr>
            <w:tcW w:w="1109"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Isle of Man</w:t>
            </w:r>
          </w:p>
        </w:tc>
        <w:tc>
          <w:tcPr>
            <w:tcW w:w="143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Vietnam [Viet Nam]</w:t>
            </w:r>
          </w:p>
        </w:tc>
      </w:tr>
      <w:tr w:rsidR="008C12E6" w:rsidRPr="00575689" w:rsidTr="008C12E6">
        <w:trPr>
          <w:trHeight w:val="288"/>
          <w:jc w:val="center"/>
        </w:trPr>
        <w:tc>
          <w:tcPr>
            <w:tcW w:w="133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Jersey</w:t>
            </w:r>
          </w:p>
        </w:tc>
        <w:tc>
          <w:tcPr>
            <w:tcW w:w="127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Russian Federation</w:t>
            </w:r>
          </w:p>
        </w:tc>
        <w:tc>
          <w:tcPr>
            <w:tcW w:w="1226"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13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Cayman Islands</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Kuwait</w:t>
            </w:r>
          </w:p>
        </w:tc>
        <w:tc>
          <w:tcPr>
            <w:tcW w:w="110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Jordan</w:t>
            </w:r>
          </w:p>
        </w:tc>
        <w:tc>
          <w:tcPr>
            <w:tcW w:w="1439"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Isle of Man</w:t>
            </w:r>
          </w:p>
        </w:tc>
      </w:tr>
      <w:tr w:rsidR="008C12E6" w:rsidRPr="00575689" w:rsidTr="008C12E6">
        <w:trPr>
          <w:trHeight w:val="288"/>
          <w:jc w:val="center"/>
        </w:trPr>
        <w:tc>
          <w:tcPr>
            <w:tcW w:w="133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Vietnam [Viet Nam]</w:t>
            </w:r>
          </w:p>
        </w:tc>
        <w:tc>
          <w:tcPr>
            <w:tcW w:w="127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Kenya</w:t>
            </w:r>
          </w:p>
        </w:tc>
        <w:tc>
          <w:tcPr>
            <w:tcW w:w="1226"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Korea, Republic of</w:t>
            </w:r>
          </w:p>
        </w:tc>
        <w:tc>
          <w:tcPr>
            <w:tcW w:w="113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Macao</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States of America</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Thailand</w:t>
            </w:r>
          </w:p>
        </w:tc>
        <w:tc>
          <w:tcPr>
            <w:tcW w:w="110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Bahrain</w:t>
            </w:r>
          </w:p>
        </w:tc>
        <w:tc>
          <w:tcPr>
            <w:tcW w:w="143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Bahrain</w:t>
            </w:r>
          </w:p>
        </w:tc>
      </w:tr>
      <w:tr w:rsidR="008C12E6" w:rsidRPr="00575689" w:rsidTr="008C12E6">
        <w:trPr>
          <w:trHeight w:val="288"/>
          <w:jc w:val="center"/>
        </w:trPr>
        <w:tc>
          <w:tcPr>
            <w:tcW w:w="1290"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Finland</w:t>
            </w:r>
          </w:p>
        </w:tc>
        <w:tc>
          <w:tcPr>
            <w:tcW w:w="1023"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France</w:t>
            </w:r>
          </w:p>
        </w:tc>
        <w:tc>
          <w:tcPr>
            <w:tcW w:w="1677" w:type="dxa"/>
            <w:gridSpan w:val="5"/>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Germany</w:t>
            </w:r>
          </w:p>
        </w:tc>
        <w:tc>
          <w:tcPr>
            <w:tcW w:w="962"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Greece</w:t>
            </w:r>
          </w:p>
        </w:tc>
        <w:tc>
          <w:tcPr>
            <w:tcW w:w="1060"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Hungary</w:t>
            </w:r>
          </w:p>
        </w:tc>
        <w:tc>
          <w:tcPr>
            <w:tcW w:w="1680"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Italy</w:t>
            </w:r>
          </w:p>
        </w:tc>
        <w:tc>
          <w:tcPr>
            <w:tcW w:w="1341"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Latvia</w:t>
            </w:r>
          </w:p>
        </w:tc>
        <w:tc>
          <w:tcPr>
            <w:tcW w:w="1207"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Lithuania</w:t>
            </w:r>
          </w:p>
        </w:tc>
      </w:tr>
      <w:tr w:rsidR="008C12E6" w:rsidRPr="00575689" w:rsidTr="008C12E6">
        <w:trPr>
          <w:trHeight w:val="288"/>
          <w:jc w:val="center"/>
        </w:trPr>
        <w:tc>
          <w:tcPr>
            <w:tcW w:w="129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Russian Federation</w:t>
            </w:r>
          </w:p>
        </w:tc>
        <w:tc>
          <w:tcPr>
            <w:tcW w:w="102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Malaysia</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States of America</w:t>
            </w:r>
          </w:p>
        </w:tc>
        <w:tc>
          <w:tcPr>
            <w:tcW w:w="962"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Pakistan</w:t>
            </w:r>
          </w:p>
        </w:tc>
        <w:tc>
          <w:tcPr>
            <w:tcW w:w="106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Thailand</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Singapore</w:t>
            </w:r>
          </w:p>
        </w:tc>
        <w:tc>
          <w:tcPr>
            <w:tcW w:w="1341"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Vietnam [Viet Nam]</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Norway</w:t>
            </w:r>
          </w:p>
        </w:tc>
      </w:tr>
      <w:tr w:rsidR="008C12E6" w:rsidRPr="00575689" w:rsidTr="008C12E6">
        <w:trPr>
          <w:trHeight w:val="288"/>
          <w:jc w:val="center"/>
        </w:trPr>
        <w:tc>
          <w:tcPr>
            <w:tcW w:w="1290"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Kenya</w:t>
            </w:r>
          </w:p>
        </w:tc>
        <w:tc>
          <w:tcPr>
            <w:tcW w:w="102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Hong Kong</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Malaysia</w:t>
            </w:r>
          </w:p>
        </w:tc>
        <w:tc>
          <w:tcPr>
            <w:tcW w:w="962"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06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Kuwait</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341"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Jersey</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r>
      <w:tr w:rsidR="008C12E6" w:rsidRPr="00575689" w:rsidTr="008C12E6">
        <w:trPr>
          <w:trHeight w:val="288"/>
          <w:jc w:val="center"/>
        </w:trPr>
        <w:tc>
          <w:tcPr>
            <w:tcW w:w="129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Switzerland</w:t>
            </w:r>
          </w:p>
        </w:tc>
        <w:tc>
          <w:tcPr>
            <w:tcW w:w="102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India</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Singapore</w:t>
            </w:r>
          </w:p>
        </w:tc>
        <w:tc>
          <w:tcPr>
            <w:tcW w:w="962"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Nigeria</w:t>
            </w:r>
          </w:p>
        </w:tc>
        <w:tc>
          <w:tcPr>
            <w:tcW w:w="1060"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Turkey</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States of America</w:t>
            </w:r>
          </w:p>
        </w:tc>
        <w:tc>
          <w:tcPr>
            <w:tcW w:w="1341"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Isle of Man</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Korea, Republic of</w:t>
            </w:r>
          </w:p>
        </w:tc>
      </w:tr>
      <w:tr w:rsidR="008C12E6" w:rsidRPr="00575689" w:rsidTr="008C12E6">
        <w:trPr>
          <w:trHeight w:val="288"/>
          <w:jc w:val="center"/>
        </w:trPr>
        <w:tc>
          <w:tcPr>
            <w:tcW w:w="143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Luxembourg</w:t>
            </w:r>
          </w:p>
        </w:tc>
        <w:tc>
          <w:tcPr>
            <w:tcW w:w="888"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Malta</w:t>
            </w:r>
          </w:p>
        </w:tc>
        <w:tc>
          <w:tcPr>
            <w:tcW w:w="1365"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Netherlands</w:t>
            </w:r>
          </w:p>
        </w:tc>
        <w:tc>
          <w:tcPr>
            <w:tcW w:w="1260"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Poland</w:t>
            </w:r>
          </w:p>
        </w:tc>
        <w:tc>
          <w:tcPr>
            <w:tcW w:w="1422"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Portugal</w:t>
            </w:r>
          </w:p>
        </w:tc>
        <w:tc>
          <w:tcPr>
            <w:tcW w:w="1418"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Romania</w:t>
            </w:r>
          </w:p>
        </w:tc>
        <w:tc>
          <w:tcPr>
            <w:tcW w:w="1241"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Slovakia</w:t>
            </w:r>
          </w:p>
        </w:tc>
        <w:tc>
          <w:tcPr>
            <w:tcW w:w="1207"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Slovenia</w:t>
            </w:r>
          </w:p>
        </w:tc>
      </w:tr>
      <w:tr w:rsidR="008C12E6" w:rsidRPr="00575689" w:rsidTr="008C12E6">
        <w:trPr>
          <w:trHeight w:val="288"/>
          <w:jc w:val="center"/>
        </w:trPr>
        <w:tc>
          <w:tcPr>
            <w:tcW w:w="143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Bahrain</w:t>
            </w:r>
          </w:p>
        </w:tc>
        <w:tc>
          <w:tcPr>
            <w:tcW w:w="888"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Israel</w:t>
            </w:r>
          </w:p>
        </w:tc>
        <w:tc>
          <w:tcPr>
            <w:tcW w:w="1365"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Russian Federation</w:t>
            </w:r>
          </w:p>
        </w:tc>
        <w:tc>
          <w:tcPr>
            <w:tcW w:w="126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States of America</w:t>
            </w:r>
          </w:p>
        </w:tc>
        <w:tc>
          <w:tcPr>
            <w:tcW w:w="1422"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Arab Emirates</w:t>
            </w:r>
          </w:p>
        </w:tc>
        <w:tc>
          <w:tcPr>
            <w:tcW w:w="1418"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241"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Kuwait</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Philippines</w:t>
            </w:r>
          </w:p>
        </w:tc>
      </w:tr>
      <w:tr w:rsidR="008C12E6" w:rsidRPr="00575689" w:rsidTr="008C12E6">
        <w:trPr>
          <w:trHeight w:val="288"/>
          <w:jc w:val="center"/>
        </w:trPr>
        <w:tc>
          <w:tcPr>
            <w:tcW w:w="143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Jordan</w:t>
            </w:r>
          </w:p>
        </w:tc>
        <w:tc>
          <w:tcPr>
            <w:tcW w:w="888"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Nepal</w:t>
            </w:r>
          </w:p>
        </w:tc>
        <w:tc>
          <w:tcPr>
            <w:tcW w:w="1365"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Kenya</w:t>
            </w:r>
          </w:p>
        </w:tc>
        <w:tc>
          <w:tcPr>
            <w:tcW w:w="126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Pakistan</w:t>
            </w:r>
          </w:p>
        </w:tc>
        <w:tc>
          <w:tcPr>
            <w:tcW w:w="1422"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Switzerland</w:t>
            </w:r>
          </w:p>
        </w:tc>
        <w:tc>
          <w:tcPr>
            <w:tcW w:w="1418"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United Arab Emirates</w:t>
            </w:r>
          </w:p>
        </w:tc>
        <w:tc>
          <w:tcPr>
            <w:tcW w:w="1241"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Thailand</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New Zealand</w:t>
            </w:r>
          </w:p>
        </w:tc>
      </w:tr>
      <w:tr w:rsidR="008C12E6" w:rsidRPr="00575689" w:rsidTr="008C12E6">
        <w:trPr>
          <w:trHeight w:val="288"/>
          <w:jc w:val="center"/>
        </w:trPr>
        <w:tc>
          <w:tcPr>
            <w:tcW w:w="143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Taiwan</w:t>
            </w:r>
          </w:p>
        </w:tc>
        <w:tc>
          <w:tcPr>
            <w:tcW w:w="888"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Zambia</w:t>
            </w:r>
          </w:p>
        </w:tc>
        <w:tc>
          <w:tcPr>
            <w:tcW w:w="1365"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Switzerland</w:t>
            </w:r>
          </w:p>
        </w:tc>
        <w:tc>
          <w:tcPr>
            <w:tcW w:w="126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India</w:t>
            </w:r>
          </w:p>
        </w:tc>
        <w:tc>
          <w:tcPr>
            <w:tcW w:w="1422"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Korea, Republic of</w:t>
            </w:r>
          </w:p>
        </w:tc>
        <w:tc>
          <w:tcPr>
            <w:tcW w:w="1418"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Norway</w:t>
            </w:r>
          </w:p>
        </w:tc>
        <w:tc>
          <w:tcPr>
            <w:tcW w:w="1241"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Turkey</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Serbia</w:t>
            </w:r>
          </w:p>
        </w:tc>
      </w:tr>
      <w:tr w:rsidR="008C12E6" w:rsidRPr="00575689" w:rsidTr="008C12E6">
        <w:trPr>
          <w:gridAfter w:val="15"/>
          <w:wAfter w:w="7927" w:type="dxa"/>
          <w:trHeight w:val="288"/>
          <w:jc w:val="center"/>
        </w:trPr>
        <w:tc>
          <w:tcPr>
            <w:tcW w:w="1109"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Spain</w:t>
            </w:r>
          </w:p>
        </w:tc>
        <w:tc>
          <w:tcPr>
            <w:tcW w:w="1204" w:type="dxa"/>
            <w:gridSpan w:val="4"/>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Sweden</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Canada</w:t>
            </w:r>
          </w:p>
        </w:tc>
        <w:tc>
          <w:tcPr>
            <w:tcW w:w="1204"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Norway</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Singapore</w:t>
            </w:r>
          </w:p>
        </w:tc>
        <w:tc>
          <w:tcPr>
            <w:tcW w:w="1204"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Korea, Republic of</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Calibri" w:eastAsia="Times New Roman" w:hAnsi="Calibri" w:cs="Calibri"/>
                <w:color w:val="000000"/>
              </w:rPr>
            </w:pPr>
            <w:r>
              <w:rPr>
                <w:rFonts w:ascii="Calibri" w:eastAsia="Times New Roman" w:hAnsi="Calibri" w:cs="Calibri"/>
                <w:color w:val="000000"/>
              </w:rPr>
              <w:t>Pakistan</w:t>
            </w:r>
          </w:p>
        </w:tc>
        <w:tc>
          <w:tcPr>
            <w:tcW w:w="1204" w:type="dxa"/>
            <w:gridSpan w:val="4"/>
            <w:shd w:val="clear" w:color="000000" w:fill="FFFF00"/>
            <w:noWrap/>
            <w:vAlign w:val="bottom"/>
            <w:hideMark/>
          </w:tcPr>
          <w:p w:rsidR="008C12E6" w:rsidRPr="00575689" w:rsidRDefault="008C12E6" w:rsidP="00DF7F76">
            <w:pPr>
              <w:spacing w:after="0" w:line="240" w:lineRule="auto"/>
              <w:rPr>
                <w:rFonts w:ascii="Calibri" w:eastAsia="Times New Roman" w:hAnsi="Calibri" w:cs="Calibri"/>
                <w:color w:val="000000"/>
              </w:rPr>
            </w:pPr>
            <w:r>
              <w:rPr>
                <w:rFonts w:ascii="Calibri" w:eastAsia="Times New Roman" w:hAnsi="Calibri" w:cs="Calibri"/>
                <w:color w:val="000000"/>
              </w:rPr>
              <w:t>Saudi Arabia</w:t>
            </w:r>
          </w:p>
        </w:tc>
      </w:tr>
    </w:tbl>
    <w:p w:rsidR="00F253B2" w:rsidRPr="00645D9F" w:rsidRDefault="00F253B2" w:rsidP="00645D9F">
      <w:pPr>
        <w:pStyle w:val="Heading1"/>
        <w:jc w:val="both"/>
        <w:rPr>
          <w:i/>
          <w:sz w:val="28"/>
          <w:szCs w:val="28"/>
        </w:rPr>
      </w:pPr>
      <w:r>
        <w:rPr>
          <w:i/>
          <w:sz w:val="28"/>
          <w:szCs w:val="28"/>
        </w:rPr>
        <w:t>From the Bresnahan conduct model to the DiD specification</w:t>
      </w:r>
    </w:p>
    <w:p w:rsidR="00F253B2" w:rsidRDefault="00F253B2" w:rsidP="00F253B2">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Clifton-Sprigg et al. (2025) use the ATE in synthetic DID to estimate the average collapse in applications for higher education in the UK and derive a mechanical elasticity from that estimate. However, this approach suffers from a lack of robust theoretical modeling of the elasticity coefficients – primarily, what shapes and assumptions are used to ensure that the elasticity is true. It also ignores the possible heterogeneity in demand elasticity across the affected countries in the EU – a problem we directly address.</w:t>
      </w:r>
    </w:p>
    <w:p w:rsidR="00F253B2" w:rsidRDefault="00F253B2" w:rsidP="00F253B2">
      <w:pPr>
        <w:spacing w:line="360" w:lineRule="auto"/>
        <w:ind w:firstLine="720"/>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To theoretically derive demand elasticities from a DID and DID-adjacent designs consider a segmented demand system indexed by origin country </w:t>
      </w:r>
      <m:oMath>
        <m:r>
          <w:rPr>
            <w:rFonts w:ascii="Cambria Math" w:eastAsia="Times New Roman" w:hAnsi="Cambria Math" w:cs="Times New Roman"/>
            <w:lang w:eastAsia="en-GB"/>
          </w:rPr>
          <m:t>i</m:t>
        </m:r>
      </m:oMath>
      <w:r>
        <w:rPr>
          <w:rFonts w:ascii="Times New Roman" w:eastAsia="Times New Roman" w:hAnsi="Times New Roman" w:cs="Times New Roman"/>
          <w:lang w:eastAsia="en-GB"/>
        </w:rPr>
        <w:t xml:space="preserve"> and year</w:t>
      </w:r>
      <m:oMath>
        <m:r>
          <w:rPr>
            <w:rFonts w:ascii="Cambria Math" w:eastAsia="Times New Roman" w:hAnsi="Cambria Math" w:cs="Times New Roman"/>
            <w:lang w:eastAsia="en-GB"/>
          </w:rPr>
          <m:t xml:space="preserve"> t</m:t>
        </m:r>
      </m:oMath>
      <w:r>
        <w:rPr>
          <w:rFonts w:ascii="Times New Roman" w:eastAsia="Times New Roman" w:hAnsi="Times New Roman" w:cs="Times New Roman"/>
          <w:lang w:eastAsia="en-GB"/>
        </w:rPr>
        <w:t xml:space="preserve">. Let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oMath>
      <w:r>
        <w:rPr>
          <w:rFonts w:ascii="Times New Roman" w:eastAsia="Times New Roman" w:hAnsi="Times New Roman" w:cs="Times New Roman"/>
          <w:lang w:eastAsia="en-GB"/>
        </w:rPr>
        <w:t xml:space="preserve"> ​ denote applications from country </w:t>
      </w:r>
      <m:oMath>
        <m:r>
          <w:rPr>
            <w:rFonts w:ascii="Cambria Math" w:eastAsia="Times New Roman" w:hAnsi="Cambria Math" w:cs="Times New Roman"/>
            <w:lang w:eastAsia="en-GB"/>
          </w:rPr>
          <m:t>i</m:t>
        </m:r>
      </m:oMath>
      <w:r>
        <w:rPr>
          <w:rFonts w:ascii="Times New Roman" w:eastAsia="Times New Roman" w:hAnsi="Times New Roman" w:cs="Times New Roman"/>
          <w:lang w:eastAsia="en-GB"/>
        </w:rPr>
        <w:t xml:space="preserve"> to UK universities, and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vertAlign w:val="subscript"/>
                <w:lang w:eastAsia="en-GB"/>
              </w:rPr>
              <m:t>i,t</m:t>
            </m:r>
          </m:sub>
        </m:sSub>
      </m:oMath>
      <w:r>
        <w:rPr>
          <w:rFonts w:ascii="Times New Roman" w:eastAsia="Times New Roman" w:hAnsi="Times New Roman" w:cs="Times New Roman"/>
          <w:lang w:eastAsia="en-GB"/>
        </w:rPr>
        <w:t xml:space="preserve"> the effective tuition price faced by students from </w:t>
      </w:r>
      <m:oMath>
        <m:r>
          <w:rPr>
            <w:rFonts w:ascii="Cambria Math" w:eastAsia="Times New Roman" w:hAnsi="Cambria Math" w:cs="Times New Roman"/>
            <w:lang w:eastAsia="en-GB"/>
          </w:rPr>
          <m:t>i</m:t>
        </m:r>
      </m:oMath>
      <w:r>
        <w:rPr>
          <w:rFonts w:ascii="Times New Roman" w:eastAsia="Times New Roman" w:hAnsi="Times New Roman" w:cs="Times New Roman"/>
          <w:lang w:eastAsia="en-GB"/>
        </w:rPr>
        <w:t xml:space="preserve">. A standard log–linear </w:t>
      </w:r>
      <w:r>
        <w:rPr>
          <w:rFonts w:ascii="Times New Roman" w:eastAsia="Times New Roman" w:hAnsi="Times New Roman" w:cs="Times New Roman"/>
          <w:lang w:eastAsia="en-GB"/>
        </w:rPr>
        <w:lastRenderedPageBreak/>
        <w:t>demand specification consistent with Bresnahan’s (1982) framework with heterogeneous elasticities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m:rPr>
                        <m:sty m:val="b"/>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i,t</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rsidR="00F253B2" w:rsidRPr="00842C9B" w:rsidRDefault="00F253B2" w:rsidP="00F253B2">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where:</w:t>
      </w:r>
    </w:p>
    <w:p w:rsidR="00F253B2" w:rsidRPr="00842C9B" w:rsidRDefault="00D8212D"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μ</m:t>
            </m:r>
          </m:e>
          <m:sub>
            <m:r>
              <w:rPr>
                <w:rFonts w:ascii="Cambria Math" w:eastAsia="Times New Roman" w:hAnsi="Cambria Math" w:cs="Times New Roman"/>
                <w:lang w:eastAsia="en-GB"/>
              </w:rPr>
              <m:t>i</m:t>
            </m:r>
          </m:sub>
        </m:sSub>
      </m:oMath>
      <w:r w:rsidR="009A20EB">
        <w:rPr>
          <w:rFonts w:ascii="Times New Roman" w:eastAsia="Times New Roman" w:hAnsi="Times New Roman" w:cs="Times New Roman"/>
          <w:lang w:eastAsia="en-GB"/>
        </w:rPr>
        <w:t>​ are country fixed effects (time-invariant demand shifters),</w:t>
      </w:r>
    </w:p>
    <w:p w:rsidR="00F253B2" w:rsidRPr="00842C9B" w:rsidRDefault="00D8212D"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oMath>
      <w:r w:rsidR="009A20EB">
        <w:rPr>
          <w:rFonts w:ascii="Times New Roman" w:eastAsia="Times New Roman" w:hAnsi="Times New Roman" w:cs="Times New Roman"/>
          <w:lang w:eastAsia="en-GB"/>
        </w:rPr>
        <w:t xml:space="preserve"> are year fixed effects (common shocks, e.g. COVID),</w:t>
      </w:r>
    </w:p>
    <w:p w:rsidR="00F253B2" w:rsidRPr="00842C9B" w:rsidRDefault="00D8212D" w:rsidP="00F253B2">
      <w:pPr>
        <w:numPr>
          <w:ilvl w:val="0"/>
          <w:numId w:val="9"/>
        </w:numPr>
        <w:spacing w:after="0" w:line="360" w:lineRule="auto"/>
        <w:jc w:val="both"/>
        <w:rPr>
          <w:rFonts w:ascii="Times New Roman" w:eastAsia="Times New Roman" w:hAnsi="Times New Roman" w:cs="Times New Roman"/>
          <w:lang w:eastAsia="en-GB"/>
        </w:rPr>
      </w:pPr>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X</m:t>
            </m:r>
          </m:e>
          <m:sub>
            <m:r>
              <w:rPr>
                <w:rFonts w:ascii="Cambria Math" w:eastAsia="Times New Roman" w:hAnsi="Cambria Math" w:cs="Times New Roman"/>
                <w:lang w:eastAsia="en-GB"/>
              </w:rPr>
              <m:t>it</m:t>
            </m:r>
          </m:sub>
          <m:sup>
            <m:r>
              <w:rPr>
                <w:rFonts w:ascii="Cambria Math" w:eastAsia="Times New Roman" w:hAnsi="Cambria Math" w:cs="Times New Roman"/>
                <w:lang w:eastAsia="en-GB"/>
              </w:rPr>
              <m:t>'</m:t>
            </m:r>
          </m:sup>
        </m:sSubSup>
        <m:r>
          <w:rPr>
            <w:rFonts w:ascii="Cambria Math" w:eastAsia="Times New Roman" w:hAnsi="Cambria Math" w:cs="Times New Roman"/>
            <w:lang w:eastAsia="en-GB"/>
          </w:rPr>
          <m:t xml:space="preserve"> </m:t>
        </m:r>
      </m:oMath>
      <w:r w:rsidR="009A20EB">
        <w:rPr>
          <w:rFonts w:ascii="Times New Roman" w:eastAsia="Times New Roman" w:hAnsi="Times New Roman" w:cs="Times New Roman"/>
          <w:lang w:eastAsia="en-GB"/>
        </w:rPr>
        <w:t>are additional observables,</w:t>
      </w:r>
    </w:p>
    <w:p w:rsidR="00F253B2" w:rsidRPr="00842C9B" w:rsidRDefault="00D8212D"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&gt;0</m:t>
        </m:r>
      </m:oMath>
      <w:r w:rsidR="009A20EB">
        <w:rPr>
          <w:rFonts w:ascii="Times New Roman" w:eastAsia="Times New Roman" w:hAnsi="Times New Roman" w:cs="Times New Roman"/>
          <w:lang w:eastAsia="en-GB"/>
        </w:rPr>
        <w:t xml:space="preserve"> is the (absolute) demand elasticity for country i,</w:t>
      </w:r>
    </w:p>
    <w:p w:rsidR="00F253B2" w:rsidRDefault="00D8212D"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oMath>
      <w:r w:rsidR="009A20EB">
        <w:rPr>
          <w:rFonts w:ascii="Times New Roman" w:eastAsia="Times New Roman" w:hAnsi="Times New Roman" w:cs="Times New Roman"/>
          <w:lang w:eastAsia="en-GB"/>
        </w:rPr>
        <w:t>is an error term assumed to be normally distributed with a mean zero.</w:t>
      </w:r>
    </w:p>
    <w:p w:rsidR="00F253B2" w:rsidRDefault="00F253B2" w:rsidP="00F253B2">
      <w:pPr>
        <w:spacing w:line="360" w:lineRule="auto"/>
        <w:jc w:val="both"/>
        <w:outlineLvl w:val="1"/>
        <w:rPr>
          <w:rFonts w:ascii="Times New Roman" w:eastAsiaTheme="minorEastAsia" w:hAnsi="Times New Roman" w:cs="Times New Roman"/>
        </w:rPr>
      </w:pPr>
      <w:r>
        <w:rPr>
          <w:rFonts w:ascii="Times New Roman" w:hAnsi="Times New Roman" w:cs="Times New Roman"/>
        </w:rPr>
        <w:t xml:space="preserve">In this specification, the (absolute) price elasticity of demand is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i,t</m:t>
                    </m:r>
                  </m:sub>
                </m:sSub>
              </m:e>
            </m:func>
          </m:num>
          <m:den>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den>
        </m:f>
      </m:oMath>
      <w:r>
        <w:rPr>
          <w:rFonts w:ascii="Times New Roman" w:eastAsiaTheme="minorEastAsia" w:hAnsi="Times New Roman" w:cs="Times New Roman"/>
        </w:rPr>
        <w:t xml:space="preserve"> and represents the local derivative of an isoelastic demand curve. We also don’t add zero to the logarithm because none of the countries we analyze ever had zero applications. The direct log of demand is also more strongly connected to the isoelastic nature of the curve we estimate. </w:t>
      </w:r>
    </w:p>
    <w:p w:rsidR="00F253B2" w:rsidRPr="006F702D" w:rsidRDefault="00F253B2" w:rsidP="00F253B2">
      <w:pPr>
        <w:spacing w:line="360" w:lineRule="auto"/>
        <w:ind w:firstLine="720"/>
        <w:jc w:val="both"/>
        <w:outlineLvl w:val="1"/>
        <w:rPr>
          <w:rFonts w:ascii="Times New Roman" w:eastAsiaTheme="minorEastAsia" w:hAnsi="Times New Roman" w:cs="Times New Roman"/>
        </w:rPr>
      </w:pPr>
      <w:r>
        <w:rPr>
          <w:rFonts w:ascii="Times New Roman" w:hAnsi="Times New Roman" w:cs="Times New Roman"/>
        </w:rPr>
        <w:t xml:space="preserve">Brexit introduces </w:t>
      </w:r>
      <w:r>
        <w:rPr>
          <w:rFonts w:ascii="Times New Roman" w:hAnsi="Times New Roman" w:cs="Times New Roman"/>
          <w:bCs/>
        </w:rPr>
        <w:t>a</w:t>
      </w:r>
      <w:r>
        <w:rPr>
          <w:rFonts w:ascii="Times New Roman" w:hAnsi="Times New Roman" w:cs="Times New Roman"/>
          <w:b/>
          <w:bCs/>
        </w:rPr>
        <w:t xml:space="preserve"> </w:t>
      </w:r>
      <w:r>
        <w:rPr>
          <w:rStyle w:val="Strong"/>
          <w:rFonts w:ascii="Times New Roman" w:hAnsi="Times New Roman" w:cs="Times New Roman"/>
          <w:b w:val="0"/>
          <w:bCs w:val="0"/>
        </w:rPr>
        <w:t>discrete and exogenous tuition shock</w:t>
      </w:r>
      <w:r>
        <w:rPr>
          <w:rFonts w:ascii="Times New Roman" w:hAnsi="Times New Roman" w:cs="Times New Roman"/>
        </w:rPr>
        <w:t xml:space="preserve"> for EU origin markets. Let </w:t>
      </w:r>
      <m:oMath>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Pr>
          <w:rStyle w:val="katex-mathml"/>
          <w:rFonts w:ascii="Times New Roman" w:hAnsi="Times New Roman" w:cs="Times New Roman"/>
          <w:i/>
          <w:iCs/>
        </w:rPr>
        <w:t xml:space="preserve"> </w:t>
      </w:r>
      <w:r>
        <w:rPr>
          <w:rFonts w:ascii="Times New Roman" w:hAnsi="Times New Roman" w:cs="Times New Roman"/>
        </w:rPr>
        <w:t xml:space="preserve">be an indicator equal to 1 in years after the new fee regime is introduced (post-2020) and 0 otherwise, and let </w:t>
      </w:r>
      <m:oMath>
        <m:r>
          <m:rPr>
            <m:sty m:val="bi"/>
          </m:rPr>
          <w:rPr>
            <w:rFonts w:ascii="Cambria Math" w:eastAsia="Times New Roman" w:hAnsi="Cambria Math" w:cs="Times New Roman"/>
            <w:lang w:eastAsia="en-GB"/>
          </w:rPr>
          <m:t>1</m:t>
        </m:r>
        <m:r>
          <w:rPr>
            <w:rFonts w:ascii="Cambria Math" w:eastAsia="Times New Roman" w:hAnsi="Cambria Math" w:cs="Times New Roman"/>
            <w:lang w:eastAsia="en-GB"/>
          </w:rPr>
          <m:t>{Country i in EU}</m:t>
        </m:r>
      </m:oMath>
      <w:r>
        <w:rPr>
          <w:rStyle w:val="katex-mathml"/>
          <w:rFonts w:ascii="Times New Roman" w:hAnsi="Times New Roman" w:cs="Times New Roman"/>
        </w:rPr>
        <w:t xml:space="preserve"> </w:t>
      </w:r>
      <w:r>
        <w:rPr>
          <w:rFonts w:ascii="Times New Roman" w:hAnsi="Times New Roman" w:cs="Times New Roman"/>
        </w:rPr>
        <w:t>indicate EU origin countries (except Ireland). The Brexit shock enters the price equation as the system of simultaneous equations that define the individual country reaction to the exogeneous shock in tuitions: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ϕ</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Country i in EU</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i,t</m:t>
                    </m:r>
                  </m:sub>
                </m:sSub>
              </m:oMath>
            </m:oMathPara>
          </w:p>
        </w:tc>
        <w:tc>
          <w:tcPr>
            <w:tcW w:w="516" w:type="dxa"/>
            <w:vAlign w:val="center"/>
          </w:tcPr>
          <w:p w:rsidR="00F253B2" w:rsidRPr="00842C9B" w:rsidRDefault="00F253B2" w:rsidP="00F253B2">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rsidR="00F253B2" w:rsidRPr="007E5A8E" w:rsidRDefault="00F253B2" w:rsidP="00F253B2">
      <w:pPr>
        <w:pStyle w:val="ListParagraph"/>
        <w:numPr>
          <w:ilvl w:val="0"/>
          <w:numId w:val="13"/>
        </w:numPr>
        <w:spacing w:line="360" w:lineRule="auto"/>
        <w:jc w:val="both"/>
        <w:outlineLvl w:val="1"/>
        <w:rPr>
          <w:rFonts w:ascii="Times New Roman" w:eastAsiaTheme="minorEastAsia" w:hAnsi="Times New Roman" w:cs="Times New Roman"/>
        </w:rPr>
      </w:pPr>
      <m:oMath>
        <m:r>
          <w:rPr>
            <w:rFonts w:ascii="Cambria Math" w:hAnsi="Cambria Math" w:cs="Times New Roman"/>
          </w:rPr>
          <m:t xml:space="preserve">ϕ </m:t>
        </m:r>
      </m:oMath>
      <w:r>
        <w:rPr>
          <w:rFonts w:ascii="Times New Roman" w:hAnsi="Times New Roman" w:cs="Times New Roman"/>
        </w:rPr>
        <w:t xml:space="preserve">are country specific intercepts identifying the price level </w:t>
      </w:r>
      <w:r>
        <w:rPr>
          <w:rFonts w:ascii="Times New Roman" w:hAnsi="Times New Roman" w:cs="Times New Roman"/>
          <w:lang w:val="bg-BG"/>
        </w:rPr>
        <w:t>maintained</w:t>
      </w:r>
      <w:r>
        <w:rPr>
          <w:rFonts w:ascii="Times New Roman" w:hAnsi="Times New Roman" w:cs="Times New Roman"/>
        </w:rPr>
        <w:t xml:space="preserve"> pre-Brexit,</w:t>
      </w:r>
    </w:p>
    <w:p w:rsidR="00F253B2" w:rsidRPr="00842C9B" w:rsidRDefault="00D8212D" w:rsidP="00F253B2">
      <w:pPr>
        <w:pStyle w:val="NormalWeb"/>
        <w:numPr>
          <w:ilvl w:val="0"/>
          <w:numId w:val="13"/>
        </w:numPr>
        <w:spacing w:before="0" w:beforeAutospacing="0" w:after="0" w:afterAutospacing="0" w:line="360" w:lineRule="auto"/>
        <w:jc w:val="both"/>
      </w:pP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i</m:t>
            </m:r>
          </m:sub>
        </m:sSub>
        <m:r>
          <w:rPr>
            <w:rStyle w:val="katex-mathml"/>
            <w:rFonts w:ascii="Cambria Math" w:hAnsi="Cambria Math"/>
          </w:rPr>
          <m:t xml:space="preserve"> </m:t>
        </m:r>
      </m:oMath>
      <w:r w:rsidR="009A20EB">
        <w:t xml:space="preserve"> is the </w:t>
      </w:r>
      <w:r w:rsidR="009A20EB">
        <w:rPr>
          <w:rStyle w:val="Emphasis"/>
        </w:rPr>
        <w:t>log</w:t>
      </w:r>
      <w:r w:rsidR="009A20EB">
        <w:t xml:space="preserve"> price change induced by Brexit for origin </w:t>
      </w:r>
      <m:oMath>
        <m:r>
          <w:rPr>
            <w:rFonts w:ascii="Cambria Math" w:hAnsi="Cambria Math"/>
          </w:rPr>
          <m:t>i</m:t>
        </m:r>
      </m:oMath>
      <w:r w:rsidR="009A20EB">
        <w:t xml:space="preserve"> (we assume fixed and later relax to show an alternative source of heterogeneity in elasticities).</w:t>
      </w:r>
    </w:p>
    <w:p w:rsidR="00F253B2" w:rsidRPr="00842C9B" w:rsidRDefault="00D8212D" w:rsidP="00F253B2">
      <w:pPr>
        <w:pStyle w:val="NormalWeb"/>
        <w:numPr>
          <w:ilvl w:val="0"/>
          <w:numId w:val="13"/>
        </w:numPr>
        <w:spacing w:before="0" w:beforeAutospacing="0" w:after="0" w:afterAutospacing="0" w:line="360" w:lineRule="auto"/>
        <w:jc w:val="both"/>
      </w:pPr>
      <m:oMath>
        <m:sSub>
          <m:sSubPr>
            <m:ctrlPr>
              <w:rPr>
                <w:rStyle w:val="katex-mathml"/>
                <w:rFonts w:ascii="Cambria Math" w:hAnsi="Cambria Math"/>
                <w:i/>
              </w:rPr>
            </m:ctrlPr>
          </m:sSubPr>
          <m:e>
            <m:r>
              <w:rPr>
                <w:rStyle w:val="katex-mathml"/>
                <w:rFonts w:ascii="Cambria Math" w:hAnsi="Cambria Math"/>
              </w:rPr>
              <m:t>ν</m:t>
            </m:r>
          </m:e>
          <m:sub>
            <m:r>
              <w:rPr>
                <w:rStyle w:val="katex-mathml"/>
                <w:rFonts w:ascii="Cambria Math" w:hAnsi="Cambria Math"/>
              </w:rPr>
              <m:t>i,t</m:t>
            </m:r>
          </m:sub>
        </m:sSub>
        <m:r>
          <w:rPr>
            <w:rStyle w:val="katex-mathml"/>
            <w:rFonts w:ascii="Cambria Math" w:hAnsi="Cambria Math"/>
          </w:rPr>
          <m:t xml:space="preserve"> </m:t>
        </m:r>
      </m:oMath>
      <w:r w:rsidR="009A20EB">
        <w:t xml:space="preserve">is a pricing error term assumed to be normally distributed with a mean zero. </w:t>
      </w:r>
    </w:p>
    <w:p w:rsidR="00F253B2" w:rsidRPr="00842C9B" w:rsidRDefault="00F253B2" w:rsidP="00F253B2">
      <w:pPr>
        <w:pStyle w:val="NormalWeb"/>
        <w:spacing w:before="0" w:beforeAutospacing="0" w:after="0" w:afterAutospacing="0" w:line="360" w:lineRule="auto"/>
        <w:jc w:val="both"/>
      </w:pPr>
      <w:r>
        <w:t xml:space="preserve">Combining equations (1) and (2) yields the following specification: </w:t>
      </w:r>
    </w:p>
    <w:p w:rsidR="00F253B2" w:rsidRPr="00BC5CB0" w:rsidRDefault="00D8212D" w:rsidP="00F253B2">
      <w:pPr>
        <w:pStyle w:val="NormalWeb"/>
        <w:spacing w:before="240" w:beforeAutospacing="0" w:after="240" w:afterAutospacing="0" w:line="360" w:lineRule="auto"/>
        <w:jc w:val="both"/>
        <w:rPr>
          <w:i/>
        </w:rPr>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i,t</m:t>
                        </m:r>
                      </m:sub>
                    </m:sSub>
                  </m:e>
                </m:func>
              </m:e>
              <m:e>
                <m:r>
                  <w:rPr>
                    <w:rFonts w:ascii="Cambria Math" w:hAnsi="Cambria Math"/>
                  </w:rPr>
                  <m:t>=</m:t>
                </m:r>
              </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it</m:t>
                        </m:r>
                      </m:sub>
                    </m:sSub>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e>
            </m:mr>
            <m:mr>
              <m:e>
                <m:r>
                  <w:rPr>
                    <w:rFonts w:ascii="Cambria Math" w:hAnsi="Cambria Math"/>
                  </w:rPr>
                  <m:t xml:space="preserve"> </m:t>
                </m:r>
              </m:e>
              <m:e>
                <m:r>
                  <w:rPr>
                    <w:rFonts w:ascii="Cambria Math" w:hAnsi="Cambria Math"/>
                  </w:rPr>
                  <m:t>=</m:t>
                </m:r>
              </m:e>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ϕ</m:t>
                            </m:r>
                          </m:e>
                          <m:sub>
                            <m:r>
                              <w:rPr>
                                <w:rFonts w:ascii="Cambria Math" w:hAnsi="Cambria Math"/>
                              </w:rPr>
                              <m:t>i</m:t>
                            </m:r>
                          </m:sub>
                        </m:sSub>
                      </m:e>
                    </m:groupChr>
                  </m:e>
                  <m:lim>
                    <m:sSub>
                      <m:sSubPr>
                        <m:ctrlPr>
                          <w:rPr>
                            <w:rFonts w:ascii="Cambria Math" w:hAnsi="Cambria Math"/>
                            <w:i/>
                          </w:rPr>
                        </m:ctrlPr>
                      </m:sSubPr>
                      <m:e>
                        <m:r>
                          <w:rPr>
                            <w:rFonts w:ascii="Cambria Math" w:hAnsi="Cambria Math"/>
                          </w:rPr>
                          <m:t>α</m:t>
                        </m:r>
                      </m:e>
                      <m:sub>
                        <m:r>
                          <w:rPr>
                            <w:rFonts w:ascii="Cambria Math" w:hAnsi="Cambria Math"/>
                          </w:rPr>
                          <m:t>i</m:t>
                        </m:r>
                      </m:sub>
                    </m:sSub>
                  </m:lim>
                </m:limLow>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i,t</m:t>
                            </m:r>
                          </m:sub>
                        </m:sSub>
                      </m:e>
                    </m:groupChr>
                  </m:e>
                  <m:lim>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lim>
                </m:limLow>
                <m:r>
                  <w:rPr>
                    <w:rFonts w:ascii="Cambria Math" w:hAnsi="Cambria Math"/>
                  </w:rPr>
                  <m:t xml:space="preserve">      </m:t>
                </m:r>
              </m:e>
            </m:mr>
          </m:m>
        </m:oMath>
      </m:oMathPara>
    </w:p>
    <w:p w:rsidR="00F253B2" w:rsidRPr="007E5A8E" w:rsidRDefault="00F253B2" w:rsidP="00F253B2">
      <w:pPr>
        <w:pStyle w:val="NormalWeb"/>
        <w:spacing w:before="0" w:beforeAutospacing="0" w:after="0" w:afterAutospacing="0" w:line="360" w:lineRule="auto"/>
        <w:jc w:val="both"/>
      </w:pPr>
      <w:r>
        <w:lastRenderedPageBreak/>
        <w:t xml:space="preserve">where the fixed effects are redefined as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and subsume the individual price intercept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t xml:space="preserve"> as well as the demand specific effect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oMath>
      <w:r>
        <w:t xml:space="preserve"> is inherently heteroscedastic, hence we estimate the models using </w:t>
      </w:r>
      <w:r w:rsidR="009F218E">
        <w:t>Driscoll</w:t>
      </w:r>
      <w:r w:rsidR="009F218E">
        <w:t xml:space="preserve"> and </w:t>
      </w:r>
      <w:proofErr w:type="spellStart"/>
      <w:r w:rsidR="009F218E">
        <w:t>Kraay</w:t>
      </w:r>
      <w:proofErr w:type="spellEnd"/>
      <w:r w:rsidR="009F218E">
        <w:t xml:space="preserve"> (1998)</w:t>
      </w:r>
      <w:r w:rsidR="009F218E">
        <w:t xml:space="preserve"> </w:t>
      </w:r>
      <w:r>
        <w:t xml:space="preserve">standard errors to account for cross-sectional dependence and serial correlation. Both of which are time invariant and will be wiped out with the demeaning procedure in standard TWFE specification. Finally, the derivations imply a reduced form specification: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rsidR="00F253B2" w:rsidRPr="00DF7F76" w:rsidRDefault="00F253B2" w:rsidP="00DF7F76">
      <w:pPr>
        <w:pStyle w:val="NormalWeb"/>
        <w:spacing w:before="0" w:beforeAutospacing="0" w:after="0" w:afterAutospacing="0" w:line="360" w:lineRule="auto"/>
        <w:jc w:val="both"/>
        <w:rPr>
          <w:iCs/>
        </w:rPr>
      </w:pPr>
      <w:r>
        <w:rPr>
          <w:iCs/>
        </w:rPr>
        <w:t xml:space="preserve">with </w:t>
      </w:r>
      <m:oMath>
        <m:sSub>
          <m:sSubPr>
            <m:ctrlPr>
              <w:rPr>
                <w:rFonts w:ascii="Cambria Math" w:hAnsi="Cambria Math"/>
                <w:i/>
                <w:iCs/>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η</m:t>
            </m:r>
            <m:ctrlPr>
              <w:rPr>
                <w:rFonts w:ascii="Cambria Math" w:hAnsi="Cambria Math"/>
                <w:i/>
                <w:iCs/>
              </w:rPr>
            </m:ctrlP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Thus, the country specific DID coefficient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t xml:space="preserve"> is the product of the demand elasticity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and the log price shock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(i.e.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β</m:t>
                </m:r>
              </m:e>
              <m:sub>
                <m:r>
                  <w:rPr>
                    <w:rFonts w:ascii="Cambria Math" w:hAnsi="Cambria Math"/>
                  </w:rPr>
                  <m:t>i</m:t>
                </m:r>
              </m:sub>
            </m:sSub>
          </m:num>
          <m:den>
            <m:sSub>
              <m:sSubPr>
                <m:ctrlPr>
                  <w:rPr>
                    <w:rFonts w:ascii="Cambria Math" w:hAnsi="Cambria Math"/>
                    <w:i/>
                    <w:iCs/>
                  </w:rPr>
                </m:ctrlPr>
              </m:sSubPr>
              <m:e>
                <m:r>
                  <w:rPr>
                    <w:rFonts w:ascii="Cambria Math" w:hAnsi="Cambria Math"/>
                  </w:rPr>
                  <m:t>k</m:t>
                </m:r>
              </m:e>
              <m:sub>
                <m:r>
                  <w:rPr>
                    <w:rFonts w:ascii="Cambria Math" w:hAnsi="Cambria Math"/>
                  </w:rPr>
                  <m:t>i</m:t>
                </m:r>
              </m:sub>
            </m:sSub>
          </m:den>
        </m:f>
      </m:oMath>
      <w:r>
        <w:rPr>
          <w:iCs/>
        </w:rPr>
        <w:t xml:space="preserve">). </w:t>
      </w:r>
      <w:r>
        <w:t>When we collapse to a single treatment indicator for all EU countries (</w:t>
      </w:r>
      <m:oMath>
        <m:r>
          <w:rPr>
            <w:rFonts w:ascii="Cambria Math" w:hAnsi="Cambria Math"/>
          </w:rPr>
          <m:t>EU=1</m:t>
        </m:r>
      </m:oMath>
      <w:r>
        <w:t xml:space="preserve"> for a country in the EU), the two-way fixed-effects (TWFE) DiD regression identifies the </w:t>
      </w:r>
      <w:r>
        <w:rPr>
          <w:rStyle w:val="Strong"/>
          <w:b w:val="0"/>
        </w:rPr>
        <w:t>average treatment effect on the treated</w:t>
      </w:r>
      <w:r>
        <w:t xml:space="preserve"> in log units</w:t>
      </w:r>
      <w:r>
        <w:rPr>
          <w:lang w:val="bg-BG"/>
        </w:rPr>
        <w:t>.</w:t>
      </w:r>
      <w:r>
        <w:t xml:space="preserve"> Although we show robustness under alternative estimators the most credible way to retain the saturated form of the DID regression is by using the TWFE estimator.  After some simple algebraic manipulations of equation (2) and by taking </w:t>
      </w:r>
      <m:oMath>
        <m:r>
          <w:rPr>
            <w:rFonts w:ascii="Cambria Math" w:hAnsi="Cambria Math"/>
          </w:rPr>
          <m:t>EU=1∧Δ</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is given by:</w:t>
      </w:r>
    </w:p>
    <w:p w:rsidR="00F253B2" w:rsidRPr="00936663" w:rsidRDefault="00F253B2" w:rsidP="00F253B2">
      <w:pPr>
        <w:pStyle w:val="NormalWeb"/>
        <w:spacing w:before="240" w:beforeAutospacing="0" w:after="240" w:afterAutospacing="0" w:line="360" w:lineRule="auto"/>
        <w:jc w:val="both"/>
      </w:pPr>
      <m:oMathPara>
        <m:oMathParaPr>
          <m:jc m:val="left"/>
        </m:oMathParaP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P</m:t>
                  </m:r>
                </m:e>
                <m:sub>
                  <m:r>
                    <w:rPr>
                      <w:rFonts w:ascii="Cambria Math" w:hAnsi="Cambria Math"/>
                    </w:rPr>
                    <m:t>i</m:t>
                  </m:r>
                </m:sub>
                <m:sup>
                  <m:r>
                    <m:rPr>
                      <m:sty m:val="p"/>
                    </m:rPr>
                    <w:rPr>
                      <w:rFonts w:ascii="Cambria Math" w:hAnsi="Cambria Math"/>
                    </w:rPr>
                    <m:t>Brexit</m:t>
                  </m:r>
                </m:sup>
              </m:sSubSup>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m:oMathPara>
    </w:p>
    <w:p w:rsidR="00F253B2" w:rsidRPr="00842C9B" w:rsidRDefault="00F253B2" w:rsidP="00F253B2">
      <w:pPr>
        <w:pStyle w:val="NormalWeb"/>
        <w:spacing w:before="0" w:beforeAutospacing="0" w:after="0" w:afterAutospacing="0" w:line="360" w:lineRule="auto"/>
        <w:jc w:val="both"/>
      </w:pPr>
      <w:r>
        <w:t xml:space="preserve">thus, if the post-Brexit tuition jumped from 9250 pounds to 22200 (implying that </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for </w:t>
      </w:r>
      <m:oMath>
        <m:r>
          <w:rPr>
            <w:rFonts w:ascii="Cambria Math" w:hAnsi="Cambria Math"/>
          </w:rPr>
          <m:t>j≠i</m:t>
        </m:r>
      </m:oMath>
      <w:r>
        <w:t>) it follows:</w:t>
      </w:r>
    </w:p>
    <w:p w:rsidR="00F253B2" w:rsidRPr="00925E70" w:rsidRDefault="00D8212D" w:rsidP="00F253B2">
      <w:pPr>
        <w:pStyle w:val="NormalWeb"/>
        <w:spacing w:before="240" w:beforeAutospacing="0" w:after="240" w:afterAutospacing="0" w:line="360" w:lineRule="auto"/>
        <w:jc w:val="both"/>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22200</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9250</m:t>
              </m:r>
            </m:e>
          </m:func>
          <m:r>
            <w:rPr>
              <w:rFonts w:ascii="Cambria Math" w:hAnsi="Cambria Math"/>
            </w:rPr>
            <m:t>≈0.86</m:t>
          </m:r>
        </m:oMath>
      </m:oMathPara>
    </w:p>
    <w:p w:rsidR="00F253B2" w:rsidRDefault="00F253B2" w:rsidP="00F253B2">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allow heterogenous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Interest accrues at the Retail Price Index (RPI) plus up to three percentage points, depending on income (UK Government, n.d.-c). Rather than replicate the full income-dependent interest schedule, we model the economic burden of the loan as the </w:t>
      </w:r>
      <w:r>
        <w:rPr>
          <w:rFonts w:ascii="Times New Roman" w:eastAsia="Times New Roman" w:hAnsi="Times New Roman" w:cs="Times New Roman"/>
        </w:rPr>
        <w:lastRenderedPageBreak/>
        <w:t>present value of expected repayments and discount repayment flows at a constant rate δ. The present value of the loan is therefore defined as:</w:t>
      </w:r>
    </w:p>
    <w:p w:rsidR="00F253B2" w:rsidRPr="00843F97" w:rsidRDefault="00F253B2" w:rsidP="00F253B2">
      <w:pPr>
        <w:spacing w:before="100" w:beforeAutospacing="1" w:after="100" w:afterAutospacing="1" w:line="360" w:lineRule="auto"/>
        <w:jc w:val="both"/>
        <w:rPr>
          <w:rFonts w:ascii="Times New Roman" w:eastAsia="Times New Roman" w:hAnsi="Times New Roman" w:cs="Times New Roman"/>
        </w:rPr>
      </w:pPr>
      <m:oMathPara>
        <m:oMathParaPr>
          <m:jc m:val="left"/>
        </m:oMathParaPr>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e>
          </m:d>
          <m:r>
            <w:rPr>
              <w:rFonts w:ascii="Cambria Math" w:eastAsia="Times New Roman" w:hAnsi="Cambria Math" w:cs="Times New Roman"/>
            </w:rPr>
            <m:t>=</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func>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oMath>
      </m:oMathPara>
    </w:p>
    <w:p w:rsidR="00F253B2" w:rsidRDefault="00F253B2" w:rsidP="00F253B2">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In the baseline specification, we set δ=3%. We estimate the present value based on the average country specific wage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22200</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P</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loan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e>
                </m:func>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rsidR="00F253B2" w:rsidRDefault="00F253B2" w:rsidP="00645D9F">
      <w:pPr>
        <w:spacing w:before="100" w:beforeAutospacing="1" w:after="100" w:afterAutospacing="1" w:line="360" w:lineRule="auto"/>
        <w:jc w:val="both"/>
      </w:pPr>
      <w:r>
        <w:rPr>
          <w:rFonts w:ascii="Times New Roman" w:eastAsia="Times New Roman" w:hAnsi="Times New Roman" w:cs="Times New Roman"/>
        </w:rPr>
        <w:t xml:space="preserve">The income gradient in the country specific elasticities will collapse only if </w:t>
      </w:r>
      <m:oMath>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i</m:t>
            </m:r>
          </m:sub>
        </m:sSub>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k</m:t>
            </m:r>
            <m:ctrlPr>
              <w:rPr>
                <w:rFonts w:ascii="Cambria Math" w:eastAsia="Times New Roman" w:hAnsi="Cambria Math" w:cs="Cambria Math"/>
                <w:i/>
              </w:rPr>
            </m:ctrlPr>
          </m:e>
          <m:sub>
            <m:r>
              <w:rPr>
                <w:rFonts w:ascii="Cambria Math" w:eastAsia="Times New Roman" w:hAnsi="Cambria Math" w:cs="Times New Roman"/>
              </w:rPr>
              <m:t>i</m:t>
            </m:r>
          </m:sub>
        </m:sSub>
      </m:oMath>
      <w:r>
        <w:rPr>
          <w:rFonts w:ascii="Times New Roman" w:eastAsia="Times New Roman" w:hAnsi="Times New Roman" w:cs="Times New Roman"/>
        </w:rPr>
        <w:t xml:space="preserve"> (near zero correlation with GDP per capita) implying that all cross-country variation in β comes from loan valuation mechanics, implicating that no independent preference heterogeneity exists for the given elasticities and the collapses were predominantly </w:t>
      </w:r>
    </w:p>
    <w:p w:rsidR="009F7DC7" w:rsidRPr="00645D9F" w:rsidRDefault="009F7DC7" w:rsidP="00645D9F">
      <w:pPr>
        <w:pStyle w:val="Heading1"/>
        <w:jc w:val="both"/>
        <w:rPr>
          <w:i/>
          <w:sz w:val="28"/>
          <w:szCs w:val="28"/>
        </w:rPr>
      </w:pPr>
      <w:r>
        <w:rPr>
          <w:i/>
          <w:sz w:val="28"/>
          <w:szCs w:val="28"/>
        </w:rPr>
        <w:t xml:space="preserve">Derivation of the </w:t>
      </w:r>
      <m:oMath>
        <m:sSub>
          <m:sSubPr>
            <m:ctrlPr>
              <w:rPr>
                <w:rFonts w:ascii="Cambria Math" w:hAnsi="Cambria Math"/>
                <w:i/>
                <w:sz w:val="28"/>
                <w:szCs w:val="28"/>
              </w:rPr>
            </m:ctrlPr>
          </m:sSubPr>
          <m:e>
            <m:r>
              <m:rPr>
                <m:sty m:val="bi"/>
              </m:rPr>
              <w:rPr>
                <w:rFonts w:ascii="Cambria Math" w:hAnsi="Cambria Math"/>
                <w:sz w:val="28"/>
                <w:szCs w:val="28"/>
              </w:rPr>
              <m:t>ω</m:t>
            </m:r>
          </m:e>
          <m:sub>
            <m:r>
              <m:rPr>
                <m:sty m:val="bi"/>
              </m:rPr>
              <w:rPr>
                <w:rFonts w:ascii="Cambria Math" w:hAnsi="Cambria Math"/>
                <w:sz w:val="28"/>
                <w:szCs w:val="28"/>
              </w:rPr>
              <m:t>k</m:t>
            </m:r>
          </m:sub>
        </m:sSub>
      </m:oMath>
      <w:r>
        <w:rPr>
          <w:i/>
          <w:sz w:val="28"/>
          <w:szCs w:val="28"/>
        </w:rPr>
        <w:t xml:space="preserve"> COVID country-specific effect</w:t>
      </w:r>
    </w:p>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Start from the main specification following eq. (1) and eq.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9"/>
      </w:tblGrid>
      <w:tr w:rsidR="009F7DC7" w:rsidTr="00DF7F76">
        <w:tc>
          <w:tcPr>
            <w:tcW w:w="8647" w:type="dxa"/>
          </w:tcPr>
          <w:p w:rsidR="009F7DC7"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i,t</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p>
        </w:tc>
      </w:tr>
      <w:tr w:rsidR="009F7DC7" w:rsidTr="00DF7F76">
        <w:tc>
          <w:tcPr>
            <w:tcW w:w="8647" w:type="dxa"/>
          </w:tcPr>
          <w:p w:rsidR="009F7DC7"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⋅Pos</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p>
        </w:tc>
      </w:tr>
    </w:tbl>
    <w:p w:rsidR="009F7DC7" w:rsidRDefault="009F7DC7" w:rsidP="009F7DC7">
      <w:pPr>
        <w:spacing w:line="360" w:lineRule="auto"/>
        <w:jc w:val="both"/>
        <w:rPr>
          <w:rFonts w:ascii="Times New Roman" w:eastAsiaTheme="minorEastAsia" w:hAnsi="Times New Roman" w:cs="Times New Roman"/>
          <w:noProof/>
        </w:rPr>
      </w:pPr>
      <w:r>
        <w:rPr>
          <w:rFonts w:ascii="Times New Roman" w:hAnsi="Times New Roman" w:cs="Times New Roman"/>
          <w:noProof/>
        </w:rPr>
        <w:t xml:space="preserve">Decompose </w:t>
      </w:r>
      <m:oMath>
        <m:r>
          <w:rPr>
            <w:rFonts w:ascii="Cambria Math" w:hAnsi="Cambria Math" w:cs="Times New Roman"/>
            <w:noProof/>
          </w:rPr>
          <m:t>Pos</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oMath>
      <w:r>
        <w:rPr>
          <w:rFonts w:ascii="Times New Roman" w:eastAsiaTheme="minorEastAsia" w:hAnsi="Times New Roman" w:cs="Times New Roman"/>
          <w:noProof/>
        </w:rPr>
        <w:t xml:space="preserve">, now we define </w:t>
      </w:r>
      <m:oMath>
        <m:r>
          <w:rPr>
            <w:rFonts w:ascii="Cambria Math" w:eastAsiaTheme="minorEastAsia" w:hAnsi="Cambria Math" w:cs="Times New Roman"/>
            <w:noProof/>
          </w:rPr>
          <m:t>PostBrexi</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t</m:t>
            </m:r>
          </m:sub>
        </m:sSub>
        <m:r>
          <w:rPr>
            <w:rFonts w:ascii="Cambria Math" w:eastAsiaTheme="minorEastAsia" w:hAnsi="Cambria Math" w:cs="Times New Roman"/>
            <w:noProof/>
          </w:rPr>
          <m:t>∈</m:t>
        </m:r>
        <m:d>
          <m:dPr>
            <m:begChr m:val="["/>
            <m:endChr m:val="]"/>
            <m:ctrlPr>
              <w:rPr>
                <w:rFonts w:ascii="Cambria Math" w:eastAsiaTheme="minorEastAsia" w:hAnsi="Cambria Math" w:cs="Times New Roman"/>
                <w:noProof/>
              </w:rPr>
            </m:ctrlPr>
          </m:dPr>
          <m:e>
            <m:r>
              <m:rPr>
                <m:sty m:val="p"/>
              </m:rPr>
              <w:rPr>
                <w:rFonts w:ascii="Cambria Math" w:eastAsiaTheme="minorEastAsia" w:hAnsi="Cambria Math" w:cs="Times New Roman"/>
                <w:noProof/>
              </w:rPr>
              <m:t>2021,2022</m:t>
            </m:r>
          </m:e>
        </m:d>
      </m:oMath>
      <w:r>
        <w:rPr>
          <w:rFonts w:ascii="Times New Roman" w:eastAsiaTheme="minorEastAsia" w:hAnsi="Times New Roman" w:cs="Times New Roman"/>
          <w:noProof/>
        </w:rPr>
        <w:t xml:space="preserve"> and </w:t>
      </w:r>
      <m:oMath>
        <m:r>
          <w:rPr>
            <w:rFonts w:ascii="Cambria Math" w:eastAsiaTheme="minorEastAsia" w:hAnsi="Cambria Math" w:cs="Times New Roman"/>
            <w:noProof/>
          </w:rPr>
          <m:t>PostCovi</m:t>
        </m:r>
        <m:sSub>
          <m:sSubPr>
            <m:ctrlPr>
              <w:rPr>
                <w:rFonts w:ascii="Cambria Math" w:eastAsiaTheme="minorEastAsia" w:hAnsi="Cambria Math" w:cs="Times New Roman"/>
                <w:i/>
                <w:noProof/>
              </w:rPr>
            </m:ctrlPr>
          </m:sSubPr>
          <m:e>
            <m:r>
              <w:rPr>
                <w:rFonts w:ascii="Cambria Math" w:eastAsiaTheme="minorEastAsia" w:hAnsi="Cambria Math" w:cs="Times New Roman"/>
                <w:noProof/>
              </w:rPr>
              <m:t>d</m:t>
            </m:r>
          </m:e>
          <m:sub>
            <m:r>
              <w:rPr>
                <w:rFonts w:ascii="Cambria Math" w:eastAsiaTheme="minorEastAsia" w:hAnsi="Cambria Math" w:cs="Times New Roman"/>
                <w:noProof/>
              </w:rPr>
              <m:t>t</m:t>
            </m:r>
          </m:sub>
        </m:sSub>
        <m:r>
          <w:rPr>
            <w:rFonts w:ascii="Cambria Math" w:eastAsiaTheme="minorEastAsia" w:hAnsi="Cambria Math" w:cs="Times New Roman"/>
            <w:noProof/>
          </w:rPr>
          <m:t>∈</m:t>
        </m:r>
        <m:d>
          <m:dPr>
            <m:begChr m:val="["/>
            <m:endChr m:val="]"/>
            <m:ctrlPr>
              <w:rPr>
                <w:rFonts w:ascii="Cambria Math" w:eastAsiaTheme="minorEastAsia" w:hAnsi="Cambria Math" w:cs="Times New Roman"/>
                <w:noProof/>
              </w:rPr>
            </m:ctrlPr>
          </m:dPr>
          <m:e>
            <m:r>
              <m:rPr>
                <m:sty m:val="p"/>
              </m:rPr>
              <w:rPr>
                <w:rFonts w:ascii="Cambria Math" w:eastAsiaTheme="minorEastAsia" w:hAnsi="Cambria Math" w:cs="Times New Roman"/>
                <w:noProof/>
              </w:rPr>
              <m:t>2023,2024</m:t>
            </m:r>
          </m:e>
        </m:d>
      </m:oMath>
      <w:r>
        <w:rPr>
          <w:rFonts w:ascii="Times New Roman" w:eastAsiaTheme="minorEastAsia" w:hAnsi="Times New Roman" w:cs="Times New Roman"/>
          <w:noProof/>
        </w:rPr>
        <w:t xml:space="preserve">. From here assume that demand has shifted exogeneously by a factor of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oMath>
      <w:r>
        <w:rPr>
          <w:rFonts w:ascii="Times New Roman" w:eastAsiaTheme="minorEastAsia" w:hAnsi="Times New Roman" w:cs="Times New Roman"/>
          <w:noProof/>
          <w:lang w:eastAsia="en-GB"/>
        </w:rPr>
        <w:t xml:space="preserve"> primarily because of the COVID specific effects: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9"/>
      </w:tblGrid>
      <w:tr w:rsidR="009F7DC7" w:rsidRPr="00842C9B" w:rsidTr="00DF7F76">
        <w:tc>
          <w:tcPr>
            <w:tcW w:w="8647" w:type="dxa"/>
          </w:tcPr>
          <w:p w:rsidR="009F7DC7" w:rsidRPr="00936663"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×PostBrexi</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r>
    </w:tbl>
    <w:p w:rsidR="009F7DC7" w:rsidRPr="00EF368A" w:rsidRDefault="009F7DC7" w:rsidP="009F7DC7">
      <w:pPr>
        <w:spacing w:line="360" w:lineRule="auto"/>
        <w:jc w:val="both"/>
        <w:rPr>
          <w:rFonts w:ascii="Times New Roman" w:eastAsiaTheme="minorEastAsia" w:hAnsi="Times New Roman" w:cs="Times New Roman"/>
          <w:noProof/>
        </w:rPr>
      </w:pPr>
      <w:r>
        <w:rPr>
          <w:rFonts w:ascii="Times New Roman" w:eastAsiaTheme="minorEastAsia" w:hAnsi="Times New Roman" w:cs="Times New Roman"/>
          <w:noProof/>
        </w:rPr>
        <w:t xml:space="preserve">Asume also that this effect is separable from the pure elasticity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oMath>
      <w:r>
        <w:rPr>
          <w:rFonts w:ascii="Times New Roman" w:eastAsiaTheme="minorEastAsia" w:hAnsi="Times New Roman" w:cs="Times New Roman"/>
          <w:noProof/>
        </w:rPr>
        <w:t xml:space="preserve">, then in eq. A.2 replace </w:t>
      </w:r>
      <m:oMath>
        <m:r>
          <w:rPr>
            <w:rFonts w:ascii="Cambria Math" w:hAnsi="Cambria Math" w:cs="Times New Roman"/>
            <w:noProof/>
          </w:rPr>
          <m:t>Pos</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oMath>
      <w:r>
        <w:rPr>
          <w:rFonts w:ascii="Times New Roman" w:eastAsiaTheme="minorEastAsia" w:hAnsi="Times New Roman" w:cs="Times New Roman"/>
          <w:noProof/>
        </w:rPr>
        <w:t xml:space="preserve"> to obtain: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gridCol w:w="732"/>
      </w:tblGrid>
      <w:tr w:rsidR="009F7DC7" w:rsidRPr="00842C9B" w:rsidTr="00A30CAF">
        <w:tc>
          <w:tcPr>
            <w:tcW w:w="8624" w:type="dxa"/>
          </w:tcPr>
          <w:p w:rsidR="009F7DC7" w:rsidRPr="00A30CAF" w:rsidRDefault="00D8212D"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r>
                      <m:rPr>
                        <m:sty m:val="bi"/>
                      </m:rPr>
                      <w:rPr>
                        <w:rFonts w:ascii="Cambria Math" w:eastAsiaTheme="minorEastAsia" w:hAnsi="Cambria Math" w:cs="Times New Roman"/>
                      </w:rPr>
                      <m:t>1</m:t>
                    </m:r>
                    <m:d>
                      <m:dPr>
                        <m:begChr m:val="{"/>
                        <m:endChr m:val="}"/>
                        <m:ctrlPr>
                          <w:rPr>
                            <w:rFonts w:ascii="Cambria Math" w:eastAsiaTheme="minorEastAsia" w:hAnsi="Cambria Math" w:cs="Times New Roman"/>
                            <w:i/>
                          </w:rPr>
                        </m:ctrlPr>
                      </m:dPr>
                      <m:e>
                        <m:r>
                          <w:rPr>
                            <w:rFonts w:ascii="Cambria Math" w:eastAsiaTheme="minorEastAsia" w:hAnsi="Cambria Math" w:cs="Times New Roman"/>
                          </w:rPr>
                          <m:t>Country i in EU</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ctrlPr>
                          <w:rPr>
                            <w:rFonts w:ascii="Cambria Math" w:hAnsi="Cambria Math" w:cs="Times New Roman"/>
                            <w:i/>
                            <w:noProof/>
                          </w:rPr>
                        </m:ctrlPr>
                      </m:e>
                    </m:d>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oMath>
            </m:oMathPara>
          </w:p>
        </w:tc>
        <w:tc>
          <w:tcPr>
            <w:tcW w:w="732"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lastRenderedPageBreak/>
        <w:t xml:space="preserve">and then substitute (8) in (7)to obtain that: </w:t>
      </w:r>
    </w:p>
    <w:p w:rsidR="009F7DC7" w:rsidRPr="00936663" w:rsidRDefault="00D8212D" w:rsidP="009F7DC7">
      <w:pPr>
        <w:spacing w:before="240" w:after="240" w:line="360" w:lineRule="auto"/>
        <w:jc w:val="both"/>
        <w:rPr>
          <w:rFonts w:ascii="Times New Roman" w:eastAsia="Times New Roman" w:hAnsi="Times New Roman" w:cs="Times New Roman"/>
          <w:lang w:eastAsia="en-GB"/>
        </w:rPr>
      </w:pPr>
      <m:oMathPara>
        <m:oMathParaPr>
          <m:jc m:val="left"/>
        </m:oMathParaPr>
        <m:oMath>
          <m:m>
            <m:mPr>
              <m:mcs>
                <m:mc>
                  <m:mcPr>
                    <m:count m:val="3"/>
                    <m:mcJc m:val="center"/>
                  </m:mcPr>
                </m:mc>
              </m:mcs>
              <m:ctrlPr>
                <w:rPr>
                  <w:rFonts w:ascii="Cambria Math" w:eastAsia="Times New Roman" w:hAnsi="Cambria Math" w:cs="Times New Roman"/>
                  <w:i/>
                  <w:lang w:eastAsia="en-GB"/>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d>
                  <m:dPr>
                    <m:begChr m:val="["/>
                    <m:endChr m:val="]"/>
                    <m:ctrlPr>
                      <w:rPr>
                        <w:rFonts w:ascii="Cambria Math" w:eastAsia="Times New Roman" w:hAnsi="Cambria Math" w:cs="Times New Roman"/>
                        <w:i/>
                        <w:lang w:eastAsia="en-GB"/>
                      </w:rPr>
                    </m:ctrlPr>
                  </m:dPr>
                  <m:e>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ctrlPr>
                              <w:rPr>
                                <w:rFonts w:ascii="Cambria Math" w:hAnsi="Cambria Math" w:cs="Times New Roman"/>
                                <w:i/>
                                <w:noProof/>
                              </w:rPr>
                            </m:ctrlPr>
                          </m:e>
                        </m:d>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e>
                </m:d>
              </m:e>
            </m:mr>
            <m:mr>
              <m:e>
                <m:r>
                  <w:rPr>
                    <w:rFonts w:ascii="Cambria Math" w:eastAsia="Times New Roman" w:hAnsi="Cambria Math" w:cs="Times New Roman"/>
                    <w:lang w:eastAsia="en-GB"/>
                  </w:rPr>
                  <m:t xml:space="preserve"> </m:t>
                </m:r>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heme="minorEastAsia" w:hAnsi="Cambria Math" w:cs="Times New Roman"/>
                      </w:rPr>
                      <m:t>×</m:t>
                    </m:r>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e>
            </m:mr>
          </m:m>
        </m:oMath>
      </m:oMathPara>
    </w:p>
    <w:p w:rsidR="009F7DC7" w:rsidRDefault="009F7DC7" w:rsidP="009F7DC7">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After an intuitive expansion we obtain: </w:t>
      </w:r>
    </w:p>
    <w:p w:rsidR="009F7DC7" w:rsidRPr="00936663" w:rsidRDefault="00D8212D" w:rsidP="009F7DC7">
      <w:pPr>
        <w:spacing w:line="360" w:lineRule="auto"/>
        <w:jc w:val="both"/>
        <w:rPr>
          <w:rFonts w:ascii="Times New Roman" w:eastAsiaTheme="minorEastAsia" w:hAnsi="Times New Roman" w:cs="Times New Roman"/>
          <w:noProof/>
          <w:lang w:eastAsia="en-GB"/>
        </w:rPr>
      </w:pPr>
      <m:oMathPara>
        <m:oMathParaPr>
          <m:jc m:val="left"/>
        </m:oMathParaPr>
        <m:oMath>
          <m:m>
            <m:mPr>
              <m:mcs>
                <m:mc>
                  <m:mcPr>
                    <m:count m:val="3"/>
                    <m:mcJc m:val="center"/>
                  </m:mcPr>
                </m:mc>
              </m:mcs>
              <m:ctrlPr>
                <w:rPr>
                  <w:rFonts w:ascii="Cambria Math" w:eastAsia="Times New Roman" w:hAnsi="Cambria Math" w:cs="Times New Roman"/>
                  <w:i/>
                  <w:lang w:eastAsia="en-GB"/>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r>
                  <w:rPr>
                    <w:rFonts w:ascii="Cambria Math" w:hAnsi="Cambria Math" w:cs="Times New Roman"/>
                    <w:noProof/>
                  </w:rPr>
                  <m:t xml:space="preserve">               </m:t>
                </m:r>
              </m:e>
            </m:mr>
            <m:mr>
              <m:e>
                <m:r>
                  <w:rPr>
                    <w:rFonts w:ascii="Cambria Math" w:eastAsia="Times New Roman" w:hAnsi="Cambria Math" w:cs="Times New Roman"/>
                    <w:lang w:eastAsia="en-GB"/>
                  </w:rPr>
                  <m:t xml:space="preserve"> </m:t>
                </m:r>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e>
            </m:mr>
          </m:m>
        </m:oMath>
      </m:oMathPara>
    </w:p>
    <w:p w:rsidR="009F7DC7" w:rsidRPr="00936663" w:rsidRDefault="009F7DC7" w:rsidP="009F7DC7">
      <w:pPr>
        <w:spacing w:line="360" w:lineRule="auto"/>
        <w:jc w:val="both"/>
        <w:rPr>
          <w:rFonts w:ascii="Times New Roman" w:eastAsiaTheme="minorEastAsia" w:hAnsi="Times New Roman" w:cs="Times New Roman"/>
          <w:noProof/>
          <w:lang w:eastAsia="en-GB"/>
        </w:rPr>
      </w:pPr>
      <w:r>
        <w:rPr>
          <w:rFonts w:ascii="Times New Roman" w:eastAsiaTheme="minorEastAsia" w:hAnsi="Times New Roman" w:cs="Times New Roman"/>
          <w:noProof/>
          <w:lang w:eastAsia="en-GB"/>
        </w:rPr>
        <w:t xml:space="preserve">That finaly simplifies to: </w:t>
      </w:r>
    </w:p>
    <w:p w:rsidR="009F7DC7" w:rsidRPr="00A30CAF" w:rsidRDefault="00D8212D" w:rsidP="009F7DC7">
      <w:pPr>
        <w:spacing w:line="360" w:lineRule="auto"/>
        <w:jc w:val="both"/>
        <w:rPr>
          <w:rFonts w:ascii="Times New Roman" w:hAnsi="Times New Roman" w:cs="Times New Roman"/>
          <w:noProof/>
        </w:rPr>
      </w:pPr>
      <m:oMathPara>
        <m:oMathParaPr>
          <m:jc m:val="left"/>
        </m:oMathParaPr>
        <m:oMath>
          <m:m>
            <m:mPr>
              <m:mcs>
                <m:mc>
                  <m:mcPr>
                    <m:count m:val="3"/>
                    <m:mcJc m:val="center"/>
                  </m:mcPr>
                </m:mc>
              </m:mcs>
              <m:ctrlPr>
                <w:rPr>
                  <w:rFonts w:ascii="Cambria Math" w:hAnsi="Cambria Math" w:cs="Times New Roman"/>
                  <w:i/>
                  <w:noProof/>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limLow>
                  <m:limLowPr>
                    <m:ctrlPr>
                      <w:rPr>
                        <w:rFonts w:ascii="Cambria Math" w:eastAsia="Times New Roman" w:hAnsi="Cambria Math" w:cs="Times New Roman"/>
                        <w:i/>
                        <w:lang w:eastAsia="en-GB"/>
                      </w:rPr>
                    </m:ctrlPr>
                  </m:limLowPr>
                  <m:e>
                    <m:groupChr>
                      <m:groupChrPr>
                        <m:ctrlPr>
                          <w:rPr>
                            <w:rFonts w:ascii="Cambria Math" w:eastAsia="Times New Roman" w:hAnsi="Cambria Math" w:cs="Times New Roman"/>
                            <w:i/>
                            <w:lang w:eastAsia="en-GB"/>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e>
                    </m:groupChr>
                  </m:e>
                  <m:lim>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α</m:t>
                        </m:r>
                      </m:e>
                      <m:sub>
                        <m:r>
                          <w:rPr>
                            <w:rFonts w:ascii="Cambria Math" w:eastAsia="Times New Roman" w:hAnsi="Cambria Math" w:cs="Times New Roman"/>
                            <w:lang w:eastAsia="en-GB"/>
                          </w:rPr>
                          <m:t>i</m:t>
                        </m:r>
                      </m:sub>
                    </m:sSub>
                  </m:lim>
                </m:limLow>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t</m:t>
                    </m:r>
                  </m:sub>
                </m:sSub>
                <m:r>
                  <w:rPr>
                    <w:rFonts w:ascii="Cambria Math" w:eastAsiaTheme="minorEastAsia" w:hAnsi="Cambria Math" w:cs="Times New Roman"/>
                  </w:rPr>
                  <m:t>-</m:t>
                </m:r>
                <m:limLow>
                  <m:limLowPr>
                    <m:ctrlPr>
                      <w:rPr>
                        <w:rFonts w:ascii="Cambria Math" w:eastAsia="Times New Roman" w:hAnsi="Cambria Math" w:cs="Times New Roman"/>
                        <w:i/>
                        <w:lang w:eastAsia="en-GB"/>
                      </w:rPr>
                    </m:ctrlPr>
                  </m:limLowPr>
                  <m:e>
                    <m:groupChr>
                      <m:groupChrPr>
                        <m:ctrlPr>
                          <w:rPr>
                            <w:rFonts w:ascii="Cambria Math" w:eastAsia="Times New Roman" w:hAnsi="Cambria Math" w:cs="Times New Roman"/>
                            <w:i/>
                            <w:lang w:eastAsia="en-GB"/>
                          </w:rPr>
                        </m:ctrlPr>
                      </m:groupChrPr>
                      <m:e>
                        <m:d>
                          <m:dPr>
                            <m:ctrlPr>
                              <w:rPr>
                                <w:rFonts w:ascii="Cambria Math" w:eastAsiaTheme="minorEastAsia" w:hAnsi="Cambria Math" w:cs="Times New Roman"/>
                                <w:i/>
                              </w:rPr>
                            </m:ctrlPr>
                          </m:dPr>
                          <m:e>
                            <m:r>
                              <w:rPr>
                                <w:rFonts w:ascii="Cambria Math" w:eastAsiaTheme="minorEastAsia" w:hAnsi="Cambria Math" w:cs="Times New Roman"/>
                              </w:rPr>
                              <m:t xml:space="preserve"> </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e>
                        </m:d>
                      </m:e>
                    </m:groupChr>
                    <m:ctrlPr>
                      <w:rPr>
                        <w:rFonts w:ascii="Cambria Math" w:eastAsiaTheme="minorEastAsia" w:hAnsi="Cambria Math" w:cs="Times New Roman"/>
                        <w:i/>
                      </w:rPr>
                    </m:ctrlPr>
                  </m:e>
                  <m:lim>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i</m:t>
                        </m:r>
                      </m:sub>
                      <m:sup>
                        <m:r>
                          <w:rPr>
                            <w:rFonts w:ascii="Cambria Math" w:eastAsiaTheme="minorEastAsia" w:hAnsi="Cambria Math" w:cs="Times New Roman"/>
                          </w:rPr>
                          <m:t>B</m:t>
                        </m:r>
                      </m:sup>
                    </m:sSubSup>
                  </m:lim>
                </m:limLow>
                <m:r>
                  <w:rPr>
                    <w:rFonts w:ascii="Cambria Math" w:eastAsia="Times New Roman" w:hAnsi="Cambria Math" w:cs="Times New Roman"/>
                    <w:lang w:eastAsia="en-GB"/>
                  </w:rPr>
                  <m:t xml:space="preserve"> 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heme="minorEastAsia" w:hAnsi="Cambria Math" w:cs="Times New Roman"/>
                  </w:rPr>
                  <m:t>×</m:t>
                </m:r>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groupChr>
                    <m:ctrlPr>
                      <w:rPr>
                        <w:rFonts w:ascii="Cambria Math" w:hAnsi="Cambria Math" w:cs="Times New Roman"/>
                        <w:i/>
                        <w:noProof/>
                      </w:rPr>
                    </m:ctrlPr>
                  </m:e>
                  <m:lim>
                    <m:sSubSup>
                      <m:sSubSupPr>
                        <m:ctrlPr>
                          <w:rPr>
                            <w:rFonts w:ascii="Cambria Math" w:hAnsi="Cambria Math" w:cs="Times New Roman"/>
                            <w:i/>
                            <w:noProof/>
                          </w:rPr>
                        </m:ctrlPr>
                      </m:sSubSupPr>
                      <m:e>
                        <m:r>
                          <w:rPr>
                            <w:rFonts w:ascii="Cambria Math" w:hAnsi="Cambria Math" w:cs="Times New Roman"/>
                            <w:noProof/>
                          </w:rPr>
                          <m:t>β</m:t>
                        </m:r>
                      </m:e>
                      <m:sub>
                        <m:r>
                          <w:rPr>
                            <w:rFonts w:ascii="Cambria Math" w:hAnsi="Cambria Math" w:cs="Times New Roman"/>
                            <w:noProof/>
                          </w:rPr>
                          <m:t>i</m:t>
                        </m:r>
                      </m:sub>
                      <m:sup>
                        <m:r>
                          <w:rPr>
                            <w:rFonts w:ascii="Cambria Math" w:hAnsi="Cambria Math" w:cs="Times New Roman"/>
                            <w:noProof/>
                          </w:rPr>
                          <m:t>C</m:t>
                        </m:r>
                      </m:sup>
                    </m:sSubSup>
                  </m:lim>
                </m:limLow>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r>
                  <w:rPr>
                    <w:rFonts w:ascii="Cambria Math" w:eastAsia="Times New Roman" w:hAnsi="Cambria Math" w:cs="Times New Roman"/>
                    <w:lang w:eastAsia="en-GB"/>
                  </w:rPr>
                  <m:t xml:space="preserve"> </m:t>
                </m:r>
              </m:e>
            </m:mr>
            <m:mr>
              <m:e>
                <m:r>
                  <w:rPr>
                    <w:rFonts w:ascii="Cambria Math" w:hAnsi="Cambria Math" w:cs="Times New Roman"/>
                    <w:noProof/>
                  </w:rPr>
                  <m:t xml:space="preserve"> </m:t>
                </m:r>
              </m:e>
              <m:e>
                <m:r>
                  <w:rPr>
                    <w:rFonts w:ascii="Cambria Math" w:hAnsi="Cambria Math" w:cs="Times New Roman"/>
                    <w:noProof/>
                  </w:rPr>
                  <m:t>+</m:t>
                </m:r>
              </m:e>
              <m:e>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hAnsi="Cambria Math" w:cs="Times New Roman"/>
                            <w:noProof/>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e>
                    </m:groupChr>
                  </m:e>
                  <m:lim>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i,t</m:t>
                            </m:r>
                          </m:sub>
                        </m:sSub>
                      </m:e>
                    </m:acc>
                  </m:lim>
                </m:limLow>
                <m:r>
                  <w:rPr>
                    <w:rFonts w:ascii="Cambria Math" w:eastAsiaTheme="minorEastAsia" w:hAnsi="Cambria Math" w:cs="Times New Roman"/>
                  </w:rPr>
                  <m:t xml:space="preserve">                                                                                                                     </m:t>
                </m:r>
              </m:e>
            </m:mr>
          </m:m>
        </m:oMath>
      </m:oMathPara>
    </w:p>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 xml:space="preserve">Consider the mathematical expectation of the ATT coefficient: </w:t>
      </w:r>
    </w:p>
    <w:tbl>
      <w:tblPr>
        <w:tblStyle w:val="TableGrid"/>
        <w:tblW w:w="101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70"/>
        <w:gridCol w:w="496"/>
      </w:tblGrid>
      <w:tr w:rsidR="009F7DC7" w:rsidTr="00F253B2">
        <w:trPr>
          <w:trHeight w:val="1284"/>
          <w:jc w:val="center"/>
        </w:trPr>
        <w:tc>
          <w:tcPr>
            <w:tcW w:w="9351" w:type="dxa"/>
          </w:tcPr>
          <w:p w:rsidR="009F7DC7" w:rsidRDefault="00D8212D" w:rsidP="00F253B2">
            <w:pPr>
              <w:spacing w:line="360" w:lineRule="auto"/>
              <w:jc w:val="both"/>
              <w:rPr>
                <w:rFonts w:ascii="Times New Roman" w:hAnsi="Times New Roman" w:cs="Times New Roman"/>
                <w:noProof/>
              </w:rPr>
            </w:pPr>
            <m:oMathPara>
              <m:oMath>
                <m:m>
                  <m:mPr>
                    <m:mcs>
                      <m:mc>
                        <m:mcPr>
                          <m:count m:val="3"/>
                          <m:mcJc m:val="center"/>
                        </m:mcPr>
                      </m:mc>
                    </m:mcs>
                    <m:ctrlPr>
                      <w:rPr>
                        <w:rFonts w:ascii="Cambria Math" w:eastAsia="Times New Roman" w:hAnsi="Cambria Math" w:cs="Times New Roman"/>
                        <w:i/>
                        <w:kern w:val="0"/>
                        <w:sz w:val="22"/>
                        <w:lang w:eastAsia="en-GB"/>
                        <w14:ligatures w14:val="none"/>
                      </w:rPr>
                    </m:ctrlPr>
                  </m:mPr>
                  <m:mr>
                    <m:e>
                      <m:sSubSup>
                        <m:sSubSupPr>
                          <m:ctrlPr>
                            <w:rPr>
                              <w:rFonts w:ascii="Cambria Math" w:eastAsia="Times New Roman" w:hAnsi="Cambria Math" w:cs="Times New Roman"/>
                              <w:i/>
                              <w:kern w:val="0"/>
                              <w:sz w:val="22"/>
                              <w:lang w:eastAsia="en-GB"/>
                              <w14:ligatures w14:val="none"/>
                            </w:rPr>
                          </m:ctrlPr>
                        </m:sSubSupPr>
                        <m:e>
                          <m:r>
                            <w:rPr>
                              <w:rFonts w:ascii="Cambria Math" w:eastAsia="Times New Roman" w:hAnsi="Cambria Math" w:cs="Times New Roman"/>
                              <w:kern w:val="0"/>
                              <w:sz w:val="22"/>
                              <w:lang w:eastAsia="en-GB"/>
                              <w14:ligatures w14:val="none"/>
                            </w:rPr>
                            <m:t>β</m:t>
                          </m:r>
                        </m:e>
                        <m:sub>
                          <m:r>
                            <w:rPr>
                              <w:rFonts w:ascii="Cambria Math" w:eastAsia="Times New Roman" w:hAnsi="Cambria Math" w:cs="Times New Roman"/>
                              <w:kern w:val="0"/>
                              <w:sz w:val="22"/>
                              <w:lang w:eastAsia="en-GB"/>
                              <w14:ligatures w14:val="none"/>
                            </w:rPr>
                            <m:t>i</m:t>
                          </m:r>
                        </m:sub>
                        <m:sup>
                          <m:r>
                            <w:rPr>
                              <w:rFonts w:ascii="Cambria Math" w:eastAsia="Times New Roman" w:hAnsi="Cambria Math" w:cs="Times New Roman"/>
                              <w:kern w:val="0"/>
                              <w:sz w:val="22"/>
                              <w:lang w:eastAsia="en-GB"/>
                              <w14:ligatures w14:val="none"/>
                            </w:rPr>
                            <m:t>B</m:t>
                          </m:r>
                        </m:sup>
                      </m:sSubSup>
                    </m:e>
                    <m:e>
                      <m:r>
                        <w:rPr>
                          <w:rFonts w:ascii="Cambria Math" w:eastAsia="Times New Roman" w:hAnsi="Cambria Math" w:cs="Times New Roman"/>
                          <w:kern w:val="0"/>
                          <w:sz w:val="22"/>
                          <w:lang w:eastAsia="en-GB"/>
                          <w14:ligatures w14:val="none"/>
                        </w:rPr>
                        <m:t>=</m:t>
                      </m:r>
                    </m:e>
                    <m:e>
                      <m:d>
                        <m:dPr>
                          <m:begChr m:val="["/>
                          <m:endChr m:val="]"/>
                          <m:ctrlPr>
                            <w:rPr>
                              <w:rFonts w:ascii="Cambria Math" w:eastAsia="Times New Roman" w:hAnsi="Cambria Math" w:cs="Times New Roman"/>
                              <w:i/>
                              <w:kern w:val="0"/>
                              <w:sz w:val="22"/>
                              <w:lang w:eastAsia="en-GB"/>
                              <w14:ligatures w14:val="none"/>
                            </w:rPr>
                          </m:ctrlPr>
                        </m:dPr>
                        <m:e>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=1,PostBrexi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=1,</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d>
                                <m:dPr>
                                  <m:ctrlPr>
                                    <w:rPr>
                                      <w:rFonts w:ascii="Cambria Math" w:eastAsia="Times New Roman" w:hAnsi="Cambria Math" w:cs="Times New Roman"/>
                                      <w:i/>
                                      <w:kern w:val="0"/>
                                      <w:sz w:val="22"/>
                                      <w:lang w:eastAsia="en-GB"/>
                                      <w14:ligatures w14:val="none"/>
                                    </w:rPr>
                                  </m:ctrlPr>
                                </m:dPr>
                                <m:e>
                                  <m:r>
                                    <w:rPr>
                                      <w:rFonts w:ascii="Cambria Math" w:eastAsia="Times New Roman" w:hAnsi="Cambria Math" w:cs="Times New Roman"/>
                                      <w:kern w:val="0"/>
                                      <w:sz w:val="22"/>
                                      <w:lang w:eastAsia="en-GB"/>
                                      <w14:ligatures w14:val="none"/>
                                    </w:rPr>
                                    <m:t xml:space="preserve"> </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η</m:t>
                                      </m:r>
                                    </m:e>
                                    <m:sub>
                                      <m:r>
                                        <w:rPr>
                                          <w:rFonts w:ascii="Cambria Math" w:eastAsia="Times New Roman" w:hAnsi="Cambria Math" w:cs="Times New Roman"/>
                                          <w:kern w:val="0"/>
                                          <w:sz w:val="22"/>
                                          <w:lang w:eastAsia="en-GB"/>
                                          <w14:ligatures w14:val="none"/>
                                        </w:rPr>
                                        <m:t>i</m:t>
                                      </m:r>
                                    </m:sub>
                                  </m:sSub>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k</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ω</m:t>
                                      </m:r>
                                    </m:e>
                                    <m:sub>
                                      <m:r>
                                        <w:rPr>
                                          <w:rFonts w:ascii="Cambria Math" w:eastAsia="Times New Roman" w:hAnsi="Cambria Math" w:cs="Times New Roman"/>
                                          <w:kern w:val="0"/>
                                          <w:sz w:val="22"/>
                                          <w:lang w:eastAsia="en-GB"/>
                                          <w14:ligatures w14:val="none"/>
                                        </w:rPr>
                                        <m:t>k</m:t>
                                      </m:r>
                                    </m:sub>
                                  </m:sSub>
                                </m:e>
                              </m:d>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t+1</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r>
                            <w:rPr>
                              <w:rFonts w:ascii="Cambria Math" w:eastAsia="Times New Roman" w:hAnsi="Cambria Math" w:cs="Times New Roman"/>
                              <w:kern w:val="0"/>
                              <w:sz w:val="22"/>
                              <w:lang w:eastAsia="en-GB"/>
                              <w14:ligatures w14:val="none"/>
                            </w:rPr>
                            <m:t>-</m:t>
                          </m:r>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=1,PostBrexi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=0,</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e>
                      </m:d>
                    </m:e>
                  </m:mr>
                  <m:mr>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 xml:space="preserve"> </m:t>
                      </m:r>
                    </m:e>
                  </m:mr>
                  <m:mr>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m:t>
                      </m:r>
                    </m:e>
                    <m:e>
                      <m:d>
                        <m:dPr>
                          <m:begChr m:val="["/>
                          <m:endChr m:val="]"/>
                          <m:ctrlPr>
                            <w:rPr>
                              <w:rFonts w:ascii="Cambria Math" w:eastAsia="Times New Roman" w:hAnsi="Cambria Math" w:cs="Times New Roman"/>
                              <w:i/>
                              <w:kern w:val="0"/>
                              <w:sz w:val="22"/>
                              <w:lang w:eastAsia="en-GB"/>
                              <w14:ligatures w14:val="none"/>
                            </w:rPr>
                          </m:ctrlPr>
                        </m:dPr>
                        <m:e>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=0,PostBrexi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=1,</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t+1</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r>
                            <w:rPr>
                              <w:rFonts w:ascii="Cambria Math" w:eastAsia="Times New Roman" w:hAnsi="Cambria Math" w:cs="Times New Roman"/>
                              <w:kern w:val="0"/>
                              <w:sz w:val="22"/>
                              <w:lang w:eastAsia="en-GB"/>
                              <w14:ligatures w14:val="none"/>
                            </w:rPr>
                            <m:t>-</m:t>
                          </m:r>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=0,PostBrexi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=0,</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e>
                      </m:d>
                    </m:e>
                  </m:mr>
                </m:m>
              </m:oMath>
            </m:oMathPara>
          </w:p>
        </w:tc>
        <w:tc>
          <w:tcPr>
            <w:tcW w:w="777" w:type="dxa"/>
            <w:vAlign w:val="center"/>
          </w:tcPr>
          <w:p w:rsidR="009F7DC7" w:rsidRDefault="009F7DC7" w:rsidP="00F253B2">
            <w:pPr>
              <w:spacing w:line="360" w:lineRule="auto"/>
              <w:jc w:val="center"/>
              <w:rPr>
                <w:rFonts w:ascii="Times New Roman" w:hAnsi="Times New Roman" w:cs="Times New Roman"/>
                <w:noProof/>
              </w:rPr>
            </w:pPr>
            <w:r>
              <w:rPr>
                <w:rFonts w:ascii="Times New Roman" w:hAnsi="Times New Roman" w:cs="Times New Roman"/>
                <w:noProof/>
              </w:rPr>
              <w:t>(9)</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Hence for the slope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9F7DC7" w:rsidRPr="00842C9B" w:rsidTr="00F253B2">
        <w:tc>
          <w:tcPr>
            <w:tcW w:w="8170" w:type="dxa"/>
          </w:tcPr>
          <w:p w:rsidR="009F7DC7" w:rsidRPr="00936663" w:rsidRDefault="00D8212D" w:rsidP="00E92493">
            <w:pPr>
              <w:spacing w:line="360" w:lineRule="auto"/>
              <w:jc w:val="both"/>
              <w:rPr>
                <w:rFonts w:ascii="Times New Roman" w:eastAsia="Times New Roman" w:hAnsi="Times New Roman" w:cs="Times New Roman"/>
                <w:kern w:val="0"/>
                <w:lang w:eastAsia="en-GB"/>
                <w14:ligatures w14:val="none"/>
              </w:rPr>
            </w:pPr>
            <m:oMathPara>
              <m:oMathParaPr>
                <m:jc m:val="left"/>
              </m:oMathParaP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B</m:t>
                    </m:r>
                  </m:sup>
                </m:sSubSup>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oMath>
            </m:oMathPara>
          </w:p>
        </w:tc>
        <w:tc>
          <w:tcPr>
            <w:tcW w:w="856" w:type="dxa"/>
          </w:tcPr>
          <w:p w:rsidR="009F7DC7" w:rsidRPr="00842C9B" w:rsidRDefault="009F7DC7" w:rsidP="00E92493">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(11)</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From here similarly: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9F7DC7" w:rsidRPr="00842C9B" w:rsidTr="00F253B2">
        <w:tc>
          <w:tcPr>
            <w:tcW w:w="8170" w:type="dxa"/>
          </w:tcPr>
          <w:p w:rsidR="009F7DC7" w:rsidRPr="00936663" w:rsidRDefault="00D8212D" w:rsidP="00E92493">
            <w:pPr>
              <w:spacing w:line="360" w:lineRule="auto"/>
              <w:jc w:val="both"/>
              <w:rPr>
                <w:rFonts w:ascii="Times New Roman" w:eastAsia="Times New Roman" w:hAnsi="Times New Roman" w:cs="Times New Roman"/>
                <w:kern w:val="0"/>
                <w:lang w:eastAsia="en-GB"/>
                <w14:ligatures w14:val="none"/>
              </w:rPr>
            </w:pPr>
            <m:oMathPara>
              <m:oMathParaPr>
                <m:jc m:val="left"/>
              </m:oMathParaP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C</m:t>
                    </m:r>
                  </m:sup>
                </m:sSubSup>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oMath>
            </m:oMathPara>
          </w:p>
        </w:tc>
        <w:tc>
          <w:tcPr>
            <w:tcW w:w="856" w:type="dxa"/>
          </w:tcPr>
          <w:p w:rsidR="009F7DC7" w:rsidRPr="00842C9B" w:rsidRDefault="009F7DC7" w:rsidP="00E92493">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(12)</w:t>
            </w:r>
          </w:p>
        </w:tc>
      </w:tr>
    </w:tbl>
    <w:p w:rsidR="009F7DC7" w:rsidRDefault="00DF7F76" w:rsidP="009F7DC7">
      <w:pPr>
        <w:spacing w:line="360" w:lineRule="auto"/>
        <w:jc w:val="both"/>
        <w:rPr>
          <w:rFonts w:ascii="Times New Roman" w:hAnsi="Times New Roman" w:cs="Times New Roman"/>
          <w:noProof/>
        </w:rPr>
      </w:pPr>
      <w:r>
        <w:rPr>
          <w:rFonts w:ascii="Times New Roman" w:hAnsi="Times New Roman" w:cs="Times New Roman"/>
          <w:noProof/>
        </w:rPr>
        <w:t xml:space="preserve">Therefore to identify the Covid specific effect on demand elasticity we just subtract the slopes from each other: </w:t>
      </w:r>
    </w:p>
    <w:p w:rsidR="009F7DC7" w:rsidRPr="00DE4EE4" w:rsidRDefault="00D8212D" w:rsidP="009F7DC7">
      <w:pPr>
        <w:spacing w:line="360" w:lineRule="auto"/>
        <w:jc w:val="both"/>
        <w:rPr>
          <w:rFonts w:ascii="Times New Roman" w:eastAsiaTheme="minorEastAsia" w:hAnsi="Times New Roman" w:cs="Times New Roman"/>
          <w:noProof/>
          <w:lang w:eastAsia="en-GB"/>
        </w:rPr>
      </w:pPr>
      <m:oMathPara>
        <m:oMathParaPr>
          <m:jc m:val="left"/>
        </m:oMathParaPr>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β</m:t>
              </m:r>
            </m:e>
            <m:sub>
              <m:r>
                <w:rPr>
                  <w:rFonts w:ascii="Cambria Math" w:eastAsia="Times New Roman" w:hAnsi="Cambria Math" w:cs="Times New Roman"/>
                  <w:lang w:eastAsia="en-GB"/>
                </w:rPr>
                <m:t>i</m:t>
              </m:r>
            </m:sub>
            <m:sup>
              <m:r>
                <w:rPr>
                  <w:rFonts w:ascii="Cambria Math" w:eastAsia="Times New Roman" w:hAnsi="Cambria Math" w:cs="Times New Roman"/>
                  <w:lang w:eastAsia="en-GB"/>
                </w:rPr>
                <m:t>B</m:t>
              </m:r>
            </m:sup>
          </m:sSubSup>
          <m:r>
            <w:rPr>
              <w:rFonts w:ascii="Cambria Math" w:eastAsia="Times New Roman" w:hAnsi="Cambria Math" w:cs="Times New Roman"/>
              <w:lang w:eastAsia="en-GB"/>
            </w:rPr>
            <m:t>-</m:t>
          </m:r>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β</m:t>
              </m:r>
            </m:e>
            <m:sub>
              <m:r>
                <w:rPr>
                  <w:rFonts w:ascii="Cambria Math" w:eastAsia="Times New Roman" w:hAnsi="Cambria Math" w:cs="Times New Roman"/>
                  <w:lang w:eastAsia="en-GB"/>
                </w:rPr>
                <m:t>i</m:t>
              </m:r>
            </m:sub>
            <m:sup>
              <m:r>
                <w:rPr>
                  <w:rFonts w:ascii="Cambria Math" w:eastAsia="Times New Roman" w:hAnsi="Cambria Math" w:cs="Times New Roman"/>
                  <w:lang w:eastAsia="en-GB"/>
                </w:rPr>
                <m:t>C</m:t>
              </m:r>
            </m:sup>
          </m:sSubSup>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oMath>
      </m:oMathPara>
    </w:p>
    <w:p w:rsidR="00DE4EE4" w:rsidRPr="00645D9F" w:rsidRDefault="00DE4EE4" w:rsidP="00645D9F">
      <w:pPr>
        <w:pStyle w:val="Heading1"/>
        <w:jc w:val="both"/>
        <w:rPr>
          <w:i/>
          <w:sz w:val="28"/>
          <w:szCs w:val="28"/>
        </w:rPr>
      </w:pPr>
      <w:r>
        <w:rPr>
          <w:i/>
          <w:sz w:val="28"/>
          <w:szCs w:val="28"/>
        </w:rPr>
        <w:t>Arc vs log elasticities</w:t>
      </w:r>
    </w:p>
    <w:p w:rsidR="00DE4EE4" w:rsidRPr="00F47A46" w:rsidRDefault="00DE4EE4" w:rsidP="00DE4EE4">
      <w:pPr>
        <w:spacing w:line="360" w:lineRule="auto"/>
        <w:ind w:firstLine="720"/>
        <w:jc w:val="both"/>
        <w:rPr>
          <w:rFonts w:ascii="Times New Roman" w:eastAsiaTheme="minorEastAsia" w:hAnsi="Times New Roman" w:cs="Times New Roman"/>
          <w:noProof/>
          <w:color w:val="000000"/>
        </w:rPr>
      </w:pPr>
      <w:r>
        <w:rPr>
          <w:rFonts w:ascii="Times New Roman" w:hAnsi="Times New Roman" w:cs="Times New Roman"/>
          <w:iCs/>
        </w:rPr>
        <w:t xml:space="preserve">Using the simple formula </w:t>
      </w:r>
      <m:oMath>
        <m:r>
          <w:rPr>
            <w:rFonts w:ascii="Cambria Math" w:hAnsi="Cambria Math" w:cs="Times New Roman"/>
            <w:noProof/>
            <w:color w:val="000000" w:themeColor="text1"/>
          </w:rPr>
          <m:t>%Δ=</m:t>
        </m:r>
        <m:d>
          <m:dPr>
            <m:ctrlPr>
              <w:rPr>
                <w:rFonts w:ascii="Cambria Math" w:hAnsi="Cambria Math" w:cs="Times New Roman"/>
                <w:i/>
                <w:noProof/>
                <w:color w:val="000000" w:themeColor="text1"/>
              </w:rPr>
            </m:ctrlPr>
          </m:dPr>
          <m:e>
            <m:sSup>
              <m:sSupPr>
                <m:ctrlPr>
                  <w:rPr>
                    <w:rFonts w:ascii="Cambria Math" w:hAnsi="Cambria Math" w:cs="Times New Roman"/>
                    <w:i/>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×100</m:t>
        </m:r>
      </m:oMath>
      <w:r>
        <w:rPr>
          <w:rFonts w:ascii="Times New Roman" w:eastAsiaTheme="minorEastAsia" w:hAnsi="Times New Roman" w:cs="Times New Roman"/>
          <w:color w:val="000000" w:themeColor="text1"/>
        </w:rPr>
        <w:t xml:space="preserve"> and substituting with the lowest estimated beta coefficient (Malta = -0.6), and the highest coefficient (Lithuania = -</w:t>
      </w:r>
      <w:r>
        <w:rPr>
          <w:rFonts w:ascii="Times New Roman" w:eastAsia="Times New Roman" w:hAnsi="Times New Roman" w:cs="Times New Roman"/>
          <w:color w:val="000000"/>
        </w:rPr>
        <w:t xml:space="preserve">2.4) we obtain changes ranging from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-0.6</m:t>
                </m:r>
              </m:sup>
            </m:sSup>
            <m:r>
              <w:rPr>
                <w:rFonts w:ascii="Cambria Math" w:eastAsia="Times New Roman" w:hAnsi="Cambria Math" w:cs="Times New Roman"/>
                <w:color w:val="000000"/>
              </w:rPr>
              <m:t>-1</m:t>
            </m:r>
          </m:e>
        </m:d>
        <m:r>
          <w:rPr>
            <w:rFonts w:ascii="Cambria Math" w:eastAsia="Times New Roman" w:hAnsi="Cambria Math" w:cs="Times New Roman"/>
            <w:color w:val="000000"/>
          </w:rPr>
          <m:t>×100=-45%</m:t>
        </m:r>
      </m:oMath>
      <w:r>
        <w:rPr>
          <w:rFonts w:ascii="Times New Roman" w:eastAsia="Times New Roman" w:hAnsi="Times New Roman" w:cs="Times New Roman"/>
          <w:color w:val="000000"/>
        </w:rPr>
        <w:t xml:space="preserve"> drop relative to the change observed in the control group, all the way to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-2.4</m:t>
                </m:r>
              </m:sup>
            </m:sSup>
            <m:r>
              <w:rPr>
                <w:rFonts w:ascii="Cambria Math" w:eastAsia="Times New Roman" w:hAnsi="Cambria Math" w:cs="Times New Roman"/>
                <w:color w:val="000000"/>
              </w:rPr>
              <m:t>-1</m:t>
            </m:r>
          </m:e>
        </m:d>
        <m:r>
          <w:rPr>
            <w:rFonts w:ascii="Cambria Math" w:eastAsia="Times New Roman" w:hAnsi="Cambria Math" w:cs="Times New Roman"/>
            <w:color w:val="000000"/>
          </w:rPr>
          <m:t>×100=-90%</m:t>
        </m:r>
      </m:oMath>
      <w:r>
        <w:rPr>
          <w:rFonts w:ascii="Times New Roman" w:eastAsia="Times New Roman" w:hAnsi="Times New Roman" w:cs="Times New Roman"/>
          <w:color w:val="000000"/>
        </w:rPr>
        <w:t xml:space="preserve">. The ATE coefficient sits at </w:t>
      </w:r>
      <w:r>
        <w:rPr>
          <w:rFonts w:ascii="Times New Roman" w:hAnsi="Times New Roman" w:cs="Times New Roman"/>
          <w:noProof/>
        </w:rPr>
        <w:t xml:space="preserve">-1.28 hence the grand effect of Brexit on </w:t>
      </w:r>
      <w:r>
        <w:rPr>
          <w:rFonts w:ascii="Times New Roman" w:hAnsi="Times New Roman" w:cs="Times New Roman"/>
          <w:noProof/>
        </w:rPr>
        <w:lastRenderedPageBreak/>
        <w:t xml:space="preserve">applications was about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-1.28</m:t>
                </m:r>
              </m:sup>
            </m:sSup>
            <m:r>
              <w:rPr>
                <w:rFonts w:ascii="Cambria Math" w:eastAsia="Times New Roman" w:hAnsi="Cambria Math" w:cs="Times New Roman"/>
                <w:color w:val="000000"/>
              </w:rPr>
              <m:t>-1</m:t>
            </m:r>
          </m:e>
        </m:d>
        <m:r>
          <w:rPr>
            <w:rFonts w:ascii="Cambria Math" w:eastAsia="Times New Roman" w:hAnsi="Cambria Math" w:cs="Times New Roman"/>
            <w:color w:val="000000"/>
          </w:rPr>
          <m:t>×100=-72.19%</m:t>
        </m:r>
        <m:r>
          <w:rPr>
            <w:rStyle w:val="FootnoteReference"/>
            <w:rFonts w:ascii="Cambria Math" w:eastAsia="Times New Roman" w:hAnsi="Cambria Math" w:cs="Times New Roman"/>
            <w:i/>
            <w:color w:val="000000"/>
          </w:rPr>
          <w:footnoteReference w:id="1"/>
        </m:r>
      </m:oMath>
      <w:r>
        <w:rPr>
          <w:rFonts w:ascii="Times New Roman" w:eastAsiaTheme="minorEastAsia" w:hAnsi="Times New Roman" w:cs="Times New Roman"/>
          <w:noProof/>
          <w:color w:val="000000"/>
        </w:rPr>
        <w:t xml:space="preserve">. Notice that the implicated overral direct elasticity from here is the following: </w:t>
      </w:r>
    </w:p>
    <w:p w:rsidR="00DE4EE4" w:rsidRPr="00F47A46" w:rsidRDefault="00D8212D" w:rsidP="00DE4EE4">
      <w:pPr>
        <w:spacing w:line="360" w:lineRule="auto"/>
        <w:jc w:val="both"/>
        <w:rPr>
          <w:rFonts w:ascii="Times New Roman" w:eastAsiaTheme="minorEastAsia" w:hAnsi="Times New Roman" w:cs="Times New Roman"/>
          <w:noProof/>
          <w:color w:val="000000"/>
        </w:rPr>
      </w:pPr>
      <m:oMathPara>
        <m:oMath>
          <m:f>
            <m:fPr>
              <m:ctrlPr>
                <w:rPr>
                  <w:rFonts w:ascii="Cambria Math" w:eastAsiaTheme="minorEastAsia" w:hAnsi="Cambria Math" w:cs="Times New Roman"/>
                  <w:i/>
                  <w:noProof/>
                  <w:color w:val="000000"/>
                </w:rPr>
              </m:ctrlPr>
            </m:fPr>
            <m:num>
              <m:r>
                <w:rPr>
                  <w:rFonts w:ascii="Cambria Math" w:eastAsiaTheme="minorEastAsia" w:hAnsi="Cambria Math" w:cs="Times New Roman"/>
                  <w:noProof/>
                  <w:color w:val="000000"/>
                </w:rPr>
                <m:t>-72.19%</m:t>
              </m:r>
            </m:num>
            <m:den>
              <m:r>
                <w:rPr>
                  <w:rFonts w:ascii="Cambria Math" w:eastAsiaTheme="minorEastAsia" w:hAnsi="Cambria Math" w:cs="Times New Roman"/>
                  <w:noProof/>
                  <w:color w:val="000000"/>
                </w:rPr>
                <m:t>140%</m:t>
              </m:r>
            </m:den>
          </m:f>
          <m:r>
            <w:rPr>
              <w:rFonts w:ascii="Cambria Math" w:eastAsiaTheme="minorEastAsia" w:hAnsi="Cambria Math" w:cs="Times New Roman"/>
              <w:noProof/>
              <w:color w:val="000000"/>
            </w:rPr>
            <m:t>≈-0.52</m:t>
          </m:r>
        </m:oMath>
      </m:oMathPara>
    </w:p>
    <w:p w:rsidR="00DE4EE4" w:rsidRPr="00F47A46" w:rsidRDefault="00DE4EE4" w:rsidP="00DE4EE4">
      <w:pPr>
        <w:spacing w:line="360" w:lineRule="auto"/>
        <w:jc w:val="both"/>
        <w:rPr>
          <w:rFonts w:ascii="Times New Roman" w:eastAsiaTheme="minorEastAsia" w:hAnsi="Times New Roman" w:cs="Times New Roman"/>
          <w:noProof/>
          <w:color w:val="000000"/>
        </w:rPr>
      </w:pPr>
      <w:r>
        <w:rPr>
          <w:rFonts w:ascii="Times New Roman" w:eastAsiaTheme="minorEastAsia" w:hAnsi="Times New Roman" w:cs="Times New Roman"/>
          <w:noProof/>
          <w:color w:val="000000"/>
        </w:rPr>
        <w:t xml:space="preserve">However, after some simple agebra one can obtain the following formula for the direct elasticity: </w:t>
      </w:r>
    </w:p>
    <w:p w:rsidR="00DE4EE4" w:rsidRPr="00F47A46" w:rsidRDefault="00D8212D" w:rsidP="00DE4EE4">
      <w:pPr>
        <w:spacing w:line="360" w:lineRule="auto"/>
        <w:jc w:val="both"/>
        <w:rPr>
          <w:rFonts w:ascii="Times New Roman" w:eastAsiaTheme="minorEastAsia" w:hAnsi="Times New Roman" w:cs="Times New Roman"/>
          <w:noProof/>
          <w:color w:val="000000"/>
        </w:rPr>
      </w:pPr>
      <m:oMathPara>
        <m:oMath>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r>
                <w:rPr>
                  <w:rFonts w:ascii="Cambria Math" w:eastAsiaTheme="minorEastAsia" w:hAnsi="Cambria Math" w:cs="Times New Roman"/>
                  <w:noProof/>
                  <w:color w:val="000000"/>
                </w:rPr>
                <m:t>arc</m:t>
              </m:r>
            </m:sub>
          </m:sSub>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r>
                <m:rPr>
                  <m:sty m:val="p"/>
                </m:rPr>
                <w:rPr>
                  <w:rFonts w:ascii="Cambria Math" w:eastAsiaTheme="minorEastAsia" w:hAnsi="Cambria Math" w:cs="Times New Roman"/>
                  <w:noProof/>
                  <w:color w:val="000000"/>
                </w:rPr>
                <m:t>Δ</m:t>
              </m:r>
              <m:r>
                <w:rPr>
                  <w:rFonts w:ascii="Cambria Math" w:eastAsiaTheme="minorEastAsia" w:hAnsi="Cambria Math" w:cs="Times New Roman"/>
                  <w:noProof/>
                  <w:color w:val="000000"/>
                </w:rPr>
                <m:t>Q/Q</m:t>
              </m:r>
            </m:num>
            <m:den>
              <m:r>
                <m:rPr>
                  <m:sty m:val="p"/>
                </m:rPr>
                <w:rPr>
                  <w:rFonts w:ascii="Cambria Math" w:eastAsiaTheme="minorEastAsia" w:hAnsi="Cambria Math" w:cs="Times New Roman"/>
                  <w:noProof/>
                  <w:color w:val="000000"/>
                </w:rPr>
                <m:t>Δ</m:t>
              </m:r>
              <m:r>
                <w:rPr>
                  <w:rFonts w:ascii="Cambria Math" w:eastAsiaTheme="minorEastAsia" w:hAnsi="Cambria Math" w:cs="Times New Roman"/>
                  <w:noProof/>
                  <w:color w:val="000000"/>
                </w:rPr>
                <m:t>P/P</m:t>
              </m:r>
            </m:den>
          </m:f>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β</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oMath>
      </m:oMathPara>
    </w:p>
    <w:p w:rsidR="00DE4EE4" w:rsidRPr="00F47A46" w:rsidRDefault="00DE4EE4" w:rsidP="00DE4EE4">
      <w:pPr>
        <w:spacing w:line="360" w:lineRule="auto"/>
        <w:jc w:val="both"/>
        <w:rPr>
          <w:rFonts w:ascii="Times New Roman" w:eastAsiaTheme="minorEastAsia" w:hAnsi="Times New Roman" w:cs="Times New Roman"/>
          <w:noProof/>
          <w:color w:val="000000"/>
        </w:rPr>
      </w:pPr>
      <w:r>
        <w:rPr>
          <w:rFonts w:ascii="Times New Roman" w:eastAsiaTheme="minorEastAsia" w:hAnsi="Times New Roman" w:cs="Times New Roman"/>
          <w:noProof/>
          <w:color w:val="000000"/>
        </w:rPr>
        <w:t xml:space="preserve">where </w:t>
      </w:r>
      <m:oMath>
        <m:r>
          <w:rPr>
            <w:rFonts w:ascii="Cambria Math" w:eastAsiaTheme="minorEastAsia" w:hAnsi="Cambria Math" w:cs="Times New Roman"/>
            <w:noProof/>
            <w:color w:val="000000"/>
          </w:rPr>
          <m:t>k=</m:t>
        </m:r>
        <m:r>
          <m:rPr>
            <m:sty m:val="p"/>
          </m:rPr>
          <w:rPr>
            <w:rFonts w:ascii="Cambria Math" w:eastAsiaTheme="minorEastAsia" w:hAnsi="Cambria Math" w:cs="Times New Roman"/>
            <w:noProof/>
            <w:color w:val="000000"/>
          </w:rPr>
          <m:t>Δ</m:t>
        </m:r>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P</m:t>
            </m:r>
          </m:e>
        </m:func>
      </m:oMath>
      <w:r>
        <w:rPr>
          <w:rFonts w:ascii="Times New Roman" w:eastAsiaTheme="minorEastAsia" w:hAnsi="Times New Roman" w:cs="Times New Roman"/>
          <w:noProof/>
          <w:color w:val="000000"/>
        </w:rPr>
        <w:t xml:space="preserve"> and </w:t>
      </w:r>
      <m:oMath>
        <m:r>
          <w:rPr>
            <w:rFonts w:ascii="Cambria Math" w:eastAsiaTheme="minorEastAsia" w:hAnsi="Cambria Math" w:cs="Times New Roman"/>
            <w:noProof/>
            <w:color w:val="000000"/>
          </w:rPr>
          <m:t>β=</m:t>
        </m:r>
        <m:r>
          <m:rPr>
            <m:sty m:val="p"/>
          </m:rPr>
          <w:rPr>
            <w:rFonts w:ascii="Cambria Math" w:eastAsiaTheme="minorEastAsia" w:hAnsi="Cambria Math" w:cs="Times New Roman"/>
            <w:noProof/>
            <w:color w:val="000000"/>
          </w:rPr>
          <m:t>Δ</m:t>
        </m:r>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Q</m:t>
            </m:r>
          </m:e>
        </m:func>
      </m:oMath>
      <w:r>
        <w:rPr>
          <w:rFonts w:ascii="Times New Roman" w:eastAsiaTheme="minorEastAsia" w:hAnsi="Times New Roman" w:cs="Times New Roman"/>
          <w:noProof/>
          <w:color w:val="000000"/>
        </w:rPr>
        <w:t xml:space="preserve">. From earier equations we know that </w:t>
      </w:r>
      <m:oMath>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r>
              <w:rPr>
                <w:rFonts w:ascii="Cambria Math" w:eastAsiaTheme="minorEastAsia" w:hAnsi="Cambria Math" w:cs="Times New Roman"/>
                <w:noProof/>
                <w:color w:val="000000"/>
              </w:rPr>
              <m:t>β</m:t>
            </m:r>
          </m:num>
          <m:den>
            <m:r>
              <w:rPr>
                <w:rFonts w:ascii="Cambria Math" w:eastAsiaTheme="minorEastAsia" w:hAnsi="Cambria Math" w:cs="Times New Roman"/>
                <w:noProof/>
                <w:color w:val="000000"/>
              </w:rPr>
              <m:t>k</m:t>
            </m:r>
          </m:den>
        </m:f>
      </m:oMath>
      <w:r>
        <w:rPr>
          <w:rFonts w:ascii="Times New Roman" w:eastAsiaTheme="minorEastAsia" w:hAnsi="Times New Roman" w:cs="Times New Roman"/>
          <w:noProof/>
          <w:color w:val="000000"/>
        </w:rPr>
        <w:t xml:space="preserve">. Hence in the limit: </w:t>
      </w:r>
    </w:p>
    <w:p w:rsidR="00DE4EE4" w:rsidRPr="00F47A46" w:rsidRDefault="00D8212D" w:rsidP="00DE4EE4">
      <w:pPr>
        <w:spacing w:before="240" w:after="240" w:line="360" w:lineRule="auto"/>
        <w:jc w:val="both"/>
        <w:rPr>
          <w:rFonts w:ascii="Times New Roman" w:eastAsiaTheme="minorEastAsia" w:hAnsi="Times New Roman" w:cs="Times New Roman"/>
          <w:noProof/>
          <w:color w:val="000000"/>
        </w:rPr>
      </w:pPr>
      <m:oMathPara>
        <m:oMath>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r>
                    <w:rPr>
                      <w:rFonts w:ascii="Cambria Math" w:eastAsiaTheme="minorEastAsia" w:hAnsi="Cambria Math" w:cs="Times New Roman"/>
                      <w:noProof/>
                      <w:color w:val="000000"/>
                    </w:rPr>
                    <m:t>arc</m:t>
                  </m:r>
                </m:sub>
              </m:sSub>
            </m:e>
          </m:func>
          <m:r>
            <w:rPr>
              <w:rFonts w:ascii="Cambria Math" w:eastAsiaTheme="minorEastAsia" w:hAnsi="Cambria Math" w:cs="Times New Roman"/>
              <w:noProof/>
              <w:color w:val="000000"/>
            </w:rPr>
            <m:t>=</m:t>
          </m:r>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β</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e>
          </m:func>
          <m:r>
            <w:rPr>
              <w:rFonts w:ascii="Cambria Math" w:eastAsiaTheme="minorEastAsia" w:hAnsi="Cambria Math" w:cs="Times New Roman"/>
              <w:noProof/>
              <w:color w:val="000000"/>
            </w:rPr>
            <m:t>=</m:t>
          </m:r>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e>
          </m:func>
          <m:r>
            <w:rPr>
              <w:rFonts w:ascii="Cambria Math" w:eastAsiaTheme="minorEastAsia" w:hAnsi="Cambria Math" w:cs="Times New Roman"/>
              <w:noProof/>
              <w:color w:val="000000"/>
            </w:rPr>
            <m:t>=</m:t>
          </m:r>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oMath>
      </m:oMathPara>
    </w:p>
    <w:p w:rsidR="00DE4EE4" w:rsidRPr="00F47A46" w:rsidRDefault="00DE4EE4" w:rsidP="00DE4EE4">
      <w:pPr>
        <w:spacing w:line="360" w:lineRule="auto"/>
        <w:jc w:val="both"/>
        <w:rPr>
          <w:rFonts w:ascii="Times New Roman" w:hAnsi="Times New Roman" w:cs="Times New Roman"/>
          <w:iCs/>
        </w:rPr>
      </w:pPr>
      <w:r>
        <w:rPr>
          <w:rFonts w:ascii="Times New Roman" w:hAnsi="Times New Roman" w:cs="Times New Roman"/>
          <w:iCs/>
        </w:rPr>
        <w:t xml:space="preserve">the two elasticities equal each other </w:t>
      </w:r>
      <w:r>
        <w:rPr>
          <w:rFonts w:ascii="Times New Roman" w:hAnsi="Times New Roman" w:cs="Times New Roman"/>
          <w:b/>
          <w:iCs/>
        </w:rPr>
        <w:t xml:space="preserve">only when the price change is infinitesimally </w:t>
      </w:r>
      <w:r>
        <w:rPr>
          <w:rFonts w:ascii="Times New Roman" w:hAnsi="Times New Roman" w:cs="Times New Roman"/>
          <w:iCs/>
        </w:rPr>
        <w:t xml:space="preserve">small. </w:t>
      </w:r>
    </w:p>
    <w:p w:rsidR="00DE4EE4" w:rsidRPr="007850C0" w:rsidRDefault="00DE4EE4" w:rsidP="007850C0">
      <w:pPr>
        <w:spacing w:line="360" w:lineRule="auto"/>
        <w:ind w:firstLine="360"/>
        <w:jc w:val="both"/>
        <w:rPr>
          <w:rFonts w:ascii="Times New Roman" w:hAnsi="Times New Roman" w:cs="Times New Roman"/>
          <w:b/>
          <w:iCs/>
        </w:rPr>
      </w:pPr>
      <w:r>
        <w:rPr>
          <w:rFonts w:ascii="Times New Roman" w:hAnsi="Times New Roman" w:cs="Times New Roman"/>
        </w:rPr>
        <w:t xml:space="preserve">In the present application the tuition reform represents a very large discrete price change rather than a marginal adjustment. Consequently, the percentage-change calculation produces a chord (arc) estimate that averages the response over the entire price jump, while the log specification provides the elasticity implied by the estimated local slope of the demand curve. The elasticity derived from </w:t>
      </w:r>
      <m:oMath>
        <m:r>
          <w:rPr>
            <w:rFonts w:ascii="Cambria Math" w:hAnsi="Cambria Math" w:cs="Times New Roman"/>
          </w:rPr>
          <m:t>(β</m:t>
        </m:r>
        <m:r>
          <m:rPr>
            <m:sty m:val="p"/>
          </m:rPr>
          <w:rPr>
            <w:rFonts w:ascii="Cambria Math" w:hAnsi="Cambria Math" w:cs="Times New Roman"/>
          </w:rPr>
          <m:t>Δ</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m:t>
            </m:r>
          </m:e>
        </m:func>
      </m:oMath>
      <w:r>
        <w:rPr>
          <w:rFonts w:ascii="Times New Roman" w:hAnsi="Times New Roman" w:cs="Times New Roman"/>
        </w:rPr>
        <w:t xml:space="preserve">) therefore corresponds to the economically relevant demand elasticity because the exponential function is convex, the average slope across a large interval must be flatter than the tangent at the starting point. It follows that the smaller mechanical elasticity is actually </w:t>
      </w:r>
      <w:r>
        <w:rPr>
          <w:rStyle w:val="Strong"/>
          <w:rFonts w:ascii="Times New Roman" w:hAnsi="Times New Roman" w:cs="Times New Roman"/>
        </w:rPr>
        <w:t>biased downward by construction</w:t>
      </w:r>
      <w:r>
        <w:rPr>
          <w:rFonts w:ascii="Times New Roman" w:hAnsi="Times New Roman" w:cs="Times New Roman"/>
        </w:rPr>
        <w:t xml:space="preserve"> when the price change is large (fig x). This was easily observable on fig. 4.1. – 1. </w:t>
      </w:r>
    </w:p>
    <w:p w:rsidR="00DE4EE4" w:rsidRPr="001F60B1" w:rsidRDefault="00DE4EE4" w:rsidP="00DE4EE4">
      <w:pPr>
        <w:pStyle w:val="Caption"/>
        <w:keepNext/>
        <w:rPr>
          <w:rFonts w:ascii="Times New Roman" w:hAnsi="Times New Roman" w:cs="Times New Roman"/>
          <w:i w:val="0"/>
        </w:rPr>
      </w:pPr>
      <w:r>
        <w:rPr>
          <w:rFonts w:ascii="Times New Roman" w:hAnsi="Times New Roman" w:cs="Times New Roman"/>
          <w:b/>
          <w:i w:val="0"/>
        </w:rPr>
        <w:lastRenderedPageBreak/>
        <w:t xml:space="preserve">Figure </w:t>
      </w:r>
      <w:r>
        <w:rPr>
          <w:rFonts w:ascii="Times New Roman" w:hAnsi="Times New Roman" w:cs="Times New Roman"/>
          <w:b/>
          <w:i w:val="0"/>
        </w:rPr>
        <w:fldChar w:fldCharType="begin"/>
      </w:r>
      <w:r>
        <w:rPr>
          <w:rFonts w:ascii="Times New Roman" w:hAnsi="Times New Roman" w:cs="Times New Roman"/>
          <w:b/>
          <w:i w:val="0"/>
        </w:rPr>
        <w:instrText xml:space="preserve"> SEQ Figure \* ARABIC </w:instrText>
      </w:r>
      <w:r>
        <w:rPr>
          <w:rFonts w:ascii="Times New Roman" w:hAnsi="Times New Roman" w:cs="Times New Roman"/>
          <w:b/>
          <w:i w:val="0"/>
        </w:rPr>
        <w:fldChar w:fldCharType="separate"/>
      </w:r>
      <w:r>
        <w:rPr>
          <w:rFonts w:ascii="Times New Roman" w:hAnsi="Times New Roman" w:cs="Times New Roman"/>
          <w:b/>
          <w:i w:val="0"/>
          <w:noProof/>
        </w:rPr>
        <w:t>2</w:t>
      </w:r>
      <w:r>
        <w:rPr>
          <w:rFonts w:ascii="Times New Roman" w:hAnsi="Times New Roman" w:cs="Times New Roman"/>
          <w:b/>
          <w:i w:val="0"/>
        </w:rPr>
        <w:fldChar w:fldCharType="end"/>
      </w:r>
      <w:r>
        <w:rPr>
          <w:rFonts w:ascii="Times New Roman" w:hAnsi="Times New Roman" w:cs="Times New Roman"/>
          <w:b/>
          <w:i w:val="0"/>
        </w:rPr>
        <w:t>.</w:t>
      </w:r>
      <w:r>
        <w:rPr>
          <w:rFonts w:ascii="Times New Roman" w:hAnsi="Times New Roman" w:cs="Times New Roman"/>
          <w:i w:val="0"/>
        </w:rPr>
        <w:t xml:space="preserve"> </w:t>
      </w:r>
      <w:r>
        <w:rPr>
          <w:rStyle w:val="bzpyqfadein"/>
          <w:rFonts w:ascii="Times New Roman" w:hAnsi="Times New Roman" w:cs="Times New Roman"/>
          <w:i w:val="0"/>
        </w:rPr>
        <w:t>Constant-elasticity demand and alternative elasticity measures.</w:t>
      </w:r>
    </w:p>
    <w:p w:rsidR="00DE4EE4" w:rsidRDefault="00DE4EE4" w:rsidP="00DE4EE4">
      <w:pPr>
        <w:spacing w:line="360" w:lineRule="auto"/>
        <w:jc w:val="center"/>
        <w:rPr>
          <w:rFonts w:ascii="Times New Roman" w:hAnsi="Times New Roman" w:cs="Times New Roman"/>
          <w:iCs/>
        </w:rPr>
      </w:pPr>
      <w:r>
        <w:rPr>
          <w:rFonts w:ascii="Times New Roman" w:hAnsi="Times New Roman" w:cs="Times New Roman"/>
          <w:iCs/>
          <w:noProof/>
        </w:rPr>
        <w:drawing>
          <wp:inline distT="0" distB="0" distL="0" distR="0" wp14:anchorId="70B4FEE4" wp14:editId="6AA35E60">
            <wp:extent cx="4991100" cy="2906959"/>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100" cy="2906959"/>
                    </a:xfrm>
                    <a:prstGeom prst="rect">
                      <a:avLst/>
                    </a:prstGeom>
                  </pic:spPr>
                </pic:pic>
              </a:graphicData>
            </a:graphic>
          </wp:inline>
        </w:drawing>
      </w:r>
    </w:p>
    <w:p w:rsidR="008C12E6" w:rsidRPr="00645D9F" w:rsidRDefault="00DE4EE4" w:rsidP="00645D9F">
      <w:pPr>
        <w:spacing w:after="240"/>
        <w:jc w:val="both"/>
        <w:rPr>
          <w:rFonts w:ascii="Times New Roman" w:hAnsi="Times New Roman" w:cs="Times New Roman"/>
          <w:iCs/>
          <w:sz w:val="20"/>
        </w:rPr>
      </w:pPr>
      <w:r>
        <w:rPr>
          <w:rFonts w:ascii="Times New Roman" w:hAnsi="Times New Roman" w:cs="Times New Roman"/>
          <w:b/>
          <w:i/>
          <w:iCs/>
          <w:sz w:val="20"/>
        </w:rPr>
        <w:t>Note</w:t>
      </w:r>
      <w:r>
        <w:rPr>
          <w:rFonts w:ascii="Times New Roman" w:hAnsi="Times New Roman" w:cs="Times New Roman"/>
          <w:iCs/>
          <w:sz w:val="20"/>
        </w:rPr>
        <w:t>: Arc versus log elasticity under a large price change. The dashed line is the arc (secant) elasticity computed from percentage changes between two equilibria. The dotted line is the log elasticity (tangent), corresponding to the derivative ∂log(Q)/∂log(P). Because demand is nonlinear, a large discrete price increase implies the secant slope understates the local slope of demand, so |η</w:t>
      </w:r>
      <w:r>
        <w:rPr>
          <w:rFonts w:ascii="Times New Roman" w:hAnsi="Times New Roman" w:cs="Times New Roman"/>
          <w:iCs/>
          <w:sz w:val="20"/>
          <w:vertAlign w:val="subscript"/>
        </w:rPr>
        <w:t>arc</w:t>
      </w:r>
      <w:r>
        <w:rPr>
          <w:rFonts w:ascii="Times New Roman" w:hAnsi="Times New Roman" w:cs="Times New Roman"/>
          <w:iCs/>
          <w:sz w:val="20"/>
        </w:rPr>
        <w:t>| &lt; |η</w:t>
      </w:r>
      <w:r>
        <w:rPr>
          <w:rFonts w:ascii="Times New Roman" w:hAnsi="Times New Roman" w:cs="Times New Roman"/>
          <w:iCs/>
          <w:sz w:val="20"/>
          <w:vertAlign w:val="subscript"/>
        </w:rPr>
        <w:t>log</w:t>
      </w:r>
      <w:r>
        <w:rPr>
          <w:rFonts w:ascii="Times New Roman" w:hAnsi="Times New Roman" w:cs="Times New Roman"/>
          <w:iCs/>
          <w:sz w:val="20"/>
        </w:rPr>
        <w:t>|</w:t>
      </w:r>
    </w:p>
    <w:p w:rsidR="009F7DC7" w:rsidRPr="00DF7F76" w:rsidRDefault="00DF7F76" w:rsidP="009F7DC7">
      <w:pPr>
        <w:pStyle w:val="Heading1"/>
        <w:jc w:val="both"/>
        <w:rPr>
          <w:i/>
          <w:sz w:val="28"/>
          <w:szCs w:val="28"/>
        </w:rPr>
      </w:pPr>
      <w:r>
        <w:rPr>
          <w:i/>
          <w:sz w:val="28"/>
          <w:szCs w:val="28"/>
        </w:rPr>
        <w:t>Detailed regression tables for the main results</w:t>
      </w:r>
    </w:p>
    <w:tbl>
      <w:tblPr>
        <w:tblW w:w="9502" w:type="dxa"/>
        <w:tblInd w:w="-142" w:type="dxa"/>
        <w:tblLook w:val="04A0" w:firstRow="1" w:lastRow="0" w:firstColumn="1" w:lastColumn="0" w:noHBand="0" w:noVBand="1"/>
      </w:tblPr>
      <w:tblGrid>
        <w:gridCol w:w="2381"/>
        <w:gridCol w:w="1098"/>
        <w:gridCol w:w="1495"/>
        <w:gridCol w:w="1132"/>
        <w:gridCol w:w="1132"/>
        <w:gridCol w:w="1132"/>
        <w:gridCol w:w="1132"/>
      </w:tblGrid>
      <w:tr w:rsidR="00C1494F" w:rsidRPr="00C1494F" w:rsidTr="005743BA">
        <w:trPr>
          <w:trHeight w:val="288"/>
        </w:trPr>
        <w:tc>
          <w:tcPr>
            <w:tcW w:w="2381"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w:t>
            </w:r>
          </w:p>
        </w:tc>
        <w:tc>
          <w:tcPr>
            <w:tcW w:w="1098"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w:t>
            </w:r>
          </w:p>
        </w:tc>
        <w:tc>
          <w:tcPr>
            <w:tcW w:w="1495"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(III)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(VI)</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(Intercept)</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6.92***</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Austria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-1.03***</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Belgium</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-0.67***</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Bulgaria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Croatia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Cyprus (European Union)</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Czech Republic</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Denmark</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Estonia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Finland</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-1.89***</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-1.91***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France</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-0.68***</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Germany</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Greece</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Hungary</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Italy</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Latvia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-1.42***</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Lithuania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-1.48***</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-2.33***</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(0.25)</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(0.30)</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Luxembourg</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Malta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Netherlands</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-0.56***</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Poland</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Portugal</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-1.10*</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Romania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Slovakia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-1.64***</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Slovenia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-3.18***</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-1.44***</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Spain</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0.89***</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-0.66***</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Sweden</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log_GDPpc</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w:t>
            </w:r>
          </w:p>
        </w:tc>
      </w:tr>
      <w:tr w:rsidR="00C1494F" w:rsidRPr="00C1494F" w:rsidTr="005743BA">
        <w:trPr>
          <w:trHeight w:val="576"/>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log(Pop_working_age)</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(0.46)</w:t>
            </w:r>
          </w:p>
        </w:tc>
      </w:tr>
      <w:tr w:rsidR="00C1494F" w:rsidRPr="00C1494F" w:rsidTr="005743BA">
        <w:trPr>
          <w:trHeight w:val="576"/>
        </w:trPr>
        <w:tc>
          <w:tcPr>
            <w:tcW w:w="2381" w:type="dxa"/>
            <w:vMerge w:val="restart"/>
            <w:tcBorders>
              <w:top w:val="nil"/>
              <w:left w:val="nil"/>
              <w:bottom w:val="single" w:sz="4" w:space="0" w:color="000000"/>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YouthUnempl</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C1494F" w:rsidRPr="00C1494F" w:rsidTr="005743BA">
        <w:trPr>
          <w:trHeight w:val="288"/>
        </w:trPr>
        <w:tc>
          <w:tcPr>
            <w:tcW w:w="2381" w:type="dxa"/>
            <w:vMerge/>
            <w:tcBorders>
              <w:top w:val="nil"/>
              <w:left w:val="nil"/>
              <w:bottom w:val="single" w:sz="4" w:space="0" w:color="000000"/>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w:t>
            </w:r>
          </w:p>
        </w:tc>
      </w:tr>
      <w:tr w:rsidR="00C1494F" w:rsidRPr="00C1494F" w:rsidTr="005743BA">
        <w:trPr>
          <w:trHeight w:val="384"/>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Entity</w:t>
            </w:r>
          </w:p>
        </w:tc>
        <w:tc>
          <w:tcPr>
            <w:tcW w:w="1098"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NO</w:t>
            </w:r>
          </w:p>
        </w:tc>
        <w:tc>
          <w:tcPr>
            <w:tcW w:w="1495"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r>
      <w:tr w:rsidR="00C1494F" w:rsidRPr="00C1494F" w:rsidTr="005743BA">
        <w:trPr>
          <w:trHeight w:val="288"/>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Time </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NO</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NO</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YES</w:t>
            </w:r>
          </w:p>
        </w:tc>
      </w:tr>
      <w:tr w:rsidR="00C1494F" w:rsidRPr="00C1494F" w:rsidTr="005743BA">
        <w:trPr>
          <w:trHeight w:val="288"/>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Adj R sq </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0.98</w:t>
            </w:r>
          </w:p>
        </w:tc>
      </w:tr>
      <w:tr w:rsidR="00C1494F" w:rsidRPr="00C1494F" w:rsidTr="005743BA">
        <w:trPr>
          <w:trHeight w:val="288"/>
        </w:trPr>
        <w:tc>
          <w:tcPr>
            <w:tcW w:w="2381"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Within R sq. </w:t>
            </w:r>
          </w:p>
        </w:tc>
        <w:tc>
          <w:tcPr>
            <w:tcW w:w="1098"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95"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0.82</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0.80</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0.81</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w:t>
            </w:r>
          </w:p>
        </w:tc>
      </w:tr>
    </w:tbl>
    <w:p w:rsidR="009F7DC7" w:rsidRDefault="009F7DC7" w:rsidP="009F7DC7">
      <w:pPr>
        <w:jc w:val="both"/>
        <w:rPr>
          <w:rFonts w:ascii="Times New Roman" w:hAnsi="Times New Roman" w:cs="Times New Roman"/>
        </w:rPr>
      </w:pPr>
    </w:p>
    <w:tbl>
      <w:tblPr>
        <w:tblW w:w="5954" w:type="dxa"/>
        <w:jc w:val="center"/>
        <w:tblLook w:val="04A0" w:firstRow="1" w:lastRow="0" w:firstColumn="1" w:lastColumn="0" w:noHBand="0" w:noVBand="1"/>
      </w:tblPr>
      <w:tblGrid>
        <w:gridCol w:w="1864"/>
        <w:gridCol w:w="1964"/>
        <w:gridCol w:w="2126"/>
      </w:tblGrid>
      <w:tr w:rsidR="005743BA" w:rsidRPr="005743BA" w:rsidTr="005743BA">
        <w:trPr>
          <w:trHeight w:val="288"/>
          <w:jc w:val="center"/>
        </w:trPr>
        <w:tc>
          <w:tcPr>
            <w:tcW w:w="1864"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Country</w:t>
            </w:r>
          </w:p>
        </w:tc>
        <w:tc>
          <w:tcPr>
            <w:tcW w:w="1964"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COVID elasticities</w:t>
            </w:r>
          </w:p>
        </w:tc>
        <w:tc>
          <w:tcPr>
            <w:tcW w:w="2126"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Post-COVID</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Austria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Belgium</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Bulgaria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(0.42)</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Croatia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Cyprus</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(0.23)</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Czech Republic</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Denmark</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-1.18***</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Estonia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Finland</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-1.94***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France</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Germany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Greece</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(0.19)</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Hungary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(0.27)</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Italy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Latvia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Lithuania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(0.73)</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Luxembourg</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-0.57**</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Malta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Netherlands</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-0.63**</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Poland</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Portugal</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Romania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(0.38)</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Slovakia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Slovenia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Spain</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Sweden</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(0.20)</w:t>
            </w:r>
          </w:p>
        </w:tc>
      </w:tr>
      <w:tr w:rsidR="005743BA" w:rsidRPr="005743BA" w:rsidTr="005743BA">
        <w:trPr>
          <w:trHeight w:val="288"/>
          <w:jc w:val="center"/>
        </w:trPr>
        <w:tc>
          <w:tcPr>
            <w:tcW w:w="1864" w:type="dxa"/>
            <w:tcBorders>
              <w:top w:val="single" w:sz="4" w:space="0" w:color="auto"/>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Entity</w:t>
            </w:r>
          </w:p>
        </w:tc>
        <w:tc>
          <w:tcPr>
            <w:tcW w:w="4090" w:type="dxa"/>
            <w:gridSpan w:val="2"/>
            <w:tcBorders>
              <w:top w:val="single" w:sz="4" w:space="0" w:color="auto"/>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YES </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Time </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YES </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Obs. </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520</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Adj. R</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0.93</w:t>
            </w:r>
          </w:p>
        </w:tc>
      </w:tr>
      <w:tr w:rsidR="005743BA" w:rsidRPr="005743BA" w:rsidTr="005743BA">
        <w:trPr>
          <w:trHeight w:val="288"/>
          <w:jc w:val="center"/>
        </w:trPr>
        <w:tc>
          <w:tcPr>
            <w:tcW w:w="1864" w:type="dxa"/>
            <w:tcBorders>
              <w:top w:val="nil"/>
              <w:left w:val="nil"/>
              <w:bottom w:val="single" w:sz="4" w:space="0" w:color="auto"/>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Within R sq. </w:t>
            </w:r>
          </w:p>
        </w:tc>
        <w:tc>
          <w:tcPr>
            <w:tcW w:w="4090" w:type="dxa"/>
            <w:gridSpan w:val="2"/>
            <w:tcBorders>
              <w:top w:val="nil"/>
              <w:left w:val="nil"/>
              <w:bottom w:val="single" w:sz="4" w:space="0" w:color="auto"/>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0.56</w:t>
            </w:r>
          </w:p>
        </w:tc>
      </w:tr>
    </w:tbl>
    <w:p w:rsidR="009F7DC7" w:rsidRDefault="009F7DC7"/>
    <w:p w:rsidR="009F218E" w:rsidRPr="008C12E6" w:rsidRDefault="009F218E" w:rsidP="009F218E">
      <w:pPr>
        <w:spacing w:line="360" w:lineRule="auto"/>
        <w:jc w:val="both"/>
        <w:rPr>
          <w:rFonts w:ascii="Times New Roman" w:hAnsi="Times New Roman" w:cs="Times New Roman"/>
          <w:b/>
        </w:rPr>
      </w:pPr>
      <w:r>
        <w:rPr>
          <w:rFonts w:ascii="Times New Roman" w:hAnsi="Times New Roman" w:cs="Times New Roman"/>
          <w:b/>
        </w:rPr>
        <w:t>References</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Abadie, A., &amp; </w:t>
      </w:r>
      <w:proofErr w:type="spellStart"/>
      <w:r>
        <w:rPr>
          <w:rFonts w:ascii="Times New Roman" w:hAnsi="Times New Roman" w:cs="Times New Roman"/>
        </w:rPr>
        <w:t>Cattaneo</w:t>
      </w:r>
      <w:proofErr w:type="spellEnd"/>
      <w:r>
        <w:rPr>
          <w:rFonts w:ascii="Times New Roman" w:hAnsi="Times New Roman" w:cs="Times New Roman"/>
        </w:rPr>
        <w:t xml:space="preserve">, M. D. (2018). Econometric methods for program evaluation. </w:t>
      </w:r>
      <w:r>
        <w:rPr>
          <w:rStyle w:val="Emphasis"/>
          <w:rFonts w:ascii="Times New Roman" w:hAnsi="Times New Roman" w:cs="Times New Roman"/>
        </w:rPr>
        <w:t>Annual Review of Economics</w:t>
      </w:r>
      <w:r>
        <w:rPr>
          <w:rFonts w:ascii="Times New Roman" w:hAnsi="Times New Roman" w:cs="Times New Roman"/>
        </w:rPr>
        <w:t>, 10, 465–503. https://doi.org/10.1146/annurev-economics-080217-053402</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Bresnahan, T. F. (1982). The oligopoly solution concept is identified. </w:t>
      </w:r>
      <w:r>
        <w:rPr>
          <w:rStyle w:val="Emphasis"/>
          <w:rFonts w:ascii="Times New Roman" w:hAnsi="Times New Roman" w:cs="Times New Roman"/>
        </w:rPr>
        <w:t>Economics Letters</w:t>
      </w:r>
      <w:r>
        <w:rPr>
          <w:rFonts w:ascii="Times New Roman" w:hAnsi="Times New Roman" w:cs="Times New Roman"/>
        </w:rPr>
        <w:t>, 10(1–2), 87–92. https://doi.org/10.1016/0165-1765(82)90121-5</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Clifton-</w:t>
      </w:r>
      <w:proofErr w:type="spellStart"/>
      <w:r>
        <w:rPr>
          <w:rFonts w:ascii="Times New Roman" w:hAnsi="Times New Roman" w:cs="Times New Roman"/>
        </w:rPr>
        <w:t>Sprigg</w:t>
      </w:r>
      <w:proofErr w:type="spellEnd"/>
      <w:r>
        <w:rPr>
          <w:rFonts w:ascii="Times New Roman" w:hAnsi="Times New Roman" w:cs="Times New Roman"/>
        </w:rPr>
        <w:t xml:space="preserve">, J., Homburg, I., </w:t>
      </w:r>
      <w:proofErr w:type="spellStart"/>
      <w:r>
        <w:rPr>
          <w:rFonts w:ascii="Times New Roman" w:hAnsi="Times New Roman" w:cs="Times New Roman"/>
        </w:rPr>
        <w:t>Huyghe</w:t>
      </w:r>
      <w:proofErr w:type="spellEnd"/>
      <w:r>
        <w:rPr>
          <w:rFonts w:ascii="Times New Roman" w:hAnsi="Times New Roman" w:cs="Times New Roman"/>
        </w:rPr>
        <w:t xml:space="preserve">, A., &amp; </w:t>
      </w:r>
      <w:proofErr w:type="spellStart"/>
      <w:r>
        <w:rPr>
          <w:rFonts w:ascii="Times New Roman" w:hAnsi="Times New Roman" w:cs="Times New Roman"/>
        </w:rPr>
        <w:t>Vujić</w:t>
      </w:r>
      <w:proofErr w:type="spellEnd"/>
      <w:r>
        <w:rPr>
          <w:rFonts w:ascii="Times New Roman" w:hAnsi="Times New Roman" w:cs="Times New Roman"/>
        </w:rPr>
        <w:t xml:space="preserve">, S. (2025). </w:t>
      </w:r>
      <w:r>
        <w:rPr>
          <w:rStyle w:val="Emphasis"/>
          <w:rFonts w:ascii="Times New Roman" w:hAnsi="Times New Roman" w:cs="Times New Roman"/>
        </w:rPr>
        <w:t>International student migration: Did Brexit close the door to EU students?</w:t>
      </w:r>
      <w:r>
        <w:rPr>
          <w:rFonts w:ascii="Times New Roman" w:hAnsi="Times New Roman" w:cs="Times New Roman"/>
        </w:rPr>
        <w:t xml:space="preserve"> (IZA Discussion Paper No. 18178). IZA Institute of Labor Economics.</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Driscoll, J. C., &amp; </w:t>
      </w:r>
      <w:proofErr w:type="spellStart"/>
      <w:r>
        <w:rPr>
          <w:rFonts w:ascii="Times New Roman" w:hAnsi="Times New Roman" w:cs="Times New Roman"/>
        </w:rPr>
        <w:t>Kraay</w:t>
      </w:r>
      <w:proofErr w:type="spellEnd"/>
      <w:r>
        <w:rPr>
          <w:rFonts w:ascii="Times New Roman" w:hAnsi="Times New Roman" w:cs="Times New Roman"/>
        </w:rPr>
        <w:t xml:space="preserve">, A. C. (1998). Consistent covariance matrix estimation with spatially dependent panel data. </w:t>
      </w:r>
      <w:r>
        <w:rPr>
          <w:rStyle w:val="Emphasis"/>
          <w:rFonts w:ascii="Times New Roman" w:hAnsi="Times New Roman" w:cs="Times New Roman"/>
        </w:rPr>
        <w:t>Review of Economics and Statistics</w:t>
      </w:r>
      <w:r>
        <w:rPr>
          <w:rFonts w:ascii="Times New Roman" w:hAnsi="Times New Roman" w:cs="Times New Roman"/>
        </w:rPr>
        <w:t>, 80(4), 549–560. https://doi.org/10.1162/003465398557825</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Imai, K., &amp; Kim, I. S. (2020). When should we use unit fixed effects regression models for causal inference with longitudinal data? </w:t>
      </w:r>
      <w:r>
        <w:rPr>
          <w:rStyle w:val="Emphasis"/>
          <w:rFonts w:ascii="Times New Roman" w:hAnsi="Times New Roman" w:cs="Times New Roman"/>
        </w:rPr>
        <w:t>American Journal of Political Science</w:t>
      </w:r>
      <w:r>
        <w:rPr>
          <w:rFonts w:ascii="Times New Roman" w:hAnsi="Times New Roman" w:cs="Times New Roman"/>
        </w:rPr>
        <w:t>, 64(3), 637–658. https://doi.org/10.1111/ajps.12417</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lastRenderedPageBreak/>
        <w:t>Montero-</w:t>
      </w:r>
      <w:proofErr w:type="spellStart"/>
      <w:r>
        <w:rPr>
          <w:rFonts w:ascii="Times New Roman" w:hAnsi="Times New Roman" w:cs="Times New Roman"/>
        </w:rPr>
        <w:t>Manso</w:t>
      </w:r>
      <w:proofErr w:type="spellEnd"/>
      <w:r>
        <w:rPr>
          <w:rFonts w:ascii="Times New Roman" w:hAnsi="Times New Roman" w:cs="Times New Roman"/>
        </w:rPr>
        <w:t xml:space="preserve">, P., &amp; Hyndman, R. J. (2021). Principles and algorithms for forecasting groups of time series: Locality and globality. </w:t>
      </w:r>
      <w:r>
        <w:rPr>
          <w:rStyle w:val="Emphasis"/>
          <w:rFonts w:ascii="Times New Roman" w:hAnsi="Times New Roman" w:cs="Times New Roman"/>
        </w:rPr>
        <w:t>International Journal of Forecasting</w:t>
      </w:r>
      <w:r>
        <w:rPr>
          <w:rFonts w:ascii="Times New Roman" w:hAnsi="Times New Roman" w:cs="Times New Roman"/>
        </w:rPr>
        <w:t>, 37(4), 1632–1653. https://doi.org/10.1016/j.ijforecast.2021.03.004</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Rosenbaum, P. R., &amp; Rubin, D. B. (1985). Constructing a control group using multivariate matched sampling methods. </w:t>
      </w:r>
      <w:r>
        <w:rPr>
          <w:rStyle w:val="Emphasis"/>
          <w:rFonts w:ascii="Times New Roman" w:hAnsi="Times New Roman" w:cs="Times New Roman"/>
        </w:rPr>
        <w:t>The American Statistician</w:t>
      </w:r>
      <w:r>
        <w:rPr>
          <w:rFonts w:ascii="Times New Roman" w:hAnsi="Times New Roman" w:cs="Times New Roman"/>
        </w:rPr>
        <w:t>, 39(1), 33–38. https://doi.org/10.2307/2683903</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Stuart, E. A. (2010). Matching methods for causal inference: A review and a look forward. </w:t>
      </w:r>
      <w:r>
        <w:rPr>
          <w:rStyle w:val="Emphasis"/>
          <w:rFonts w:ascii="Times New Roman" w:hAnsi="Times New Roman" w:cs="Times New Roman"/>
        </w:rPr>
        <w:t>Statistical Science</w:t>
      </w:r>
      <w:r>
        <w:rPr>
          <w:rFonts w:ascii="Times New Roman" w:hAnsi="Times New Roman" w:cs="Times New Roman"/>
        </w:rPr>
        <w:t>, 25(1), 1–21. https://doi.org/10.1214/09-STS313</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UK Government. (n.d.-a). </w:t>
      </w:r>
      <w:r>
        <w:rPr>
          <w:rStyle w:val="Emphasis"/>
          <w:rFonts w:ascii="Times New Roman" w:hAnsi="Times New Roman" w:cs="Times New Roman"/>
        </w:rPr>
        <w:t>Repaying your student loan: What you pay</w:t>
      </w:r>
      <w:r>
        <w:rPr>
          <w:rFonts w:ascii="Times New Roman" w:hAnsi="Times New Roman" w:cs="Times New Roman"/>
        </w:rPr>
        <w:t>. GOV.UK. https://www.gov.uk/repaying-your-student-loan/what-you-pay</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UK Government. (n.d.-b). </w:t>
      </w:r>
      <w:r>
        <w:rPr>
          <w:rStyle w:val="Emphasis"/>
          <w:rFonts w:ascii="Times New Roman" w:hAnsi="Times New Roman" w:cs="Times New Roman"/>
        </w:rPr>
        <w:t>When your student loan gets written off or cancelled</w:t>
      </w:r>
      <w:r>
        <w:rPr>
          <w:rFonts w:ascii="Times New Roman" w:hAnsi="Times New Roman" w:cs="Times New Roman"/>
        </w:rPr>
        <w:t>. GOV.UK. https://www.gov.uk/repaying-your-student-loan/when-your-student-loan-gets-written-off</w:t>
      </w:r>
    </w:p>
    <w:p w:rsidR="009F218E" w:rsidRPr="008C12E6" w:rsidRDefault="009F218E" w:rsidP="009F218E">
      <w:pPr>
        <w:spacing w:line="360" w:lineRule="auto"/>
        <w:ind w:left="720" w:hanging="720"/>
        <w:jc w:val="both"/>
        <w:rPr>
          <w:rFonts w:ascii="Times New Roman" w:hAnsi="Times New Roman" w:cs="Times New Roman"/>
        </w:rPr>
      </w:pPr>
      <w:r>
        <w:rPr>
          <w:rFonts w:ascii="Times New Roman" w:hAnsi="Times New Roman" w:cs="Times New Roman"/>
        </w:rPr>
        <w:t xml:space="preserve">UK Government. (n.d.-c). </w:t>
      </w:r>
      <w:r>
        <w:rPr>
          <w:rStyle w:val="Emphasis"/>
          <w:rFonts w:ascii="Times New Roman" w:hAnsi="Times New Roman" w:cs="Times New Roman"/>
        </w:rPr>
        <w:t>How interest is calculated (Plan 2)</w:t>
      </w:r>
      <w:r>
        <w:rPr>
          <w:rFonts w:ascii="Times New Roman" w:hAnsi="Times New Roman" w:cs="Times New Roman"/>
        </w:rPr>
        <w:t>. GOV.UK. https://www.gov.uk/guidance/how-interest-is-calculated-plan-2</w:t>
      </w:r>
    </w:p>
    <w:p w:rsidR="009F218E" w:rsidRDefault="009F218E"/>
    <w:sectPr w:rsidR="009F2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212D" w:rsidRDefault="00D8212D" w:rsidP="00DE4EE4">
      <w:pPr>
        <w:spacing w:after="0" w:line="240" w:lineRule="auto"/>
      </w:pPr>
      <w:r>
        <w:separator/>
      </w:r>
    </w:p>
  </w:endnote>
  <w:endnote w:type="continuationSeparator" w:id="0">
    <w:p w:rsidR="00D8212D" w:rsidRDefault="00D8212D" w:rsidP="00DE4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212D" w:rsidRDefault="00D8212D" w:rsidP="00DE4EE4">
      <w:pPr>
        <w:spacing w:after="0" w:line="240" w:lineRule="auto"/>
      </w:pPr>
      <w:r>
        <w:separator/>
      </w:r>
    </w:p>
  </w:footnote>
  <w:footnote w:type="continuationSeparator" w:id="0">
    <w:p w:rsidR="00D8212D" w:rsidRDefault="00D8212D" w:rsidP="00DE4EE4">
      <w:pPr>
        <w:spacing w:after="0" w:line="240" w:lineRule="auto"/>
      </w:pPr>
      <w:r>
        <w:continuationSeparator/>
      </w:r>
    </w:p>
  </w:footnote>
  <w:footnote w:id="1">
    <w:p w:rsidR="009A20EB" w:rsidRDefault="009A20EB" w:rsidP="00DE4EE4">
      <w:pPr>
        <w:pStyle w:val="FootnoteText"/>
        <w:jc w:val="both"/>
      </w:pPr>
      <w:r>
        <w:rPr>
          <w:rStyle w:val="FootnoteReference"/>
        </w:rPr>
        <w:footnoteRef/>
      </w:r>
      <w:r>
        <w:t xml:space="preserve"> </w:t>
      </w:r>
      <w:r w:rsidRPr="0065303F">
        <w:rPr>
          <w:rFonts w:ascii="Times New Roman" w:hAnsi="Times New Roman" w:cs="Times New Roman"/>
        </w:rPr>
        <w:t xml:space="preserve">The number is about 15% larger compared to effect estimated by </w:t>
      </w:r>
      <w:r w:rsidRPr="0065303F">
        <w:rPr>
          <w:rFonts w:ascii="Times New Roman" w:eastAsia="Times New Roman" w:hAnsi="Times New Roman" w:cs="Times New Roman"/>
          <w:kern w:val="0"/>
          <w:lang w:eastAsia="en-GB"/>
          <w14:ligatures w14:val="none"/>
        </w:rPr>
        <w:t>Clifton-Sprigg et al. (2025) primarily due to sample composition and annual coverage (our samples covers the years up to 2024, while Clifton-Sprigg et al. (2025) only up to 2022, and we restricted the period from 2015 to 2024, while they use the full span from 2006 to 2024).</w:t>
      </w:r>
      <w:r>
        <w:rPr>
          <w:rFonts w:eastAsia="Times New Roman" w:cstheme="minorHAnsi"/>
          <w:kern w:val="0"/>
          <w:lang w:eastAsia="en-GB"/>
          <w14:ligatures w14:val="none"/>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35D3420"/>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26"/>
  </w:num>
  <w:num w:numId="4">
    <w:abstractNumId w:val="15"/>
  </w:num>
  <w:num w:numId="5">
    <w:abstractNumId w:val="19"/>
  </w:num>
  <w:num w:numId="6">
    <w:abstractNumId w:val="24"/>
  </w:num>
  <w:num w:numId="7">
    <w:abstractNumId w:val="3"/>
  </w:num>
  <w:num w:numId="8">
    <w:abstractNumId w:val="20"/>
  </w:num>
  <w:num w:numId="9">
    <w:abstractNumId w:val="33"/>
  </w:num>
  <w:num w:numId="10">
    <w:abstractNumId w:val="23"/>
  </w:num>
  <w:num w:numId="11">
    <w:abstractNumId w:val="30"/>
  </w:num>
  <w:num w:numId="12">
    <w:abstractNumId w:val="1"/>
  </w:num>
  <w:num w:numId="13">
    <w:abstractNumId w:val="29"/>
  </w:num>
  <w:num w:numId="14">
    <w:abstractNumId w:val="6"/>
  </w:num>
  <w:num w:numId="15">
    <w:abstractNumId w:val="16"/>
  </w:num>
  <w:num w:numId="16">
    <w:abstractNumId w:val="28"/>
  </w:num>
  <w:num w:numId="17">
    <w:abstractNumId w:val="9"/>
  </w:num>
  <w:num w:numId="18">
    <w:abstractNumId w:val="5"/>
  </w:num>
  <w:num w:numId="19">
    <w:abstractNumId w:val="27"/>
  </w:num>
  <w:num w:numId="20">
    <w:abstractNumId w:val="32"/>
  </w:num>
  <w:num w:numId="21">
    <w:abstractNumId w:val="12"/>
  </w:num>
  <w:num w:numId="22">
    <w:abstractNumId w:val="17"/>
  </w:num>
  <w:num w:numId="23">
    <w:abstractNumId w:val="2"/>
  </w:num>
  <w:num w:numId="24">
    <w:abstractNumId w:val="18"/>
  </w:num>
  <w:num w:numId="25">
    <w:abstractNumId w:val="25"/>
  </w:num>
  <w:num w:numId="26">
    <w:abstractNumId w:val="7"/>
  </w:num>
  <w:num w:numId="27">
    <w:abstractNumId w:val="31"/>
  </w:num>
  <w:num w:numId="28">
    <w:abstractNumId w:val="22"/>
  </w:num>
  <w:num w:numId="29">
    <w:abstractNumId w:val="21"/>
  </w:num>
  <w:num w:numId="30">
    <w:abstractNumId w:val="13"/>
  </w:num>
  <w:num w:numId="31">
    <w:abstractNumId w:val="4"/>
  </w:num>
  <w:num w:numId="32">
    <w:abstractNumId w:val="14"/>
  </w:num>
  <w:num w:numId="33">
    <w:abstractNumId w:val="10"/>
  </w:num>
  <w:num w:numId="34">
    <w:abstractNumId w:val="8"/>
  </w:num>
  <w:num w:numId="35">
    <w:abstractNumId w:val="8"/>
  </w:num>
  <w:num w:numId="36">
    <w:abstractNumId w:val="8"/>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C7"/>
    <w:rsid w:val="001022CC"/>
    <w:rsid w:val="0024509D"/>
    <w:rsid w:val="00346666"/>
    <w:rsid w:val="003B65E4"/>
    <w:rsid w:val="004B4298"/>
    <w:rsid w:val="005743BA"/>
    <w:rsid w:val="00645D9F"/>
    <w:rsid w:val="0075037F"/>
    <w:rsid w:val="007850C0"/>
    <w:rsid w:val="0079706B"/>
    <w:rsid w:val="008C12E6"/>
    <w:rsid w:val="0098270D"/>
    <w:rsid w:val="0099201D"/>
    <w:rsid w:val="009A20EB"/>
    <w:rsid w:val="009F218E"/>
    <w:rsid w:val="009F7DC7"/>
    <w:rsid w:val="00A30CAF"/>
    <w:rsid w:val="00A556E8"/>
    <w:rsid w:val="00A72EB9"/>
    <w:rsid w:val="00B759E0"/>
    <w:rsid w:val="00C1494F"/>
    <w:rsid w:val="00C3400B"/>
    <w:rsid w:val="00D8212D"/>
    <w:rsid w:val="00DE4EE4"/>
    <w:rsid w:val="00DF7F76"/>
    <w:rsid w:val="00E33ED7"/>
    <w:rsid w:val="00E92493"/>
    <w:rsid w:val="00F25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C190"/>
  <w15:chartTrackingRefBased/>
  <w15:docId w15:val="{935A02FE-928E-45C1-A89D-1F26E719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F7DC7"/>
    <w:pPr>
      <w:numPr>
        <w:numId w:val="34"/>
      </w:num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F7DC7"/>
    <w:pPr>
      <w:numPr>
        <w:ilvl w:val="1"/>
        <w:numId w:val="34"/>
      </w:num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9F7DC7"/>
    <w:pPr>
      <w:keepNext/>
      <w:keepLines/>
      <w:numPr>
        <w:ilvl w:val="2"/>
        <w:numId w:val="34"/>
      </w:numPr>
      <w:spacing w:before="40" w:after="0" w:line="240" w:lineRule="auto"/>
      <w:outlineLvl w:val="2"/>
    </w:pPr>
    <w:rPr>
      <w:rFonts w:asciiTheme="majorHAnsi" w:eastAsiaTheme="majorEastAsia" w:hAnsiTheme="majorHAnsi" w:cstheme="majorBidi"/>
      <w:color w:val="1F3763" w:themeColor="accent1" w:themeShade="7F"/>
      <w:kern w:val="2"/>
      <w:sz w:val="24"/>
      <w:szCs w:val="24"/>
      <w14:ligatures w14:val="standardContextual"/>
    </w:rPr>
  </w:style>
  <w:style w:type="paragraph" w:styleId="Heading4">
    <w:name w:val="heading 4"/>
    <w:basedOn w:val="Normal"/>
    <w:next w:val="Normal"/>
    <w:link w:val="Heading4Char"/>
    <w:uiPriority w:val="9"/>
    <w:semiHidden/>
    <w:unhideWhenUsed/>
    <w:qFormat/>
    <w:rsid w:val="00645D9F"/>
    <w:pPr>
      <w:keepNext/>
      <w:keepLines/>
      <w:numPr>
        <w:ilvl w:val="3"/>
        <w:numId w:val="3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5D9F"/>
    <w:pPr>
      <w:keepNext/>
      <w:keepLines/>
      <w:numPr>
        <w:ilvl w:val="4"/>
        <w:numId w:val="3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5D9F"/>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45D9F"/>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45D9F"/>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5D9F"/>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C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F7DC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F7DC7"/>
    <w:rPr>
      <w:rFonts w:asciiTheme="majorHAnsi" w:eastAsiaTheme="majorEastAsia" w:hAnsiTheme="majorHAnsi" w:cstheme="majorBidi"/>
      <w:color w:val="1F3763" w:themeColor="accent1" w:themeShade="7F"/>
      <w:kern w:val="2"/>
      <w:sz w:val="24"/>
      <w:szCs w:val="24"/>
      <w14:ligatures w14:val="standardContextual"/>
    </w:rPr>
  </w:style>
  <w:style w:type="table" w:customStyle="1" w:styleId="Style1">
    <w:name w:val="Style1"/>
    <w:basedOn w:val="TableWeb3"/>
    <w:uiPriority w:val="99"/>
    <w:rsid w:val="009F7DC7"/>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9F7DC7"/>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9F7D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F7DC7"/>
    <w:rPr>
      <w:b/>
      <w:bCs/>
    </w:rPr>
  </w:style>
  <w:style w:type="character" w:styleId="Emphasis">
    <w:name w:val="Emphasis"/>
    <w:basedOn w:val="DefaultParagraphFont"/>
    <w:uiPriority w:val="20"/>
    <w:qFormat/>
    <w:rsid w:val="009F7DC7"/>
    <w:rPr>
      <w:i/>
      <w:iCs/>
    </w:rPr>
  </w:style>
  <w:style w:type="paragraph" w:styleId="HTMLPreformatted">
    <w:name w:val="HTML Preformatted"/>
    <w:basedOn w:val="Normal"/>
    <w:link w:val="HTMLPreformattedChar"/>
    <w:uiPriority w:val="99"/>
    <w:semiHidden/>
    <w:unhideWhenUsed/>
    <w:rsid w:val="009F7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F7DC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9F7DC7"/>
    <w:rPr>
      <w:rFonts w:ascii="Courier New" w:eastAsia="Times New Roman" w:hAnsi="Courier New" w:cs="Courier New"/>
      <w:sz w:val="20"/>
      <w:szCs w:val="20"/>
    </w:rPr>
  </w:style>
  <w:style w:type="character" w:styleId="PlaceholderText">
    <w:name w:val="Placeholder Text"/>
    <w:basedOn w:val="DefaultParagraphFont"/>
    <w:uiPriority w:val="99"/>
    <w:semiHidden/>
    <w:rsid w:val="009F7DC7"/>
    <w:rPr>
      <w:color w:val="666666"/>
    </w:rPr>
  </w:style>
  <w:style w:type="character" w:customStyle="1" w:styleId="katex-mathml">
    <w:name w:val="katex-mathml"/>
    <w:basedOn w:val="DefaultParagraphFont"/>
    <w:rsid w:val="009F7DC7"/>
  </w:style>
  <w:style w:type="character" w:customStyle="1" w:styleId="mord">
    <w:name w:val="mord"/>
    <w:basedOn w:val="DefaultParagraphFont"/>
    <w:rsid w:val="009F7DC7"/>
  </w:style>
  <w:style w:type="character" w:customStyle="1" w:styleId="vlist-s">
    <w:name w:val="vlist-s"/>
    <w:basedOn w:val="DefaultParagraphFont"/>
    <w:rsid w:val="009F7DC7"/>
  </w:style>
  <w:style w:type="character" w:customStyle="1" w:styleId="mopen">
    <w:name w:val="mopen"/>
    <w:basedOn w:val="DefaultParagraphFont"/>
    <w:rsid w:val="009F7DC7"/>
  </w:style>
  <w:style w:type="character" w:customStyle="1" w:styleId="mpunct">
    <w:name w:val="mpunct"/>
    <w:basedOn w:val="DefaultParagraphFont"/>
    <w:rsid w:val="009F7DC7"/>
  </w:style>
  <w:style w:type="character" w:customStyle="1" w:styleId="mbin">
    <w:name w:val="mbin"/>
    <w:basedOn w:val="DefaultParagraphFont"/>
    <w:rsid w:val="009F7DC7"/>
  </w:style>
  <w:style w:type="character" w:customStyle="1" w:styleId="mclose">
    <w:name w:val="mclose"/>
    <w:basedOn w:val="DefaultParagraphFont"/>
    <w:rsid w:val="009F7DC7"/>
  </w:style>
  <w:style w:type="paragraph" w:styleId="ListParagraph">
    <w:name w:val="List Paragraph"/>
    <w:basedOn w:val="Normal"/>
    <w:uiPriority w:val="34"/>
    <w:qFormat/>
    <w:rsid w:val="009F7DC7"/>
    <w:pPr>
      <w:spacing w:after="0" w:line="240" w:lineRule="auto"/>
      <w:ind w:left="720"/>
      <w:contextualSpacing/>
    </w:pPr>
    <w:rPr>
      <w:kern w:val="2"/>
      <w:sz w:val="24"/>
      <w:szCs w:val="24"/>
      <w14:ligatures w14:val="standardContextual"/>
    </w:rPr>
  </w:style>
  <w:style w:type="character" w:customStyle="1" w:styleId="mop">
    <w:name w:val="mop"/>
    <w:basedOn w:val="DefaultParagraphFont"/>
    <w:rsid w:val="009F7DC7"/>
  </w:style>
  <w:style w:type="character" w:customStyle="1" w:styleId="mrel">
    <w:name w:val="mrel"/>
    <w:basedOn w:val="DefaultParagraphFont"/>
    <w:rsid w:val="009F7DC7"/>
  </w:style>
  <w:style w:type="table" w:styleId="TableGrid">
    <w:name w:val="Table Grid"/>
    <w:basedOn w:val="TableNormal"/>
    <w:uiPriority w:val="39"/>
    <w:rsid w:val="009F7DC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DC7"/>
    <w:rPr>
      <w:color w:val="0563C1" w:themeColor="hyperlink"/>
      <w:u w:val="single"/>
    </w:rPr>
  </w:style>
  <w:style w:type="character" w:styleId="UnresolvedMention">
    <w:name w:val="Unresolved Mention"/>
    <w:basedOn w:val="DefaultParagraphFont"/>
    <w:uiPriority w:val="99"/>
    <w:semiHidden/>
    <w:unhideWhenUsed/>
    <w:rsid w:val="009F7DC7"/>
    <w:rPr>
      <w:color w:val="605E5C"/>
      <w:shd w:val="clear" w:color="auto" w:fill="E1DFDD"/>
    </w:rPr>
  </w:style>
  <w:style w:type="character" w:styleId="CommentReference">
    <w:name w:val="annotation reference"/>
    <w:basedOn w:val="DefaultParagraphFont"/>
    <w:uiPriority w:val="99"/>
    <w:semiHidden/>
    <w:unhideWhenUsed/>
    <w:rsid w:val="009F7DC7"/>
    <w:rPr>
      <w:sz w:val="16"/>
      <w:szCs w:val="16"/>
    </w:rPr>
  </w:style>
  <w:style w:type="paragraph" w:styleId="CommentText">
    <w:name w:val="annotation text"/>
    <w:basedOn w:val="Normal"/>
    <w:link w:val="CommentTextChar"/>
    <w:uiPriority w:val="99"/>
    <w:semiHidden/>
    <w:unhideWhenUsed/>
    <w:rsid w:val="009F7DC7"/>
    <w:pPr>
      <w:spacing w:after="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semiHidden/>
    <w:rsid w:val="009F7DC7"/>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F7DC7"/>
    <w:rPr>
      <w:b/>
      <w:bCs/>
    </w:rPr>
  </w:style>
  <w:style w:type="character" w:customStyle="1" w:styleId="CommentSubjectChar">
    <w:name w:val="Comment Subject Char"/>
    <w:basedOn w:val="CommentTextChar"/>
    <w:link w:val="CommentSubject"/>
    <w:uiPriority w:val="99"/>
    <w:semiHidden/>
    <w:rsid w:val="009F7DC7"/>
    <w:rPr>
      <w:b/>
      <w:bCs/>
      <w:kern w:val="2"/>
      <w:sz w:val="20"/>
      <w:szCs w:val="20"/>
      <w14:ligatures w14:val="standardContextual"/>
    </w:rPr>
  </w:style>
  <w:style w:type="paragraph" w:styleId="BalloonText">
    <w:name w:val="Balloon Text"/>
    <w:basedOn w:val="Normal"/>
    <w:link w:val="BalloonTextChar"/>
    <w:uiPriority w:val="99"/>
    <w:semiHidden/>
    <w:unhideWhenUsed/>
    <w:rsid w:val="009F7DC7"/>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9F7DC7"/>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9F7DC7"/>
    <w:rPr>
      <w:color w:val="954F72" w:themeColor="followedHyperlink"/>
      <w:u w:val="single"/>
    </w:rPr>
  </w:style>
  <w:style w:type="character" w:customStyle="1" w:styleId="relative">
    <w:name w:val="relative"/>
    <w:basedOn w:val="DefaultParagraphFont"/>
    <w:rsid w:val="009F7DC7"/>
  </w:style>
  <w:style w:type="paragraph" w:customStyle="1" w:styleId="not-prose">
    <w:name w:val="not-prose"/>
    <w:basedOn w:val="Normal"/>
    <w:rsid w:val="009F7DC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9F7DC7"/>
  </w:style>
  <w:style w:type="character" w:customStyle="1" w:styleId="apple-converted-space">
    <w:name w:val="apple-converted-space"/>
    <w:basedOn w:val="DefaultParagraphFont"/>
    <w:rsid w:val="009F7DC7"/>
  </w:style>
  <w:style w:type="paragraph" w:customStyle="1" w:styleId="p2">
    <w:name w:val="p2"/>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2">
    <w:name w:val="s2"/>
    <w:basedOn w:val="DefaultParagraphFont"/>
    <w:rsid w:val="009F7DC7"/>
  </w:style>
  <w:style w:type="paragraph" w:customStyle="1" w:styleId="p3">
    <w:name w:val="p3"/>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3">
    <w:name w:val="s3"/>
    <w:basedOn w:val="DefaultParagraphFont"/>
    <w:rsid w:val="009F7DC7"/>
  </w:style>
  <w:style w:type="character" w:customStyle="1" w:styleId="s4">
    <w:name w:val="s4"/>
    <w:basedOn w:val="DefaultParagraphFont"/>
    <w:rsid w:val="009F7DC7"/>
  </w:style>
  <w:style w:type="paragraph" w:styleId="Caption">
    <w:name w:val="caption"/>
    <w:basedOn w:val="Normal"/>
    <w:next w:val="Normal"/>
    <w:uiPriority w:val="35"/>
    <w:unhideWhenUsed/>
    <w:qFormat/>
    <w:rsid w:val="009F7DC7"/>
    <w:pPr>
      <w:spacing w:after="200" w:line="240" w:lineRule="auto"/>
    </w:pPr>
    <w:rPr>
      <w:i/>
      <w:iCs/>
      <w:color w:val="44546A" w:themeColor="text2"/>
      <w:kern w:val="2"/>
      <w:sz w:val="18"/>
      <w:szCs w:val="18"/>
      <w14:ligatures w14:val="standardContextual"/>
    </w:rPr>
  </w:style>
  <w:style w:type="paragraph" w:styleId="FootnoteText">
    <w:name w:val="footnote text"/>
    <w:basedOn w:val="Normal"/>
    <w:link w:val="FootnoteTextChar"/>
    <w:uiPriority w:val="99"/>
    <w:semiHidden/>
    <w:unhideWhenUsed/>
    <w:rsid w:val="009F7DC7"/>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F7DC7"/>
    <w:rPr>
      <w:kern w:val="2"/>
      <w:sz w:val="20"/>
      <w:szCs w:val="20"/>
      <w14:ligatures w14:val="standardContextual"/>
    </w:rPr>
  </w:style>
  <w:style w:type="character" w:styleId="FootnoteReference">
    <w:name w:val="footnote reference"/>
    <w:basedOn w:val="DefaultParagraphFont"/>
    <w:uiPriority w:val="99"/>
    <w:semiHidden/>
    <w:unhideWhenUsed/>
    <w:rsid w:val="009F7DC7"/>
    <w:rPr>
      <w:vertAlign w:val="superscript"/>
    </w:rPr>
  </w:style>
  <w:style w:type="paragraph" w:customStyle="1" w:styleId="isselectedend">
    <w:name w:val="isselectedend"/>
    <w:basedOn w:val="Normal"/>
    <w:rsid w:val="009F7D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DefaultParagraphFont"/>
    <w:rsid w:val="009F7DC7"/>
  </w:style>
  <w:style w:type="character" w:customStyle="1" w:styleId="Heading4Char">
    <w:name w:val="Heading 4 Char"/>
    <w:basedOn w:val="DefaultParagraphFont"/>
    <w:link w:val="Heading4"/>
    <w:uiPriority w:val="9"/>
    <w:semiHidden/>
    <w:rsid w:val="00645D9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45D9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45D9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45D9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45D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5D9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2955669">
      <w:bodyDiv w:val="1"/>
      <w:marLeft w:val="0"/>
      <w:marRight w:val="0"/>
      <w:marTop w:val="0"/>
      <w:marBottom w:val="0"/>
      <w:divBdr>
        <w:top w:val="none" w:sz="0" w:space="0" w:color="auto"/>
        <w:left w:val="none" w:sz="0" w:space="0" w:color="auto"/>
        <w:bottom w:val="none" w:sz="0" w:space="0" w:color="auto"/>
        <w:right w:val="none" w:sz="0" w:space="0" w:color="auto"/>
      </w:divBdr>
    </w:div>
    <w:div w:id="1773741240">
      <w:bodyDiv w:val="1"/>
      <w:marLeft w:val="0"/>
      <w:marRight w:val="0"/>
      <w:marTop w:val="0"/>
      <w:marBottom w:val="0"/>
      <w:divBdr>
        <w:top w:val="none" w:sz="0" w:space="0" w:color="auto"/>
        <w:left w:val="none" w:sz="0" w:space="0" w:color="auto"/>
        <w:bottom w:val="none" w:sz="0" w:space="0" w:color="auto"/>
        <w:right w:val="none" w:sz="0" w:space="0" w:color="auto"/>
      </w:divBdr>
    </w:div>
    <w:div w:id="181155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3129</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Stoycho Rusinov</cp:lastModifiedBy>
  <cp:revision>9</cp:revision>
  <cp:lastPrinted>2026-03-22T13:23:00Z</cp:lastPrinted>
  <dcterms:created xsi:type="dcterms:W3CDTF">2026-03-13T16:43:00Z</dcterms:created>
  <dcterms:modified xsi:type="dcterms:W3CDTF">2026-05-10T19:50:00Z</dcterms:modified>
</cp:coreProperties>
</file>