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E6774" w14:textId="77777777" w:rsidR="002F4456" w:rsidRPr="00D011C2" w:rsidRDefault="002F4456" w:rsidP="00D011C2">
      <w:pPr>
        <w:spacing w:after="100" w:line="360" w:lineRule="auto"/>
        <w:jc w:val="center"/>
        <w:rPr>
          <w:rFonts w:asciiTheme="majorHAnsi" w:hAnsiTheme="majorHAnsi" w:cstheme="majorHAnsi"/>
          <w:b/>
          <w:sz w:val="32"/>
        </w:rPr>
      </w:pPr>
      <w:r w:rsidRPr="00D011C2">
        <w:rPr>
          <w:rFonts w:asciiTheme="majorHAnsi" w:hAnsiTheme="majorHAnsi" w:cstheme="majorHAnsi"/>
          <w:b/>
          <w:sz w:val="32"/>
        </w:rPr>
        <w:t>Weighted construction of the counterfactual control group</w:t>
      </w:r>
    </w:p>
    <w:p w14:paraId="0683B7EB" w14:textId="77777777" w:rsidR="002F4456" w:rsidRPr="00D011C2" w:rsidRDefault="002F4456" w:rsidP="00D011C2">
      <w:pPr>
        <w:spacing w:after="100" w:line="360" w:lineRule="auto"/>
        <w:rPr>
          <w:rFonts w:asciiTheme="majorHAnsi" w:hAnsiTheme="majorHAnsi" w:cstheme="majorHAnsi"/>
          <w:b/>
          <w:sz w:val="26"/>
        </w:rPr>
      </w:pPr>
    </w:p>
    <w:p w14:paraId="06335FA2" w14:textId="77777777" w:rsidR="005B41DD" w:rsidRPr="00D011C2" w:rsidRDefault="000F0215" w:rsidP="00D011C2">
      <w:pPr>
        <w:pStyle w:val="ListParagraph"/>
        <w:numPr>
          <w:ilvl w:val="0"/>
          <w:numId w:val="10"/>
        </w:numPr>
        <w:spacing w:after="100" w:line="360" w:lineRule="auto"/>
        <w:rPr>
          <w:rFonts w:asciiTheme="majorHAnsi" w:hAnsiTheme="majorHAnsi" w:cstheme="majorHAnsi"/>
          <w:b/>
          <w:sz w:val="26"/>
        </w:rPr>
      </w:pPr>
      <w:r w:rsidRPr="00D011C2">
        <w:rPr>
          <w:rFonts w:asciiTheme="majorHAnsi" w:hAnsiTheme="majorHAnsi" w:cstheme="majorHAnsi"/>
          <w:b/>
          <w:sz w:val="26"/>
        </w:rPr>
        <w:t>Pre-treatment trajectories</w:t>
      </w:r>
    </w:p>
    <w:p w14:paraId="7BE8723C" w14:textId="77777777" w:rsidR="005B41DD"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t xml:space="preserve">For each country </w:t>
      </w:r>
      <m:oMath>
        <m:r>
          <w:rPr>
            <w:rFonts w:ascii="Cambria Math" w:hAnsi="Cambria Math" w:cstheme="majorHAnsi"/>
          </w:rPr>
          <m:t>c</m:t>
        </m:r>
      </m:oMath>
      <w:r w:rsidRPr="00D011C2">
        <w:rPr>
          <w:rFonts w:asciiTheme="majorHAnsi" w:hAnsiTheme="majorHAnsi" w:cstheme="majorHAnsi"/>
        </w:rPr>
        <w:t xml:space="preserve">, let </w:t>
      </w:r>
      <m:oMath>
        <m:r>
          <w:rPr>
            <w:rFonts w:ascii="Cambria Math" w:hAnsi="Cambria Math" w:cstheme="majorHAnsi"/>
          </w:rPr>
          <m:t>Ap</m:t>
        </m:r>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ct</m:t>
            </m:r>
          </m:sub>
        </m:sSub>
      </m:oMath>
      <w:r w:rsidRPr="00D011C2">
        <w:rPr>
          <w:rFonts w:asciiTheme="majorHAnsi" w:hAnsiTheme="majorHAnsi" w:cstheme="majorHAnsi"/>
        </w:rPr>
        <w:t xml:space="preserve"> denote the number of UCAS applications in year t. The pre-treatment trajectory is defined over all years up to and including 2020.</w:t>
      </w:r>
    </w:p>
    <w:p w14:paraId="1F736454" w14:textId="02DA1D76" w:rsidR="005B41DD" w:rsidRPr="00D011C2" w:rsidRDefault="00040C00" w:rsidP="00D011C2">
      <w:pPr>
        <w:spacing w:after="100" w:line="360" w:lineRule="auto"/>
        <w:jc w:val="center"/>
        <w:rPr>
          <w:rFonts w:asciiTheme="majorHAnsi" w:hAnsiTheme="majorHAnsi" w:cstheme="majorHAnsi"/>
        </w:rPr>
      </w:pPr>
      <m:oMathPara>
        <m:oMath>
          <m:sSubSup>
            <m:sSubSupPr>
              <m:ctrlPr>
                <w:rPr>
                  <w:rFonts w:ascii="Cambria Math" w:hAnsi="Cambria Math"/>
                  <w:highlight w:val="yellow"/>
                </w:rPr>
              </m:ctrlPr>
            </m:sSubSupPr>
            <m:e>
              <m:r>
                <w:rPr>
                  <w:rFonts w:ascii="Cambria Math" w:hAnsi="Cambria Math"/>
                  <w:highlight w:val="yellow"/>
                </w:rPr>
                <m:t>Y</m:t>
              </m:r>
            </m:e>
            <m:sub>
              <m:r>
                <w:rPr>
                  <w:rFonts w:ascii="Cambria Math" w:hAnsi="Cambria Math"/>
                  <w:highlight w:val="yellow"/>
                </w:rPr>
                <m:t>c</m:t>
              </m:r>
            </m:sub>
            <m:sup>
              <m:r>
                <w:rPr>
                  <w:rFonts w:ascii="Cambria Math" w:hAnsi="Cambria Math"/>
                  <w:highlight w:val="yellow"/>
                </w:rPr>
                <m:t>pre</m:t>
              </m:r>
            </m:sup>
          </m:sSubSup>
          <m:r>
            <w:rPr>
              <w:rFonts w:ascii="Cambria Math" w:hAnsi="Cambria Math"/>
              <w:highlight w:val="yellow"/>
            </w:rPr>
            <m:t>=</m:t>
          </m:r>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App</m:t>
                  </m:r>
                </m:e>
                <m:sub>
                  <m:r>
                    <w:rPr>
                      <w:rFonts w:ascii="Cambria Math" w:hAnsi="Cambria Math"/>
                      <w:highlight w:val="yellow"/>
                    </w:rPr>
                    <m:t>c,2014</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App</m:t>
                  </m:r>
                </m:e>
                <m:sub>
                  <m:r>
                    <w:rPr>
                      <w:rFonts w:ascii="Cambria Math" w:hAnsi="Cambria Math"/>
                      <w:highlight w:val="yellow"/>
                    </w:rPr>
                    <m:t>c,2015</m:t>
                  </m:r>
                </m:sub>
              </m:sSub>
              <m:r>
                <w:rPr>
                  <w:rFonts w:ascii="Cambria Math" w:hAnsi="Cambria Math"/>
                  <w:highlight w:val="yellow"/>
                </w:rPr>
                <m:t xml:space="preserve">, …, </m:t>
              </m:r>
              <m:sSub>
                <m:sSubPr>
                  <m:ctrlPr>
                    <w:rPr>
                      <w:rFonts w:ascii="Cambria Math" w:hAnsi="Cambria Math"/>
                      <w:highlight w:val="yellow"/>
                    </w:rPr>
                  </m:ctrlPr>
                </m:sSubPr>
                <m:e>
                  <m:r>
                    <w:rPr>
                      <w:rFonts w:ascii="Cambria Math" w:hAnsi="Cambria Math"/>
                      <w:highlight w:val="yellow"/>
                    </w:rPr>
                    <m:t>App</m:t>
                  </m:r>
                </m:e>
                <m:sub>
                  <m:r>
                    <w:rPr>
                      <w:rFonts w:ascii="Cambria Math" w:hAnsi="Cambria Math"/>
                      <w:highlight w:val="yellow"/>
                    </w:rPr>
                    <m:t>c,2020</m:t>
                  </m:r>
                </m:sub>
              </m:sSub>
            </m:e>
          </m:d>
        </m:oMath>
      </m:oMathPara>
    </w:p>
    <w:p w14:paraId="28DCC029" w14:textId="77777777" w:rsidR="005B41DD"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t>Applications are first transformed using the natural logarithm and then standardized within country. This removes differences in scale and makes donor selection depend on the shape of the pre-treatment path.</w:t>
      </w:r>
    </w:p>
    <w:p w14:paraId="37C4AFF9" w14:textId="77777777" w:rsidR="005B41DD" w:rsidRPr="00D011C2" w:rsidRDefault="00040C00" w:rsidP="00D011C2">
      <w:pPr>
        <w:spacing w:after="100" w:line="360" w:lineRule="auto"/>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Z</m:t>
              </m:r>
            </m:e>
            <m:sub>
              <m:r>
                <w:rPr>
                  <w:rFonts w:ascii="Cambria Math" w:hAnsi="Cambria Math" w:cstheme="majorHAnsi"/>
                </w:rPr>
                <m:t>c,t</m:t>
              </m:r>
            </m:sub>
          </m:sSub>
          <m:r>
            <w:rPr>
              <w:rFonts w:ascii="Cambria Math" w:hAnsi="Cambria Math" w:cstheme="majorHAnsi"/>
            </w:rPr>
            <m:t xml:space="preserve"> =</m:t>
          </m:r>
          <m:f>
            <m:fPr>
              <m:ctrlPr>
                <w:rPr>
                  <w:rFonts w:ascii="Cambria Math" w:hAnsi="Cambria Math" w:cstheme="majorHAnsi"/>
                  <w:i/>
                </w:rPr>
              </m:ctrlPr>
            </m:fPr>
            <m:num>
              <m:d>
                <m:dPr>
                  <m:begChr m:val="["/>
                  <m:endChr m:val="]"/>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log</m:t>
                      </m:r>
                    </m:fName>
                    <m:e>
                      <m:d>
                        <m:dPr>
                          <m:ctrlPr>
                            <w:rPr>
                              <w:rFonts w:ascii="Cambria Math" w:hAnsi="Cambria Math" w:cstheme="majorHAnsi"/>
                              <w:i/>
                            </w:rPr>
                          </m:ctrlPr>
                        </m:dPr>
                        <m:e>
                          <m:r>
                            <w:rPr>
                              <w:rFonts w:ascii="Cambria Math" w:hAnsi="Cambria Math" w:cstheme="majorHAnsi"/>
                            </w:rPr>
                            <m:t>Ap</m:t>
                          </m:r>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ct</m:t>
                              </m:r>
                            </m:sub>
                          </m:sSub>
                          <m:r>
                            <w:rPr>
                              <w:rFonts w:ascii="Cambria Math" w:hAnsi="Cambria Math" w:cstheme="majorHAnsi"/>
                            </w:rPr>
                            <m:t xml:space="preserve"> + 1</m:t>
                          </m:r>
                        </m:e>
                      </m:d>
                    </m:e>
                  </m:func>
                  <m:r>
                    <w:rPr>
                      <w:rFonts w:ascii="Cambria Math" w:hAnsi="Cambria Math" w:cstheme="majorHAnsi"/>
                    </w:rPr>
                    <m:t xml:space="preserve"> - </m:t>
                  </m:r>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c</m:t>
                      </m:r>
                    </m:sub>
                  </m:sSub>
                </m:e>
              </m:d>
            </m:num>
            <m:den>
              <m:sSub>
                <m:sSubPr>
                  <m:ctrlPr>
                    <w:rPr>
                      <w:rFonts w:ascii="Cambria Math" w:hAnsi="Cambria Math" w:cstheme="majorHAnsi"/>
                      <w:i/>
                    </w:rPr>
                  </m:ctrlPr>
                </m:sSubPr>
                <m:e>
                  <m:r>
                    <w:rPr>
                      <w:rFonts w:ascii="Cambria Math" w:hAnsi="Cambria Math" w:cstheme="majorHAnsi"/>
                    </w:rPr>
                    <m:t>σ</m:t>
                  </m:r>
                </m:e>
                <m:sub>
                  <m:r>
                    <w:rPr>
                      <w:rFonts w:ascii="Cambria Math" w:hAnsi="Cambria Math" w:cstheme="majorHAnsi"/>
                    </w:rPr>
                    <m:t>c</m:t>
                  </m:r>
                </m:sub>
              </m:sSub>
            </m:den>
          </m:f>
        </m:oMath>
      </m:oMathPara>
    </w:p>
    <w:p w14:paraId="4F72E6C9" w14:textId="5EB330EB" w:rsidR="00040C00" w:rsidRPr="00040C00" w:rsidRDefault="000F0215" w:rsidP="00040C00">
      <w:pPr>
        <w:spacing w:after="100" w:line="360" w:lineRule="auto"/>
        <w:rPr>
          <w:rFonts w:asciiTheme="majorHAnsi" w:hAnsiTheme="majorHAnsi" w:cstheme="majorHAnsi"/>
        </w:rPr>
      </w:pPr>
      <w:r w:rsidRPr="00D011C2">
        <w:rPr>
          <w:rFonts w:asciiTheme="majorHAnsi" w:hAnsiTheme="majorHAnsi" w:cstheme="majorHAnsi"/>
        </w:rPr>
        <w:t xml:space="preserve">Here </w:t>
      </w:r>
      <m:oMath>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c</m:t>
            </m:r>
          </m:sub>
        </m:sSub>
      </m:oMath>
      <w:r w:rsidRPr="00D011C2">
        <w:rPr>
          <w:rFonts w:asciiTheme="majorHAnsi" w:hAnsiTheme="majorHAnsi" w:cstheme="majorHAnsi"/>
        </w:rPr>
        <w:t xml:space="preserve"> and </w:t>
      </w:r>
      <m:oMath>
        <m:sSub>
          <m:sSubPr>
            <m:ctrlPr>
              <w:rPr>
                <w:rFonts w:ascii="Cambria Math" w:hAnsi="Cambria Math" w:cstheme="majorHAnsi"/>
                <w:i/>
              </w:rPr>
            </m:ctrlPr>
          </m:sSubPr>
          <m:e>
            <m:r>
              <w:rPr>
                <w:rFonts w:ascii="Cambria Math" w:hAnsi="Cambria Math" w:cstheme="majorHAnsi"/>
              </w:rPr>
              <m:t>σ</m:t>
            </m:r>
          </m:e>
          <m:sub>
            <m:r>
              <w:rPr>
                <w:rFonts w:ascii="Cambria Math" w:hAnsi="Cambria Math" w:cstheme="majorHAnsi"/>
              </w:rPr>
              <m:t>c</m:t>
            </m:r>
          </m:sub>
        </m:sSub>
      </m:oMath>
      <w:r w:rsidRPr="00D011C2">
        <w:rPr>
          <w:rFonts w:asciiTheme="majorHAnsi" w:hAnsiTheme="majorHAnsi" w:cstheme="majorHAnsi"/>
        </w:rPr>
        <w:t xml:space="preserve"> are the mean and standard deviation of the logged application series for country c during the pre-Brexit period.</w:t>
      </w:r>
      <w:r w:rsidR="00040C00">
        <w:rPr>
          <w:rFonts w:asciiTheme="majorHAnsi" w:hAnsiTheme="majorHAnsi" w:cstheme="majorHAnsi"/>
        </w:rPr>
        <w:t xml:space="preserve"> </w:t>
      </w:r>
      <w:r w:rsidR="00040C00" w:rsidRPr="00040C00">
        <w:rPr>
          <w:rFonts w:asciiTheme="majorHAnsi" w:hAnsiTheme="majorHAnsi" w:cstheme="majorHAnsi"/>
        </w:rPr>
        <w:t>This transformation produces a scale-invariant representation consistent with best practices in time-series similarity modeling (Montero-</w:t>
      </w:r>
      <w:proofErr w:type="spellStart"/>
      <w:r w:rsidR="00040C00" w:rsidRPr="00040C00">
        <w:rPr>
          <w:rFonts w:asciiTheme="majorHAnsi" w:hAnsiTheme="majorHAnsi" w:cstheme="majorHAnsi"/>
        </w:rPr>
        <w:t>Manso</w:t>
      </w:r>
      <w:proofErr w:type="spellEnd"/>
      <w:r w:rsidR="00040C00" w:rsidRPr="00040C00">
        <w:rPr>
          <w:rFonts w:asciiTheme="majorHAnsi" w:hAnsiTheme="majorHAnsi" w:cstheme="majorHAnsi"/>
        </w:rPr>
        <w:t xml:space="preserve"> &amp; Hyndman, 2021). We then compute pairwise Euclidean distances between standardized pre-trend paths:</w:t>
      </w:r>
    </w:p>
    <w:p w14:paraId="060C8211" w14:textId="6D0B9086" w:rsidR="00040C00" w:rsidRPr="00040C00" w:rsidRDefault="00040C00" w:rsidP="00040C00">
      <w:pPr>
        <w:spacing w:after="100" w:line="360" w:lineRule="auto"/>
        <w:ind w:firstLine="720"/>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j,k</m:t>
              </m:r>
            </m:sub>
          </m:sSub>
          <m:r>
            <w:rPr>
              <w:rFonts w:ascii="Cambria Math" w:hAnsi="Cambria Math" w:cstheme="majorHAnsi"/>
            </w:rPr>
            <m:t>=</m:t>
          </m:r>
          <m:rad>
            <m:radPr>
              <m:degHide m:val="1"/>
              <m:ctrlPr>
                <w:rPr>
                  <w:rFonts w:ascii="Cambria Math" w:hAnsi="Cambria Math" w:cstheme="majorHAnsi"/>
                </w:rPr>
              </m:ctrlPr>
            </m:radPr>
            <m:deg/>
            <m:e>
              <m:nary>
                <m:naryPr>
                  <m:chr m:val="∑"/>
                  <m:limLoc m:val="undOvr"/>
                  <m:ctrlPr>
                    <w:rPr>
                      <w:rFonts w:ascii="Cambria Math" w:hAnsi="Cambria Math" w:cstheme="majorHAnsi"/>
                    </w:rPr>
                  </m:ctrlPr>
                </m:naryPr>
                <m:sub>
                  <m:r>
                    <w:rPr>
                      <w:rFonts w:ascii="Cambria Math" w:hAnsi="Cambria Math" w:cstheme="majorHAnsi"/>
                    </w:rPr>
                    <m:t>t≤2020</m:t>
                  </m:r>
                </m:sub>
                <m:sup>
                  <m:r>
                    <w:rPr>
                      <w:rFonts w:ascii="Cambria Math" w:hAnsi="Cambria Math" w:cstheme="majorHAnsi"/>
                    </w:rPr>
                    <m:t xml:space="preserve"> </m:t>
                  </m:r>
                </m:sup>
                <m:e>
                  <m:sSup>
                    <m:sSupPr>
                      <m:ctrlPr>
                        <w:rPr>
                          <w:rFonts w:ascii="Cambria Math" w:hAnsi="Cambria Math" w:cstheme="majorHAnsi"/>
                        </w:rPr>
                      </m:ctrlPr>
                    </m:sSupPr>
                    <m:e>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Y</m:t>
                              </m:r>
                            </m:e>
                            <m:sub>
                              <m:r>
                                <w:rPr>
                                  <w:rFonts w:ascii="Cambria Math" w:hAnsi="Cambria Math" w:cstheme="majorHAnsi"/>
                                </w:rPr>
                                <m:t>j,t</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Y</m:t>
                              </m:r>
                            </m:e>
                            <m:sub>
                              <m:r>
                                <w:rPr>
                                  <w:rFonts w:ascii="Cambria Math" w:hAnsi="Cambria Math" w:cstheme="majorHAnsi"/>
                                </w:rPr>
                                <m:t>k,t</m:t>
                              </m:r>
                            </m:sub>
                          </m:sSub>
                        </m:e>
                      </m:d>
                    </m:e>
                    <m:sup>
                      <m:r>
                        <w:rPr>
                          <w:rFonts w:ascii="Cambria Math" w:hAnsi="Cambria Math" w:cstheme="majorHAnsi"/>
                        </w:rPr>
                        <m:t>2</m:t>
                      </m:r>
                    </m:sup>
                  </m:sSup>
                </m:e>
              </m:nary>
            </m:e>
          </m:rad>
        </m:oMath>
      </m:oMathPara>
    </w:p>
    <w:p w14:paraId="28E67FDF" w14:textId="1AB3ED9E" w:rsidR="00040C00" w:rsidRPr="00040C00" w:rsidRDefault="00040C00" w:rsidP="00040C00">
      <w:pPr>
        <w:spacing w:after="100" w:line="360" w:lineRule="auto"/>
        <w:ind w:firstLine="720"/>
        <w:rPr>
          <w:rFonts w:asciiTheme="majorHAnsi" w:hAnsiTheme="majorHAnsi" w:cstheme="majorHAnsi"/>
        </w:rPr>
      </w:pPr>
      <w:r w:rsidRPr="00040C00">
        <w:rPr>
          <w:rFonts w:asciiTheme="majorHAnsi" w:hAnsiTheme="majorHAnsi" w:cstheme="majorHAnsi"/>
        </w:rPr>
        <w:t xml:space="preserve">For each EU origin market </w:t>
      </w:r>
      <m:oMath>
        <m:r>
          <w:rPr>
            <w:rFonts w:ascii="Cambria Math" w:hAnsi="Cambria Math" w:cstheme="majorHAnsi"/>
          </w:rPr>
          <m:t>j</m:t>
        </m:r>
      </m:oMath>
      <w:r w:rsidRPr="00040C00">
        <w:rPr>
          <w:rFonts w:asciiTheme="majorHAnsi" w:hAnsiTheme="majorHAnsi" w:cstheme="majorHAnsi"/>
        </w:rPr>
        <w:t xml:space="preserve">, we select the </w:t>
      </w:r>
      <w:r>
        <w:rPr>
          <w:rFonts w:asciiTheme="majorHAnsi" w:hAnsiTheme="majorHAnsi" w:cstheme="majorHAnsi"/>
        </w:rPr>
        <w:t>5</w:t>
      </w:r>
      <w:r w:rsidRPr="00040C00">
        <w:rPr>
          <w:rFonts w:asciiTheme="majorHAnsi" w:hAnsiTheme="majorHAnsi" w:cstheme="majorHAnsi"/>
        </w:rPr>
        <w:t xml:space="preserve"> non-EU origins with the minimum trajectory distance:</w:t>
      </w:r>
    </w:p>
    <w:p w14:paraId="2DC4629B" w14:textId="7FA0E3FF" w:rsidR="00040C00" w:rsidRPr="00040C00" w:rsidRDefault="00040C00" w:rsidP="00040C00">
      <w:pPr>
        <w:spacing w:after="100" w:line="360" w:lineRule="auto"/>
        <w:ind w:firstLine="720"/>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Γ</m:t>
              </m:r>
            </m:e>
            <m:sub>
              <m:r>
                <w:rPr>
                  <w:rFonts w:ascii="Cambria Math" w:hAnsi="Cambria Math" w:cstheme="majorHAnsi"/>
                </w:rPr>
                <m:t>j</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argmin</m:t>
              </m:r>
            </m:e>
            <m:sub>
              <m:r>
                <w:rPr>
                  <w:rFonts w:ascii="Cambria Math" w:hAnsi="Cambria Math" w:cstheme="majorHAnsi"/>
                </w:rPr>
                <m:t>k∉</m:t>
              </m:r>
              <m:sSub>
                <m:sSubPr>
                  <m:ctrlPr>
                    <w:rPr>
                      <w:rFonts w:ascii="Cambria Math" w:hAnsi="Cambria Math" w:cstheme="majorHAnsi"/>
                    </w:rPr>
                  </m:ctrlPr>
                </m:sSubPr>
                <m:e>
                  <m:r>
                    <w:rPr>
                      <w:rFonts w:ascii="Cambria Math" w:hAnsi="Cambria Math" w:cstheme="majorHAnsi"/>
                    </w:rPr>
                    <m:t>Γ</m:t>
                  </m:r>
                </m:e>
                <m:sub>
                  <m:r>
                    <w:rPr>
                      <w:rFonts w:ascii="Cambria Math" w:hAnsi="Cambria Math" w:cstheme="majorHAnsi"/>
                    </w:rPr>
                    <m:t>j</m:t>
                  </m:r>
                </m:sub>
              </m:sSub>
            </m:sub>
          </m:sSub>
          <m:r>
            <w:rPr>
              <w:rFonts w:ascii="Cambria Math" w:hAnsi="Cambria Math" w:cstheme="majorHAnsi"/>
            </w:rPr>
            <m:t xml:space="preserve"> </m:t>
          </m:r>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j,k</m:t>
              </m:r>
            </m:sub>
          </m:sSub>
          <m:r>
            <w:rPr>
              <w:rFonts w:ascii="Cambria Math" w:hAnsi="Cambria Math" w:cstheme="majorHAnsi"/>
            </w:rPr>
            <m:t>  </m:t>
          </m:r>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Γ</m:t>
                  </m:r>
                </m:e>
                <m:sub>
                  <m:r>
                    <w:rPr>
                      <w:rFonts w:ascii="Cambria Math" w:hAnsi="Cambria Math" w:cstheme="majorHAnsi"/>
                    </w:rPr>
                    <m:t>j</m:t>
                  </m:r>
                </m:sub>
              </m:sSub>
              <m:r>
                <w:rPr>
                  <w:rFonts w:ascii="Cambria Math" w:hAnsi="Cambria Math" w:cstheme="majorHAnsi"/>
                </w:rPr>
                <m:t>=</m:t>
              </m:r>
              <m:r>
                <w:rPr>
                  <w:rFonts w:ascii="Cambria Math" w:hAnsi="Cambria Math" w:cstheme="majorHAnsi"/>
                </w:rPr>
                <m:t>5</m:t>
              </m:r>
            </m:e>
          </m:d>
        </m:oMath>
      </m:oMathPara>
    </w:p>
    <w:p w14:paraId="72A62C67" w14:textId="77777777" w:rsidR="00040C00" w:rsidRDefault="00040C00" w:rsidP="00040C00">
      <w:pPr>
        <w:spacing w:after="100" w:line="360" w:lineRule="auto"/>
        <w:ind w:firstLine="720"/>
        <w:rPr>
          <w:rFonts w:asciiTheme="majorHAnsi" w:hAnsiTheme="majorHAnsi" w:cstheme="majorHAnsi"/>
        </w:rPr>
      </w:pPr>
      <w:r w:rsidRPr="00040C00">
        <w:rPr>
          <w:rFonts w:asciiTheme="majorHAnsi" w:hAnsiTheme="majorHAnsi" w:cstheme="majorHAnsi"/>
        </w:rPr>
        <w:t>This design follows established matching-based causal inference methodology (Rosenbaum &amp; Rubin, 1985; Stuart, 2010), ensuring that counterfactual comparisons rely on units exhibiting the closest pre-shock behavior rather than arbitrary geographic or economic similarity.</w:t>
      </w:r>
    </w:p>
    <w:p w14:paraId="2D6B19A7" w14:textId="5A57BACD" w:rsidR="005B41DD" w:rsidRPr="00D011C2" w:rsidRDefault="000F0215" w:rsidP="00040C00">
      <w:pPr>
        <w:spacing w:after="100" w:line="360" w:lineRule="auto"/>
        <w:ind w:firstLine="720"/>
        <w:rPr>
          <w:rFonts w:asciiTheme="majorHAnsi" w:hAnsiTheme="majorHAnsi" w:cstheme="majorHAnsi"/>
        </w:rPr>
      </w:pPr>
      <w:r w:rsidRPr="00D011C2">
        <w:rPr>
          <w:rFonts w:asciiTheme="majorHAnsi" w:hAnsiTheme="majorHAnsi" w:cstheme="majorHAnsi"/>
        </w:rPr>
        <w:t xml:space="preserve">After donor screening, the standardized series are no longer used. We return to logged application levels and estimate a convex combination of the selected donors for </w:t>
      </w:r>
      <w:bookmarkStart w:id="0" w:name="_GoBack"/>
      <w:bookmarkEnd w:id="0"/>
      <w:r w:rsidRPr="00D011C2">
        <w:rPr>
          <w:rFonts w:asciiTheme="majorHAnsi" w:hAnsiTheme="majorHAnsi" w:cstheme="majorHAnsi"/>
        </w:rPr>
        <w:t>each EU country.</w:t>
      </w:r>
    </w:p>
    <w:p w14:paraId="00C3E148" w14:textId="77777777" w:rsidR="0030088F" w:rsidRPr="00D011C2" w:rsidRDefault="00040C00" w:rsidP="00D011C2">
      <w:pPr>
        <w:spacing w:after="100" w:line="360" w:lineRule="auto"/>
        <w:rPr>
          <w:rFonts w:asciiTheme="majorHAnsi" w:hAnsiTheme="majorHAnsi" w:cstheme="majorHAnsi"/>
        </w:rPr>
      </w:pPr>
      <m:oMathPara>
        <m:oMath>
          <m:sSub>
            <m:sSubPr>
              <m:ctrlPr>
                <w:rPr>
                  <w:rFonts w:ascii="Cambria Math" w:hAnsi="Cambria Math" w:cstheme="majorHAnsi"/>
                  <w:i/>
                </w:rPr>
              </m:ctrlPr>
            </m:sSubPr>
            <m:e>
              <m:acc>
                <m:accPr>
                  <m:ctrlPr>
                    <w:rPr>
                      <w:rFonts w:ascii="Cambria Math" w:hAnsi="Cambria Math" w:cstheme="majorHAnsi"/>
                      <w:i/>
                    </w:rPr>
                  </m:ctrlPr>
                </m:accPr>
                <m:e>
                  <m:r>
                    <w:rPr>
                      <w:rFonts w:ascii="Cambria Math" w:hAnsi="Cambria Math" w:cstheme="majorHAnsi"/>
                    </w:rPr>
                    <m:t>w</m:t>
                  </m:r>
                </m:e>
              </m:acc>
            </m:e>
            <m:sub>
              <m:r>
                <w:rPr>
                  <w:rFonts w:ascii="Cambria Math" w:hAnsi="Cambria Math" w:cstheme="majorHAnsi"/>
                </w:rPr>
                <m:t>j</m:t>
              </m:r>
            </m:sub>
          </m:sSub>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arg</m:t>
              </m:r>
            </m:fName>
            <m:e>
              <m:func>
                <m:funcPr>
                  <m:ctrlPr>
                    <w:rPr>
                      <w:rFonts w:ascii="Cambria Math" w:hAnsi="Cambria Math" w:cstheme="majorHAnsi"/>
                      <w:i/>
                    </w:rPr>
                  </m:ctrlPr>
                </m:funcPr>
                <m:fName>
                  <m:limLow>
                    <m:limLowPr>
                      <m:ctrlPr>
                        <w:rPr>
                          <w:rFonts w:ascii="Cambria Math" w:hAnsi="Cambria Math" w:cstheme="majorHAnsi"/>
                          <w:i/>
                        </w:rPr>
                      </m:ctrlPr>
                    </m:limLowPr>
                    <m:e>
                      <m:r>
                        <m:rPr>
                          <m:sty m:val="p"/>
                        </m:rPr>
                        <w:rPr>
                          <w:rFonts w:ascii="Cambria Math" w:hAnsi="Cambria Math" w:cstheme="majorHAnsi"/>
                        </w:rPr>
                        <m:t>min</m:t>
                      </m:r>
                    </m:e>
                    <m:lim>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j</m:t>
                          </m:r>
                        </m:sub>
                      </m:sSub>
                    </m:lim>
                  </m:limLow>
                </m:fName>
                <m:e>
                  <m:nary>
                    <m:naryPr>
                      <m:chr m:val="∑"/>
                      <m:limLoc m:val="undOvr"/>
                      <m:ctrlPr>
                        <w:rPr>
                          <w:rFonts w:ascii="Cambria Math" w:hAnsi="Cambria Math" w:cstheme="majorHAnsi"/>
                          <w:i/>
                        </w:rPr>
                      </m:ctrlPr>
                    </m:naryPr>
                    <m:sub>
                      <m:r>
                        <w:rPr>
                          <w:rFonts w:ascii="Cambria Math" w:hAnsi="Cambria Math" w:cstheme="majorHAnsi"/>
                        </w:rPr>
                        <m:t>t≤2020</m:t>
                      </m:r>
                    </m:sub>
                    <m:sup>
                      <m:r>
                        <w:rPr>
                          <w:rFonts w:ascii="Cambria Math" w:hAnsi="Cambria Math" w:cstheme="majorHAnsi"/>
                        </w:rPr>
                        <m:t xml:space="preserve"> </m:t>
                      </m:r>
                    </m:sup>
                    <m:e>
                      <m:sSup>
                        <m:sSupPr>
                          <m:ctrlPr>
                            <w:rPr>
                              <w:rFonts w:ascii="Cambria Math" w:hAnsi="Cambria Math" w:cstheme="majorHAnsi"/>
                              <w:i/>
                            </w:rPr>
                          </m:ctrlPr>
                        </m:sSupPr>
                        <m:e>
                          <m:d>
                            <m:dPr>
                              <m:begChr m:val="["/>
                              <m:endChr m:val="]"/>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jt</m:t>
                                  </m:r>
                                </m:sub>
                              </m:sSub>
                              <m:r>
                                <w:rPr>
                                  <w:rFonts w:ascii="Cambria Math" w:hAnsi="Cambria Math" w:cstheme="majorHAnsi"/>
                                </w:rPr>
                                <m:t>-</m:t>
                              </m:r>
                              <m:nary>
                                <m:naryPr>
                                  <m:chr m:val="∑"/>
                                  <m:limLoc m:val="undOvr"/>
                                  <m:ctrlPr>
                                    <w:rPr>
                                      <w:rFonts w:ascii="Cambria Math" w:hAnsi="Cambria Math" w:cstheme="majorHAnsi"/>
                                      <w:i/>
                                    </w:rPr>
                                  </m:ctrlPr>
                                </m:naryPr>
                                <m:sub>
                                  <m:r>
                                    <w:rPr>
                                      <w:rFonts w:ascii="Cambria Math" w:hAnsi="Cambria Math" w:cstheme="majorHAnsi"/>
                                    </w:rPr>
                                    <m:t>k∈</m:t>
                                  </m:r>
                                  <m:sSub>
                                    <m:sSubPr>
                                      <m:ctrlPr>
                                        <w:rPr>
                                          <w:rFonts w:ascii="Cambria Math" w:hAnsi="Cambria Math" w:cstheme="majorHAnsi"/>
                                          <w:i/>
                                        </w:rPr>
                                      </m:ctrlPr>
                                    </m:sSubPr>
                                    <m:e>
                                      <m:r>
                                        <m:rPr>
                                          <m:sty m:val="p"/>
                                        </m:rPr>
                                        <w:rPr>
                                          <w:rFonts w:ascii="Cambria Math" w:hAnsi="Cambria Math" w:cstheme="majorHAnsi"/>
                                        </w:rPr>
                                        <m:t>Γ</m:t>
                                      </m:r>
                                    </m:e>
                                    <m:sub>
                                      <m:r>
                                        <w:rPr>
                                          <w:rFonts w:ascii="Cambria Math" w:hAnsi="Cambria Math" w:cstheme="majorHAnsi"/>
                                        </w:rPr>
                                        <m:t>j</m:t>
                                      </m:r>
                                    </m:sub>
                                  </m:sSub>
                                </m:sub>
                                <m:sup>
                                  <m:r>
                                    <w:rPr>
                                      <w:rFonts w:ascii="Cambria Math" w:hAnsi="Cambria Math" w:cstheme="majorHAnsi"/>
                                    </w:rPr>
                                    <m:t xml:space="preserve"> </m:t>
                                  </m:r>
                                </m:sup>
                                <m:e>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jk</m:t>
                                      </m:r>
                                    </m:sub>
                                  </m:sSub>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kt</m:t>
                                      </m:r>
                                    </m:sub>
                                  </m:sSub>
                                </m:e>
                              </m:nary>
                            </m:e>
                          </m:d>
                        </m:e>
                        <m:sup>
                          <m:r>
                            <w:rPr>
                              <w:rFonts w:ascii="Cambria Math" w:hAnsi="Cambria Math" w:cstheme="majorHAnsi"/>
                            </w:rPr>
                            <m:t>2</m:t>
                          </m:r>
                        </m:sup>
                      </m:sSup>
                    </m:e>
                  </m:nary>
                </m:e>
              </m:func>
            </m:e>
          </m:func>
        </m:oMath>
      </m:oMathPara>
    </w:p>
    <w:p w14:paraId="75A630D0" w14:textId="77777777" w:rsidR="005B41DD"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t>The optimization is subject to</w:t>
      </w:r>
      <w:r w:rsidR="002F4456" w:rsidRPr="00D011C2">
        <w:rPr>
          <w:rFonts w:asciiTheme="majorHAnsi" w:hAnsiTheme="majorHAnsi" w:cstheme="majorHAnsi"/>
        </w:rPr>
        <w:t>:</w:t>
      </w:r>
    </w:p>
    <w:p w14:paraId="03AB9B78" w14:textId="77777777" w:rsidR="005B41DD" w:rsidRPr="00D011C2" w:rsidRDefault="00040C00" w:rsidP="00D011C2">
      <w:pPr>
        <w:spacing w:after="100" w:line="360" w:lineRule="auto"/>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jk</m:t>
              </m:r>
            </m:sub>
          </m:sSub>
          <m:r>
            <w:rPr>
              <w:rFonts w:ascii="Cambria Math" w:hAnsi="Cambria Math" w:cstheme="majorHAnsi"/>
            </w:rPr>
            <m:t xml:space="preserve">≥0    </m:t>
          </m:r>
          <m:r>
            <m:rPr>
              <m:sty m:val="p"/>
            </m:rPr>
            <w:rPr>
              <w:rFonts w:ascii="Cambria Math" w:hAnsi="Cambria Math" w:cstheme="majorHAnsi"/>
            </w:rPr>
            <m:t xml:space="preserve">and </m:t>
          </m:r>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k∈</m:t>
              </m:r>
              <m:sSub>
                <m:sSubPr>
                  <m:ctrlPr>
                    <w:rPr>
                      <w:rFonts w:ascii="Cambria Math" w:hAnsi="Cambria Math" w:cstheme="majorHAnsi"/>
                      <w:i/>
                    </w:rPr>
                  </m:ctrlPr>
                </m:sSubPr>
                <m:e>
                  <m:r>
                    <w:rPr>
                      <w:rFonts w:ascii="Cambria Math" w:hAnsi="Cambria Math" w:cstheme="majorHAnsi"/>
                    </w:rPr>
                    <m:t>Γ</m:t>
                  </m:r>
                </m:e>
                <m:sub>
                  <m:r>
                    <w:rPr>
                      <w:rFonts w:ascii="Cambria Math" w:hAnsi="Cambria Math" w:cstheme="majorHAnsi"/>
                    </w:rPr>
                    <m:t>j</m:t>
                  </m:r>
                </m:sub>
              </m:sSub>
            </m:sub>
            <m:sup>
              <m:r>
                <w:rPr>
                  <w:rFonts w:ascii="Cambria Math" w:hAnsi="Cambria Math" w:cstheme="majorHAnsi"/>
                </w:rPr>
                <m:t xml:space="preserve"> </m:t>
              </m:r>
            </m:sup>
            <m:e>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jk</m:t>
                  </m:r>
                </m:sub>
              </m:sSub>
            </m:e>
          </m:nary>
          <m:r>
            <w:rPr>
              <w:rFonts w:ascii="Cambria Math" w:hAnsi="Cambria Math" w:cstheme="majorHAnsi"/>
            </w:rPr>
            <m:t>=1</m:t>
          </m:r>
        </m:oMath>
      </m:oMathPara>
    </w:p>
    <w:p w14:paraId="69780C01" w14:textId="77777777" w:rsidR="005B41DD"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lastRenderedPageBreak/>
        <w:t xml:space="preserve">The non-negativity restriction prevents extrapolation outside the support of the observed donor countries. The adding-up restriction ensures that each synthetic control remains a weighted average of actual donor trajectories. For each EU country </w:t>
      </w:r>
      <m:oMath>
        <m:r>
          <w:rPr>
            <w:rFonts w:ascii="Cambria Math" w:hAnsi="Cambria Math" w:cstheme="majorHAnsi"/>
          </w:rPr>
          <m:t>j</m:t>
        </m:r>
      </m:oMath>
      <w:r w:rsidRPr="00D011C2">
        <w:rPr>
          <w:rFonts w:asciiTheme="majorHAnsi" w:hAnsiTheme="majorHAnsi" w:cstheme="majorHAnsi"/>
        </w:rPr>
        <w:t>, the resulting fitted pre-treatment path is</w:t>
      </w:r>
    </w:p>
    <w:p w14:paraId="3D717228" w14:textId="77777777" w:rsidR="005B41DD" w:rsidRPr="00D011C2" w:rsidRDefault="00040C00" w:rsidP="00D011C2">
      <w:pPr>
        <w:spacing w:after="100" w:line="360" w:lineRule="auto"/>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Ŷ</m:t>
              </m:r>
            </m:e>
            <m:sub>
              <m:r>
                <w:rPr>
                  <w:rFonts w:ascii="Cambria Math" w:hAnsi="Cambria Math" w:cstheme="majorHAnsi"/>
                </w:rPr>
                <m:t>j</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0</m:t>
                  </m:r>
                </m:sub>
              </m:sSub>
            </m:sub>
          </m:sSub>
          <m:r>
            <w:rPr>
              <w:rFonts w:ascii="Cambria Math" w:hAnsi="Cambria Math" w:cstheme="majorHAnsi"/>
            </w:rPr>
            <m:t xml:space="preserve"> =   </m:t>
          </m:r>
          <m:nary>
            <m:naryPr>
              <m:chr m:val="∑"/>
              <m:limLoc m:val="undOvr"/>
              <m:ctrlPr>
                <w:rPr>
                  <w:rFonts w:ascii="Cambria Math" w:hAnsi="Cambria Math" w:cstheme="majorHAnsi"/>
                  <w:i/>
                </w:rPr>
              </m:ctrlPr>
            </m:naryPr>
            <m:sub>
              <m:r>
                <w:rPr>
                  <w:rFonts w:ascii="Cambria Math" w:hAnsi="Cambria Math" w:cstheme="majorHAnsi"/>
                </w:rPr>
                <m:t>k∈</m:t>
              </m:r>
              <m:sSub>
                <m:sSubPr>
                  <m:ctrlPr>
                    <w:rPr>
                      <w:rFonts w:ascii="Cambria Math" w:hAnsi="Cambria Math" w:cstheme="majorHAnsi"/>
                      <w:i/>
                    </w:rPr>
                  </m:ctrlPr>
                </m:sSubPr>
                <m:e>
                  <m:r>
                    <w:rPr>
                      <w:rFonts w:ascii="Cambria Math" w:hAnsi="Cambria Math" w:cstheme="majorHAnsi"/>
                    </w:rPr>
                    <m:t>Γ</m:t>
                  </m:r>
                </m:e>
                <m:sub>
                  <m:r>
                    <w:rPr>
                      <w:rFonts w:ascii="Cambria Math" w:hAnsi="Cambria Math" w:cstheme="majorHAnsi"/>
                    </w:rPr>
                    <m:t>j</m:t>
                  </m:r>
                </m:sub>
              </m:sSub>
            </m:sub>
            <m:sup>
              <m:r>
                <w:rPr>
                  <w:rFonts w:ascii="Cambria Math" w:hAnsi="Cambria Math" w:cstheme="majorHAnsi"/>
                </w:rPr>
                <m:t xml:space="preserve"> </m:t>
              </m:r>
            </m:sup>
            <m:e>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jk</m:t>
                  </m:r>
                </m:sub>
              </m:sSub>
            </m:e>
          </m:nary>
          <m:func>
            <m:funcPr>
              <m:ctrlPr>
                <w:rPr>
                  <w:rFonts w:ascii="Cambria Math" w:hAnsi="Cambria Math" w:cstheme="majorHAnsi"/>
                  <w:i/>
                </w:rPr>
              </m:ctrlPr>
            </m:funcPr>
            <m:fName>
              <m:r>
                <m:rPr>
                  <m:sty m:val="p"/>
                </m:rPr>
                <w:rPr>
                  <w:rFonts w:ascii="Cambria Math" w:hAnsi="Cambria Math" w:cstheme="majorHAnsi"/>
                </w:rPr>
                <m:t>log</m:t>
              </m:r>
            </m:fName>
            <m:e>
              <m:r>
                <w:rPr>
                  <w:rFonts w:ascii="Cambria Math" w:hAnsi="Cambria Math" w:cstheme="majorHAnsi"/>
                </w:rPr>
                <m:t>(Ap</m:t>
              </m:r>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kt</m:t>
                  </m:r>
                </m:sub>
              </m:sSub>
              <m:r>
                <w:rPr>
                  <w:rFonts w:ascii="Cambria Math" w:hAnsi="Cambria Math" w:cstheme="majorHAnsi"/>
                </w:rPr>
                <m:t>+1)</m:t>
              </m:r>
            </m:e>
          </m:func>
        </m:oMath>
      </m:oMathPara>
    </w:p>
    <w:p w14:paraId="443542AC" w14:textId="77777777" w:rsidR="005B41DD"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t>Pre-treatment fit is summarized by the root mean squared prediction error.</w:t>
      </w:r>
    </w:p>
    <w:p w14:paraId="4A4B87AA" w14:textId="77777777" w:rsidR="005B41DD" w:rsidRPr="00D011C2" w:rsidRDefault="0030088F" w:rsidP="00D011C2">
      <w:pPr>
        <w:spacing w:after="100" w:line="360" w:lineRule="auto"/>
        <w:jc w:val="center"/>
        <w:rPr>
          <w:rFonts w:asciiTheme="majorHAnsi" w:hAnsiTheme="majorHAnsi" w:cstheme="majorHAnsi"/>
        </w:rPr>
      </w:pPr>
      <m:oMathPara>
        <m:oMath>
          <m:r>
            <w:rPr>
              <w:rFonts w:ascii="Cambria Math" w:hAnsi="Cambria Math" w:cstheme="majorHAnsi"/>
            </w:rPr>
            <m:t>RMSP</m:t>
          </m:r>
          <m:sSub>
            <m:sSubPr>
              <m:ctrlPr>
                <w:rPr>
                  <w:rFonts w:ascii="Cambria Math" w:hAnsi="Cambria Math" w:cstheme="majorHAnsi"/>
                  <w:i/>
                </w:rPr>
              </m:ctrlPr>
            </m:sSubPr>
            <m:e>
              <m:r>
                <w:rPr>
                  <w:rFonts w:ascii="Cambria Math" w:hAnsi="Cambria Math" w:cstheme="majorHAnsi"/>
                </w:rPr>
                <m:t>E</m:t>
              </m:r>
            </m:e>
            <m:sub>
              <m:r>
                <w:rPr>
                  <w:rFonts w:ascii="Cambria Math" w:hAnsi="Cambria Math" w:cstheme="majorHAnsi"/>
                </w:rPr>
                <m:t>j</m:t>
              </m:r>
            </m:sub>
          </m:sSub>
          <m:r>
            <w:rPr>
              <w:rFonts w:ascii="Cambria Math" w:hAnsi="Cambria Math" w:cstheme="majorHAnsi"/>
            </w:rPr>
            <m:t xml:space="preserve"> = </m:t>
          </m:r>
          <m:rad>
            <m:radPr>
              <m:degHide m:val="1"/>
              <m:ctrlPr>
                <w:rPr>
                  <w:rFonts w:ascii="Cambria Math" w:hAnsi="Cambria Math" w:cstheme="majorHAnsi"/>
                  <w:i/>
                </w:rPr>
              </m:ctrlPr>
            </m:radPr>
            <m:deg/>
            <m:e>
              <m:f>
                <m:fPr>
                  <m:ctrlPr>
                    <w:rPr>
                      <w:rFonts w:ascii="Cambria Math" w:hAnsi="Cambria Math" w:cstheme="majorHAnsi"/>
                      <w:i/>
                    </w:rPr>
                  </m:ctrlPr>
                </m:fPr>
                <m:num>
                  <m:r>
                    <w:rPr>
                      <w:rFonts w:ascii="Cambria Math" w:hAnsi="Cambria Math" w:cstheme="majorHAnsi"/>
                    </w:rPr>
                    <m:t>1</m:t>
                  </m:r>
                </m:num>
                <m:den>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0</m:t>
                      </m:r>
                    </m:sub>
                  </m:sSub>
                </m:den>
              </m:f>
              <m:sSub>
                <m:sSubPr>
                  <m:ctrlPr>
                    <w:rPr>
                      <w:rFonts w:ascii="Cambria Math" w:hAnsi="Cambria Math" w:cstheme="majorHAnsi"/>
                      <w:i/>
                    </w:rPr>
                  </m:ctrlPr>
                </m:sSubPr>
                <m:e>
                  <m:r>
                    <w:rPr>
                      <w:rFonts w:ascii="Cambria Math" w:hAnsi="Cambria Math" w:cstheme="majorHAnsi"/>
                    </w:rPr>
                    <m:t>Σ</m:t>
                  </m:r>
                </m:e>
                <m:sub>
                  <m:r>
                    <w:rPr>
                      <w:rFonts w:ascii="Cambria Math" w:hAnsi="Cambria Math" w:cstheme="majorHAnsi"/>
                    </w:rPr>
                    <m:t xml:space="preserve">t≤2020 </m:t>
                  </m:r>
                </m:sub>
              </m:sSub>
              <m:sSup>
                <m:sSupPr>
                  <m:ctrlPr>
                    <w:rPr>
                      <w:rFonts w:ascii="Cambria Math" w:hAnsi="Cambria Math" w:cstheme="majorHAnsi"/>
                      <w:i/>
                    </w:rPr>
                  </m:ctrlPr>
                </m:sSupPr>
                <m:e>
                  <m:d>
                    <m:dPr>
                      <m:begChr m:val="["/>
                      <m:endChr m:val="]"/>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log</m:t>
                          </m:r>
                        </m:fName>
                        <m:e>
                          <m:d>
                            <m:dPr>
                              <m:ctrlPr>
                                <w:rPr>
                                  <w:rFonts w:ascii="Cambria Math" w:hAnsi="Cambria Math" w:cstheme="majorHAnsi"/>
                                  <w:i/>
                                </w:rPr>
                              </m:ctrlPr>
                            </m:dPr>
                            <m:e>
                              <m:r>
                                <w:rPr>
                                  <w:rFonts w:ascii="Cambria Math" w:hAnsi="Cambria Math" w:cstheme="majorHAnsi"/>
                                </w:rPr>
                                <m:t>Ap</m:t>
                              </m:r>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jt</m:t>
                                  </m:r>
                                </m:sub>
                              </m:sSub>
                              <m:r>
                                <w:rPr>
                                  <w:rFonts w:ascii="Cambria Math" w:hAnsi="Cambria Math" w:cstheme="majorHAnsi"/>
                                </w:rPr>
                                <m:t xml:space="preserve"> + 1</m:t>
                              </m:r>
                            </m:e>
                          </m:d>
                        </m:e>
                      </m:func>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Ŷ</m:t>
                          </m:r>
                        </m:e>
                        <m:sub>
                          <m:r>
                            <w:rPr>
                              <w:rFonts w:ascii="Cambria Math" w:hAnsi="Cambria Math" w:cstheme="majorHAnsi"/>
                            </w:rPr>
                            <m:t>j</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0</m:t>
                              </m:r>
                            </m:sub>
                          </m:sSub>
                        </m:sub>
                      </m:sSub>
                    </m:e>
                  </m:d>
                </m:e>
                <m:sup>
                  <m:r>
                    <w:rPr>
                      <w:rFonts w:ascii="Cambria Math" w:hAnsi="Cambria Math" w:cstheme="majorHAnsi"/>
                    </w:rPr>
                    <m:t>2</m:t>
                  </m:r>
                </m:sup>
              </m:sSup>
            </m:e>
          </m:rad>
        </m:oMath>
      </m:oMathPara>
    </w:p>
    <w:p w14:paraId="4EA07407" w14:textId="77777777" w:rsidR="000C5691"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t>The saturated difference-in-differences model uses a common control trajectory for all EU countries.</w:t>
      </w:r>
    </w:p>
    <w:p w14:paraId="7C900043" w14:textId="77777777" w:rsidR="005B41DD" w:rsidRPr="00D011C2" w:rsidRDefault="000F0215" w:rsidP="00D011C2">
      <w:pPr>
        <w:spacing w:after="100" w:line="360" w:lineRule="auto"/>
        <w:ind w:firstLine="720"/>
        <w:rPr>
          <w:rFonts w:asciiTheme="majorHAnsi" w:hAnsiTheme="majorHAnsi" w:cstheme="majorHAnsi"/>
        </w:rPr>
      </w:pPr>
      <w:r w:rsidRPr="00D011C2">
        <w:rPr>
          <w:rFonts w:asciiTheme="majorHAnsi" w:hAnsiTheme="majorHAnsi" w:cstheme="majorHAnsi"/>
        </w:rPr>
        <w:t xml:space="preserve">Country-specific synthetic-control weights must therefore be aggregated into one global weight for every non-EU donor. Missing weights are treated as zero because a country that does not enter </w:t>
      </w:r>
      <m:oMath>
        <m:sSub>
          <m:sSubPr>
            <m:ctrlPr>
              <w:rPr>
                <w:rFonts w:ascii="Cambria Math" w:hAnsi="Cambria Math" w:cstheme="majorHAnsi"/>
                <w:i/>
              </w:rPr>
            </m:ctrlPr>
          </m:sSubPr>
          <m:e>
            <m:r>
              <w:rPr>
                <w:rFonts w:ascii="Cambria Math" w:hAnsi="Cambria Math" w:cstheme="majorHAnsi"/>
              </w:rPr>
              <m:t>Γ</m:t>
            </m:r>
          </m:e>
          <m:sub>
            <m:r>
              <w:rPr>
                <w:rFonts w:ascii="Cambria Math" w:hAnsi="Cambria Math" w:cstheme="majorHAnsi"/>
              </w:rPr>
              <m:t>j</m:t>
            </m:r>
          </m:sub>
        </m:sSub>
      </m:oMath>
      <w:r w:rsidRPr="00D011C2">
        <w:rPr>
          <w:rFonts w:asciiTheme="majorHAnsi" w:hAnsiTheme="majorHAnsi" w:cstheme="majorHAnsi"/>
        </w:rPr>
        <w:t xml:space="preserve"> contributes nothing to the synthetic control for EU country </w:t>
      </w:r>
      <m:oMath>
        <m:r>
          <w:rPr>
            <w:rFonts w:ascii="Cambria Math" w:hAnsi="Cambria Math" w:cstheme="majorHAnsi"/>
          </w:rPr>
          <m:t>j</m:t>
        </m:r>
      </m:oMath>
      <w:r w:rsidR="00F35F49" w:rsidRPr="00D011C2">
        <w:rPr>
          <w:rFonts w:asciiTheme="majorHAnsi" w:hAnsiTheme="majorHAnsi" w:cstheme="majorHAnsi"/>
        </w:rPr>
        <w:t>:</w:t>
      </w:r>
    </w:p>
    <w:bookmarkStart w:id="1" w:name="_Hlk231747548"/>
    <w:p w14:paraId="3B6714BC" w14:textId="77777777" w:rsidR="005B41DD" w:rsidRPr="00D011C2" w:rsidRDefault="00040C00" w:rsidP="00D011C2">
      <w:pPr>
        <w:spacing w:after="100" w:line="360" w:lineRule="auto"/>
        <w:jc w:val="center"/>
        <w:rPr>
          <w:rFonts w:asciiTheme="majorHAnsi" w:hAnsiTheme="majorHAnsi" w:cstheme="majorHAnsi"/>
        </w:rPr>
      </w:pPr>
      <m:oMathPara>
        <m:oMath>
          <m:sSub>
            <m:sSubPr>
              <m:ctrlPr>
                <w:rPr>
                  <w:rFonts w:ascii="Cambria Math" w:hAnsi="Cambria Math" w:cstheme="majorHAnsi"/>
                  <w:i/>
                </w:rPr>
              </m:ctrlPr>
            </m:sSubPr>
            <m:e>
              <m:acc>
                <m:accPr>
                  <m:chr m:val="̄"/>
                  <m:ctrlPr>
                    <w:rPr>
                      <w:rFonts w:ascii="Cambria Math" w:hAnsi="Cambria Math" w:cstheme="majorHAnsi"/>
                      <w:i/>
                    </w:rPr>
                  </m:ctrlPr>
                </m:accPr>
                <m:e>
                  <m:r>
                    <w:rPr>
                      <w:rFonts w:ascii="Cambria Math" w:hAnsi="Cambria Math" w:cstheme="majorHAnsi"/>
                    </w:rPr>
                    <m:t>w</m:t>
                  </m:r>
                </m:e>
              </m:acc>
            </m:e>
            <m:sub>
              <m:r>
                <w:rPr>
                  <w:rFonts w:ascii="Cambria Math" w:hAnsi="Cambria Math" w:cstheme="majorHAnsi"/>
                </w:rPr>
                <m:t>k</m:t>
              </m:r>
            </m:sub>
          </m:sSub>
          <w:bookmarkEnd w:id="1"/>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J</m:t>
              </m:r>
            </m:den>
          </m:f>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j=1</m:t>
              </m:r>
            </m:sub>
            <m:sup>
              <m:r>
                <w:rPr>
                  <w:rFonts w:ascii="Cambria Math" w:hAnsi="Cambria Math" w:cstheme="majorHAnsi"/>
                </w:rPr>
                <m:t>J</m:t>
              </m:r>
            </m:sup>
            <m:e>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jk</m:t>
                  </m:r>
                </m:sub>
              </m:sSub>
            </m:e>
          </m:nary>
        </m:oMath>
      </m:oMathPara>
    </w:p>
    <w:p w14:paraId="7C9336A7" w14:textId="77777777" w:rsidR="005B41DD"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t>The global weights are then normalized to sum to one</w:t>
      </w:r>
      <w:r w:rsidR="00F35F49" w:rsidRPr="00D011C2">
        <w:rPr>
          <w:rFonts w:asciiTheme="majorHAnsi" w:hAnsiTheme="majorHAnsi" w:cstheme="majorHAnsi"/>
        </w:rPr>
        <w:t>:</w:t>
      </w:r>
    </w:p>
    <w:p w14:paraId="36A49403" w14:textId="77777777" w:rsidR="005B41DD" w:rsidRPr="00D011C2" w:rsidRDefault="000C5691" w:rsidP="00D011C2">
      <w:pPr>
        <w:spacing w:after="100" w:line="360" w:lineRule="auto"/>
        <w:jc w:val="center"/>
        <w:rPr>
          <w:rFonts w:asciiTheme="majorHAnsi" w:hAnsiTheme="majorHAnsi" w:cstheme="majorHAnsi"/>
        </w:rPr>
      </w:pPr>
      <m:oMathPara>
        <m:oMath>
          <m:r>
            <w:rPr>
              <w:rFonts w:ascii="Cambria Math" w:hAnsi="Cambria Math" w:cstheme="majorHAnsi"/>
            </w:rPr>
            <m:t>w̃_</m:t>
          </m:r>
          <w:commentRangeStart w:id="2"/>
          <m:r>
            <w:rPr>
              <w:rFonts w:ascii="Cambria Math" w:hAnsi="Cambria Math" w:cstheme="majorHAnsi"/>
            </w:rPr>
            <m:t>k =</m:t>
          </m:r>
          <m:f>
            <m:fPr>
              <m:ctrlPr>
                <w:rPr>
                  <w:rFonts w:ascii="Cambria Math" w:hAnsi="Cambria Math" w:cstheme="majorHAnsi"/>
                  <w:i/>
                </w:rPr>
              </m:ctrlPr>
            </m:fPr>
            <m:num>
              <m:sSub>
                <m:sSubPr>
                  <m:ctrlPr>
                    <w:rPr>
                      <w:rFonts w:ascii="Cambria Math" w:hAnsi="Cambria Math" w:cstheme="majorHAnsi"/>
                      <w:i/>
                    </w:rPr>
                  </m:ctrlPr>
                </m:sSubPr>
                <m:e>
                  <m:acc>
                    <m:accPr>
                      <m:chr m:val="̄"/>
                      <m:ctrlPr>
                        <w:rPr>
                          <w:rFonts w:ascii="Cambria Math" w:hAnsi="Cambria Math" w:cstheme="majorHAnsi"/>
                          <w:i/>
                        </w:rPr>
                      </m:ctrlPr>
                    </m:accPr>
                    <m:e>
                      <m:r>
                        <w:rPr>
                          <w:rFonts w:ascii="Cambria Math" w:hAnsi="Cambria Math" w:cstheme="majorHAnsi"/>
                        </w:rPr>
                        <m:t>w</m:t>
                      </m:r>
                    </m:e>
                  </m:acc>
                </m:e>
                <m:sub>
                  <m:r>
                    <w:rPr>
                      <w:rFonts w:ascii="Cambria Math" w:hAnsi="Cambria Math" w:cstheme="majorHAnsi"/>
                    </w:rPr>
                    <m:t>k</m:t>
                  </m:r>
                </m:sub>
              </m:sSub>
            </m:num>
            <m:den>
              <m:nary>
                <m:naryPr>
                  <m:chr m:val="∑"/>
                  <m:supHide m:val="1"/>
                  <m:ctrlPr>
                    <w:rPr>
                      <w:rFonts w:ascii="Cambria Math" w:hAnsi="Cambria Math" w:cstheme="majorHAnsi"/>
                      <w:i/>
                    </w:rPr>
                  </m:ctrlPr>
                </m:naryPr>
                <m:sub>
                  <m:r>
                    <w:rPr>
                      <w:rFonts w:ascii="Cambria Math" w:hAnsi="Cambria Math" w:cstheme="majorHAnsi"/>
                    </w:rPr>
                    <m:t>s</m:t>
                  </m:r>
                </m:sub>
                <m:sup/>
                <m:e>
                  <m:sSub>
                    <m:sSubPr>
                      <m:ctrlPr>
                        <w:rPr>
                          <w:rFonts w:ascii="Cambria Math" w:hAnsi="Cambria Math" w:cstheme="majorHAnsi"/>
                          <w:i/>
                        </w:rPr>
                      </m:ctrlPr>
                    </m:sSubPr>
                    <m:e>
                      <m:acc>
                        <m:accPr>
                          <m:chr m:val="̄"/>
                          <m:ctrlPr>
                            <w:rPr>
                              <w:rFonts w:ascii="Cambria Math" w:hAnsi="Cambria Math" w:cstheme="majorHAnsi"/>
                              <w:i/>
                            </w:rPr>
                          </m:ctrlPr>
                        </m:accPr>
                        <m:e>
                          <m:r>
                            <w:rPr>
                              <w:rFonts w:ascii="Cambria Math" w:hAnsi="Cambria Math" w:cstheme="majorHAnsi"/>
                            </w:rPr>
                            <m:t>w</m:t>
                          </m:r>
                        </m:e>
                      </m:acc>
                    </m:e>
                    <m:sub>
                      <m:r>
                        <w:rPr>
                          <w:rFonts w:ascii="Cambria Math" w:hAnsi="Cambria Math" w:cstheme="majorHAnsi"/>
                        </w:rPr>
                        <m:t>s</m:t>
                      </m:r>
                    </m:sub>
                  </m:sSub>
                </m:e>
              </m:nary>
            </m:den>
          </m:f>
          <m:r>
            <w:rPr>
              <w:rFonts w:ascii="Cambria Math" w:hAnsi="Cambria Math" w:cstheme="majorHAnsi"/>
            </w:rPr>
            <m:t xml:space="preserve"> </m:t>
          </m:r>
          <w:commentRangeEnd w:id="2"/>
          <m:r>
            <m:rPr>
              <m:sty m:val="p"/>
            </m:rPr>
            <w:rPr>
              <w:rStyle w:val="CommentReference"/>
              <w:rFonts w:ascii="Cambria Math" w:hAnsi="Cambria Math" w:cstheme="majorHAnsi"/>
            </w:rPr>
            <w:commentReference w:id="2"/>
          </m:r>
        </m:oMath>
      </m:oMathPara>
    </w:p>
    <w:p w14:paraId="62CF0DEE" w14:textId="77777777" w:rsidR="002F4456" w:rsidRPr="00D011C2" w:rsidRDefault="00F35F49" w:rsidP="00D011C2">
      <w:pPr>
        <w:spacing w:after="100" w:line="360" w:lineRule="auto"/>
        <w:rPr>
          <w:rFonts w:asciiTheme="majorHAnsi" w:hAnsiTheme="majorHAnsi" w:cstheme="majorHAnsi"/>
        </w:rPr>
      </w:pPr>
      <w:r w:rsidRPr="00D011C2">
        <w:rPr>
          <w:rFonts w:asciiTheme="majorHAnsi" w:hAnsiTheme="majorHAnsi" w:cstheme="majorHAnsi"/>
        </w:rPr>
        <w:t xml:space="preserve">where </w:t>
      </w:r>
      <m:oMath>
        <m:r>
          <w:rPr>
            <w:rFonts w:ascii="Cambria Math" w:hAnsi="Cambria Math" w:cstheme="majorHAnsi"/>
          </w:rPr>
          <m:t>s</m:t>
        </m:r>
      </m:oMath>
      <w:r w:rsidRPr="00D011C2">
        <w:rPr>
          <w:rFonts w:asciiTheme="majorHAnsi" w:hAnsiTheme="majorHAnsi" w:cstheme="majorHAnsi"/>
        </w:rPr>
        <w:t xml:space="preserve"> spans all the unique countries in the union </w:t>
      </w:r>
      <m:oMath>
        <m:nary>
          <m:naryPr>
            <m:chr m:val="⋃"/>
            <m:supHide m:val="1"/>
            <m:ctrlPr>
              <w:rPr>
                <w:rFonts w:ascii="Cambria Math" w:hAnsi="Cambria Math" w:cstheme="majorHAnsi"/>
                <w:i/>
              </w:rPr>
            </m:ctrlPr>
          </m:naryPr>
          <m:sub>
            <m:r>
              <w:rPr>
                <w:rFonts w:ascii="Cambria Math" w:hAnsi="Cambria Math" w:cstheme="majorHAnsi"/>
              </w:rPr>
              <m:t>j</m:t>
            </m:r>
          </m:sub>
          <m:sup/>
          <m:e>
            <m:sSub>
              <m:sSubPr>
                <m:ctrlPr>
                  <w:rPr>
                    <w:rFonts w:ascii="Cambria Math" w:hAnsi="Cambria Math" w:cstheme="majorHAnsi"/>
                    <w:i/>
                  </w:rPr>
                </m:ctrlPr>
              </m:sSubPr>
              <m:e>
                <m:r>
                  <w:rPr>
                    <w:rFonts w:ascii="Cambria Math" w:hAnsi="Cambria Math" w:cstheme="majorHAnsi"/>
                  </w:rPr>
                  <m:t>Γ</m:t>
                </m:r>
              </m:e>
              <m:sub>
                <m:r>
                  <w:rPr>
                    <w:rFonts w:ascii="Cambria Math" w:hAnsi="Cambria Math" w:cstheme="majorHAnsi"/>
                  </w:rPr>
                  <m:t>j</m:t>
                </m:r>
              </m:sub>
            </m:sSub>
          </m:e>
        </m:nary>
      </m:oMath>
      <w:r w:rsidRPr="00D011C2">
        <w:rPr>
          <w:rFonts w:asciiTheme="majorHAnsi" w:hAnsiTheme="majorHAnsi" w:cstheme="majorHAnsi"/>
        </w:rPr>
        <w:t xml:space="preserve"> because if a country has been identified as a country belonging to this union it must contain non-zero weight. The sum across all </w:t>
      </w:r>
      <m:oMath>
        <m:sSub>
          <m:sSubPr>
            <m:ctrlPr>
              <w:rPr>
                <w:rFonts w:ascii="Cambria Math" w:hAnsi="Cambria Math" w:cstheme="majorHAnsi"/>
                <w:i/>
              </w:rPr>
            </m:ctrlPr>
          </m:sSubPr>
          <m:e>
            <m:acc>
              <m:accPr>
                <m:chr m:val="̃"/>
                <m:ctrlPr>
                  <w:rPr>
                    <w:rFonts w:ascii="Cambria Math" w:hAnsi="Cambria Math" w:cstheme="majorHAnsi"/>
                    <w:i/>
                  </w:rPr>
                </m:ctrlPr>
              </m:accPr>
              <m:e>
                <m:r>
                  <w:rPr>
                    <w:rFonts w:ascii="Cambria Math" w:hAnsi="Cambria Math" w:cstheme="majorHAnsi"/>
                  </w:rPr>
                  <m:t>w</m:t>
                </m:r>
              </m:e>
            </m:acc>
          </m:e>
          <m:sub>
            <m:r>
              <w:rPr>
                <w:rFonts w:ascii="Cambria Math" w:hAnsi="Cambria Math" w:cstheme="majorHAnsi"/>
              </w:rPr>
              <m:t>k</m:t>
            </m:r>
          </m:sub>
        </m:sSub>
      </m:oMath>
      <w:r w:rsidRPr="00D011C2">
        <w:rPr>
          <w:rFonts w:asciiTheme="majorHAnsi" w:hAnsiTheme="majorHAnsi" w:cstheme="majorHAnsi"/>
        </w:rPr>
        <w:t xml:space="preserve"> should naturally be equal to one. </w:t>
      </w:r>
    </w:p>
    <w:p w14:paraId="3C56514E" w14:textId="77777777" w:rsidR="00D011C2" w:rsidRPr="00D011C2" w:rsidRDefault="000F0215" w:rsidP="00D011C2">
      <w:pPr>
        <w:spacing w:after="100" w:line="360" w:lineRule="auto"/>
        <w:ind w:firstLine="720"/>
        <w:rPr>
          <w:rFonts w:asciiTheme="majorHAnsi" w:hAnsiTheme="majorHAnsi" w:cstheme="majorHAnsi"/>
        </w:rPr>
      </w:pPr>
      <w:r w:rsidRPr="00D011C2">
        <w:rPr>
          <w:rFonts w:asciiTheme="majorHAnsi" w:hAnsiTheme="majorHAnsi" w:cstheme="majorHAnsi"/>
        </w:rPr>
        <w:t>The outcome variable remains unchanged. The global weights are attached to the donor-country observations as regression weights and are held fixed over time. EU observations receive unit weight. To balance the total influence of the treated and control sides, the normalized donor weights may be multiplied by the number of treated EU countries J.</w:t>
      </w:r>
    </w:p>
    <w:p w14:paraId="567A021D" w14:textId="77777777" w:rsidR="002F4456" w:rsidRPr="00D011C2" w:rsidRDefault="00040C00" w:rsidP="00D011C2">
      <w:pPr>
        <w:spacing w:after="100" w:line="360"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i</m:t>
              </m:r>
            </m:sub>
          </m:sSub>
          <m:r>
            <w:rPr>
              <w:rFonts w:ascii="Cambria Math" w:hAnsi="Cambria Math" w:cstheme="majorHAnsi"/>
            </w:rPr>
            <m:t>=</m:t>
          </m:r>
          <m:d>
            <m:dPr>
              <m:begChr m:val="{"/>
              <m:endChr m:val=""/>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1,             if i∈</m:t>
                  </m:r>
                  <m:r>
                    <m:rPr>
                      <m:sty m:val="p"/>
                    </m:rPr>
                    <w:rPr>
                      <w:rFonts w:ascii="Cambria Math" w:hAnsi="Cambria Math" w:cstheme="majorHAnsi"/>
                    </w:rPr>
                    <m:t>Ω</m:t>
                  </m:r>
                </m:e>
                <m:e>
                  <m:r>
                    <w:rPr>
                      <w:rFonts w:ascii="Cambria Math" w:hAnsi="Cambria Math" w:cstheme="majorHAnsi"/>
                    </w:rPr>
                    <m:t>26⋅</m:t>
                  </m:r>
                  <m:acc>
                    <m:accPr>
                      <m:chr m:val="̃"/>
                      <m:ctrlPr>
                        <w:rPr>
                          <w:rFonts w:ascii="Cambria Math" w:hAnsi="Cambria Math" w:cstheme="majorHAnsi"/>
                          <w:i/>
                        </w:rPr>
                      </m:ctrlPr>
                    </m:accPr>
                    <m:e>
                      <m:sSub>
                        <m:sSubPr>
                          <m:ctrlPr>
                            <w:rPr>
                              <w:rFonts w:ascii="Cambria Math" w:hAnsi="Cambria Math" w:cstheme="majorHAnsi"/>
                              <w:i/>
                            </w:rPr>
                          </m:ctrlPr>
                        </m:sSubPr>
                        <m:e>
                          <m:r>
                            <w:rPr>
                              <w:rFonts w:ascii="Cambria Math" w:hAnsi="Cambria Math" w:cstheme="majorHAnsi"/>
                            </w:rPr>
                            <m:t>w</m:t>
                          </m:r>
                        </m:e>
                        <m:sub>
                          <m:r>
                            <w:rPr>
                              <w:rFonts w:ascii="Cambria Math" w:hAnsi="Cambria Math" w:cstheme="majorHAnsi"/>
                            </w:rPr>
                            <m:t>i</m:t>
                          </m:r>
                        </m:sub>
                      </m:sSub>
                    </m:e>
                  </m:acc>
                  <m:r>
                    <w:rPr>
                      <w:rFonts w:ascii="Cambria Math" w:hAnsi="Cambria Math" w:cstheme="majorHAnsi"/>
                    </w:rPr>
                    <m:t>,   if i∈P</m:t>
                  </m:r>
                </m:e>
              </m:eqArr>
            </m:e>
          </m:d>
        </m:oMath>
      </m:oMathPara>
    </w:p>
    <w:p w14:paraId="21AFF824" w14:textId="77777777" w:rsidR="002F4456" w:rsidRPr="00D011C2" w:rsidRDefault="00D011C2" w:rsidP="00D011C2">
      <w:pPr>
        <w:spacing w:after="100" w:line="360" w:lineRule="auto"/>
        <w:rPr>
          <w:rFonts w:asciiTheme="majorHAnsi" w:hAnsiTheme="majorHAnsi" w:cstheme="majorHAnsi"/>
        </w:rPr>
      </w:pPr>
      <w:r w:rsidRPr="00D011C2">
        <w:rPr>
          <w:rFonts w:asciiTheme="majorHAnsi" w:hAnsiTheme="majorHAnsi" w:cstheme="majorHAnsi"/>
        </w:rPr>
        <w:t xml:space="preserve">this specification balances the sample exactly because it forces the control group (regardless of its size) to have the same overall importance in the sample as the treated group. This procedure also stabilizes the omitted category path in the following regression: </w:t>
      </w:r>
    </w:p>
    <w:p w14:paraId="76CF3C3D" w14:textId="77777777" w:rsidR="005B41DD" w:rsidRPr="00D011C2" w:rsidRDefault="00040C00" w:rsidP="00D011C2">
      <w:pPr>
        <w:spacing w:after="100" w:line="360" w:lineRule="auto"/>
        <w:jc w:val="center"/>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log</m:t>
              </m:r>
            </m:fName>
            <m:e>
              <m:r>
                <w:rPr>
                  <w:rFonts w:ascii="Cambria Math" w:hAnsi="Cambria Math" w:cstheme="majorHAnsi"/>
                </w:rPr>
                <m:t>(Ap</m:t>
              </m:r>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it</m:t>
                  </m:r>
                </m:sub>
              </m:sSub>
              <m:r>
                <w:rPr>
                  <w:rFonts w:ascii="Cambria Math" w:hAnsi="Cambria Math" w:cstheme="majorHAnsi"/>
                </w:rPr>
                <m:t>)</m:t>
              </m:r>
            </m:e>
          </m:func>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i</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γ</m:t>
              </m:r>
            </m:e>
            <m:sub>
              <m:r>
                <w:rPr>
                  <w:rFonts w:ascii="Cambria Math" w:hAnsi="Cambria Math" w:cstheme="majorHAnsi"/>
                </w:rPr>
                <m:t>t</m:t>
              </m:r>
            </m:sub>
          </m:sSub>
          <m:r>
            <w:rPr>
              <w:rFonts w:ascii="Cambria Math" w:hAnsi="Cambria Math" w:cstheme="majorHAnsi"/>
            </w:rPr>
            <m:t>+</m:t>
          </m:r>
          <m:nary>
            <m:naryPr>
              <m:chr m:val="∑"/>
              <m:limLoc m:val="undOvr"/>
              <m:ctrlPr>
                <w:rPr>
                  <w:rFonts w:ascii="Cambria Math" w:hAnsi="Cambria Math" w:cstheme="majorHAnsi"/>
                  <w:i/>
                </w:rPr>
              </m:ctrlPr>
            </m:naryPr>
            <m:sub>
              <m:r>
                <w:rPr>
                  <w:rFonts w:ascii="Cambria Math" w:hAnsi="Cambria Math" w:cstheme="majorHAnsi"/>
                </w:rPr>
                <m:t>j∈</m:t>
              </m:r>
              <m:r>
                <m:rPr>
                  <m:sty m:val="p"/>
                </m:rPr>
                <w:rPr>
                  <w:rFonts w:ascii="Cambria Math" w:hAnsi="Cambria Math" w:cstheme="majorHAnsi"/>
                </w:rPr>
                <m:t>Ω</m:t>
              </m:r>
            </m:sub>
            <m:sup>
              <m:r>
                <w:rPr>
                  <w:rFonts w:ascii="Cambria Math" w:hAnsi="Cambria Math" w:cstheme="majorHAnsi"/>
                </w:rPr>
                <m:t xml:space="preserve"> </m:t>
              </m:r>
            </m:sup>
            <m:e>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j</m:t>
                  </m:r>
                </m:sub>
              </m:sSub>
              <m:d>
                <m:dPr>
                  <m:begChr m:val="["/>
                  <m:endChr m:val="]"/>
                  <m:ctrlPr>
                    <w:rPr>
                      <w:rFonts w:ascii="Cambria Math" w:hAnsi="Cambria Math" w:cstheme="majorHAnsi"/>
                      <w:i/>
                    </w:rPr>
                  </m:ctrlPr>
                </m:dPr>
                <m:e>
                  <m:r>
                    <w:rPr>
                      <w:rFonts w:ascii="Cambria Math" w:hAnsi="Cambria Math" w:cstheme="majorHAnsi"/>
                    </w:rPr>
                    <m:t>1</m:t>
                  </m:r>
                  <m:d>
                    <m:dPr>
                      <m:begChr m:val="{"/>
                      <m:endChr m:val="}"/>
                      <m:ctrlPr>
                        <w:rPr>
                          <w:rFonts w:ascii="Cambria Math" w:hAnsi="Cambria Math" w:cstheme="majorHAnsi"/>
                          <w:i/>
                        </w:rPr>
                      </m:ctrlPr>
                    </m:dPr>
                    <m:e>
                      <m:r>
                        <w:rPr>
                          <w:rFonts w:ascii="Cambria Math" w:hAnsi="Cambria Math" w:cstheme="majorHAnsi"/>
                        </w:rPr>
                        <m:t>i=j</m:t>
                      </m:r>
                    </m:e>
                  </m:d>
                  <m:r>
                    <w:rPr>
                      <w:rFonts w:ascii="Cambria Math" w:hAnsi="Cambria Math" w:cstheme="majorHAnsi"/>
                    </w:rPr>
                    <m:t>× Pos</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t</m:t>
                      </m:r>
                    </m:sub>
                  </m:sSub>
                </m:e>
              </m:d>
            </m:e>
          </m:nary>
          <m:r>
            <w:rPr>
              <w:rFonts w:ascii="Cambria Math" w:hAnsi="Cambria Math" w:cstheme="majorHAnsi"/>
            </w:rPr>
            <m:t xml:space="preserve"> + </m:t>
          </m:r>
          <m:sSubSup>
            <m:sSubSupPr>
              <m:ctrlPr>
                <w:rPr>
                  <w:rFonts w:ascii="Cambria Math" w:hAnsi="Cambria Math" w:cstheme="majorHAnsi"/>
                  <w:i/>
                </w:rPr>
              </m:ctrlPr>
            </m:sSubSupPr>
            <m:e>
              <m:r>
                <w:rPr>
                  <w:rFonts w:ascii="Cambria Math" w:hAnsi="Cambria Math" w:cstheme="majorHAnsi"/>
                </w:rPr>
                <m:t>X</m:t>
              </m:r>
            </m:e>
            <m:sub>
              <m:r>
                <w:rPr>
                  <w:rFonts w:ascii="Cambria Math" w:hAnsi="Cambria Math" w:cstheme="majorHAnsi"/>
                </w:rPr>
                <m:t>it</m:t>
              </m:r>
            </m:sub>
            <m:sup>
              <m:r>
                <w:rPr>
                  <w:rFonts w:ascii="Cambria Math" w:hAnsi="Cambria Math" w:cstheme="majorHAnsi"/>
                </w:rPr>
                <m:t>'</m:t>
              </m:r>
            </m:sup>
          </m:sSubSup>
          <m:r>
            <w:rPr>
              <w:rFonts w:ascii="Cambria Math" w:hAnsi="Cambria Math" w:cstheme="majorHAnsi"/>
            </w:rPr>
            <m:t xml:space="preserve">ρ + </m:t>
          </m:r>
          <m:sSub>
            <m:sSubPr>
              <m:ctrlPr>
                <w:rPr>
                  <w:rFonts w:ascii="Cambria Math" w:hAnsi="Cambria Math" w:cstheme="majorHAnsi"/>
                  <w:i/>
                </w:rPr>
              </m:ctrlPr>
            </m:sSubPr>
            <m:e>
              <m:r>
                <w:rPr>
                  <w:rFonts w:ascii="Cambria Math" w:hAnsi="Cambria Math" w:cstheme="majorHAnsi"/>
                </w:rPr>
                <m:t>ε</m:t>
              </m:r>
            </m:e>
            <m:sub>
              <m:r>
                <w:rPr>
                  <w:rFonts w:ascii="Cambria Math" w:hAnsi="Cambria Math" w:cstheme="majorHAnsi"/>
                </w:rPr>
                <m:t>it</m:t>
              </m:r>
            </m:sub>
          </m:sSub>
        </m:oMath>
      </m:oMathPara>
    </w:p>
    <w:p w14:paraId="0746F516" w14:textId="77777777" w:rsidR="005B41DD" w:rsidRPr="00D011C2" w:rsidRDefault="000F0215" w:rsidP="00D011C2">
      <w:pPr>
        <w:spacing w:after="100" w:line="360" w:lineRule="auto"/>
        <w:rPr>
          <w:rFonts w:asciiTheme="majorHAnsi" w:hAnsiTheme="majorHAnsi" w:cstheme="majorHAnsi"/>
        </w:rPr>
      </w:pPr>
      <w:r w:rsidRPr="00D011C2">
        <w:rPr>
          <w:rFonts w:asciiTheme="majorHAnsi" w:hAnsiTheme="majorHAnsi" w:cstheme="majorHAnsi"/>
        </w:rPr>
        <w:t xml:space="preserve">The regression is estimated by weighted least squares using </w:t>
      </w:r>
      <m:oMath>
        <m:sSub>
          <m:sSubPr>
            <m:ctrlPr>
              <w:rPr>
                <w:rFonts w:ascii="Cambria Math" w:hAnsi="Cambria Math" w:cstheme="majorHAnsi"/>
                <w:i/>
              </w:rPr>
            </m:ctrlPr>
          </m:sSubPr>
          <m:e>
            <m:r>
              <w:rPr>
                <w:rFonts w:ascii="Cambria Math" w:hAnsi="Cambria Math" w:cstheme="majorHAnsi"/>
              </w:rPr>
              <m:t>ω</m:t>
            </m:r>
          </m:e>
          <m:sub>
            <m:r>
              <w:rPr>
                <w:rFonts w:ascii="Cambria Math" w:hAnsi="Cambria Math" w:cstheme="majorHAnsi"/>
              </w:rPr>
              <m:t>i</m:t>
            </m:r>
          </m:sub>
        </m:sSub>
        <m:r>
          <w:rPr>
            <w:rFonts w:ascii="Cambria Math" w:hAnsi="Cambria Math" w:cstheme="majorHAnsi"/>
          </w:rPr>
          <m:t>.</m:t>
        </m:r>
      </m:oMath>
      <w:r w:rsidRPr="00D011C2">
        <w:rPr>
          <w:rFonts w:asciiTheme="majorHAnsi" w:hAnsiTheme="majorHAnsi" w:cstheme="majorHAnsi"/>
        </w:rPr>
        <w:t xml:space="preserve"> </w:t>
      </w:r>
    </w:p>
    <w:p w14:paraId="48350976" w14:textId="77777777" w:rsidR="005B41DD" w:rsidRPr="00D011C2" w:rsidRDefault="000F0215" w:rsidP="00D011C2">
      <w:pPr>
        <w:pStyle w:val="Heading1"/>
        <w:spacing w:after="100" w:line="360" w:lineRule="auto"/>
        <w:rPr>
          <w:rFonts w:cstheme="majorHAnsi"/>
          <w:color w:val="000000" w:themeColor="text1"/>
        </w:rPr>
      </w:pPr>
      <w:r w:rsidRPr="00D011C2">
        <w:rPr>
          <w:rFonts w:eastAsia="Times New Roman" w:cstheme="majorHAnsi"/>
          <w:color w:val="000000" w:themeColor="text1"/>
        </w:rPr>
        <w:t>Identification safeguards</w:t>
      </w:r>
    </w:p>
    <w:p w14:paraId="35B8BDBF" w14:textId="77777777" w:rsidR="005B41DD" w:rsidRPr="00D011C2" w:rsidRDefault="000F0215" w:rsidP="00D011C2">
      <w:pPr>
        <w:spacing w:after="100" w:line="360" w:lineRule="auto"/>
        <w:ind w:left="360" w:hanging="216"/>
        <w:rPr>
          <w:rFonts w:asciiTheme="majorHAnsi" w:hAnsiTheme="majorHAnsi" w:cstheme="majorHAnsi"/>
        </w:rPr>
      </w:pPr>
      <w:r w:rsidRPr="00D011C2">
        <w:rPr>
          <w:rFonts w:asciiTheme="majorHAnsi" w:hAnsiTheme="majorHAnsi" w:cstheme="majorHAnsi"/>
        </w:rPr>
        <w:t>• All donor selection and weight estimation must use observations from 2020 or earlier.</w:t>
      </w:r>
    </w:p>
    <w:p w14:paraId="0B5425FA" w14:textId="77777777" w:rsidR="005B41DD" w:rsidRPr="00D011C2" w:rsidRDefault="000F0215" w:rsidP="00D011C2">
      <w:pPr>
        <w:spacing w:after="100" w:line="360" w:lineRule="auto"/>
        <w:ind w:left="360" w:hanging="216"/>
        <w:rPr>
          <w:rFonts w:asciiTheme="majorHAnsi" w:hAnsiTheme="majorHAnsi" w:cstheme="majorHAnsi"/>
        </w:rPr>
      </w:pPr>
      <w:r w:rsidRPr="00D011C2">
        <w:rPr>
          <w:rFonts w:asciiTheme="majorHAnsi" w:hAnsiTheme="majorHAnsi" w:cstheme="majorHAnsi"/>
        </w:rPr>
        <w:t>• The estimated donor weights must remain constant throughout the full panel.</w:t>
      </w:r>
    </w:p>
    <w:p w14:paraId="36419647" w14:textId="77777777" w:rsidR="005B41DD" w:rsidRPr="00D011C2" w:rsidRDefault="000F0215" w:rsidP="00D011C2">
      <w:pPr>
        <w:spacing w:after="100" w:line="360" w:lineRule="auto"/>
        <w:ind w:left="360" w:hanging="216"/>
        <w:rPr>
          <w:rFonts w:asciiTheme="majorHAnsi" w:hAnsiTheme="majorHAnsi" w:cstheme="majorHAnsi"/>
        </w:rPr>
      </w:pPr>
      <w:r w:rsidRPr="00D011C2">
        <w:rPr>
          <w:rFonts w:asciiTheme="majorHAnsi" w:hAnsiTheme="majorHAnsi" w:cstheme="majorHAnsi"/>
        </w:rPr>
        <w:t>• The weighted control must display satisfactory pre-treatment fit in both trajectory plots and RMSPE diagnostics.</w:t>
      </w:r>
    </w:p>
    <w:p w14:paraId="0D2EECF3" w14:textId="77777777" w:rsidR="005B41DD" w:rsidRPr="00D011C2" w:rsidRDefault="000F0215" w:rsidP="00D011C2">
      <w:pPr>
        <w:spacing w:after="100" w:line="360" w:lineRule="auto"/>
        <w:ind w:left="360" w:hanging="216"/>
        <w:rPr>
          <w:rFonts w:asciiTheme="majorHAnsi" w:hAnsiTheme="majorHAnsi" w:cstheme="majorHAnsi"/>
        </w:rPr>
      </w:pPr>
      <w:r w:rsidRPr="00D011C2">
        <w:rPr>
          <w:rFonts w:asciiTheme="majorHAnsi" w:hAnsiTheme="majorHAnsi" w:cstheme="majorHAnsi"/>
        </w:rPr>
        <w:t>• The weighted specification should be reported alongside the unweighted baseline so that readers can assess sensitivity to the control-group construction.</w:t>
      </w:r>
    </w:p>
    <w:p w14:paraId="5C44E0DF" w14:textId="77777777" w:rsidR="005B41DD" w:rsidRPr="00D011C2" w:rsidRDefault="000F0215" w:rsidP="00D011C2">
      <w:pPr>
        <w:spacing w:after="100" w:line="360" w:lineRule="auto"/>
        <w:ind w:left="360" w:hanging="216"/>
        <w:rPr>
          <w:rFonts w:asciiTheme="majorHAnsi" w:hAnsiTheme="majorHAnsi" w:cstheme="majorHAnsi"/>
        </w:rPr>
      </w:pPr>
      <w:r w:rsidRPr="00D011C2">
        <w:rPr>
          <w:rFonts w:asciiTheme="majorHAnsi" w:hAnsiTheme="majorHAnsi" w:cstheme="majorHAnsi"/>
        </w:rPr>
        <w:t>• Standard errors from the weighted regression condition on the estimated weights. A bootstrap that reconstructs the donor pools and weights in every replication may be used as an additional inference check.</w:t>
      </w:r>
    </w:p>
    <w:p w14:paraId="5973A67F" w14:textId="77777777" w:rsidR="005B41DD" w:rsidRPr="00D011C2" w:rsidRDefault="000F0215" w:rsidP="00D011C2">
      <w:pPr>
        <w:pStyle w:val="Heading1"/>
        <w:spacing w:after="100" w:line="360" w:lineRule="auto"/>
        <w:rPr>
          <w:rFonts w:cstheme="majorHAnsi"/>
          <w:color w:val="000000" w:themeColor="text1"/>
        </w:rPr>
      </w:pPr>
      <w:r w:rsidRPr="00D011C2">
        <w:rPr>
          <w:rFonts w:eastAsia="Times New Roman" w:cstheme="majorHAnsi"/>
          <w:color w:val="000000" w:themeColor="text1"/>
        </w:rPr>
        <w:t>References</w:t>
      </w:r>
    </w:p>
    <w:p w14:paraId="44C74E06" w14:textId="77777777" w:rsidR="005B41DD" w:rsidRPr="00D011C2" w:rsidRDefault="000F0215" w:rsidP="00D011C2">
      <w:pPr>
        <w:spacing w:after="100" w:line="360" w:lineRule="auto"/>
        <w:ind w:left="432" w:hanging="432"/>
        <w:rPr>
          <w:rFonts w:asciiTheme="majorHAnsi" w:hAnsiTheme="majorHAnsi" w:cstheme="majorHAnsi"/>
        </w:rPr>
      </w:pPr>
      <w:r w:rsidRPr="00D011C2">
        <w:rPr>
          <w:rFonts w:asciiTheme="majorHAnsi" w:hAnsiTheme="majorHAnsi" w:cstheme="majorHAnsi"/>
        </w:rPr>
        <w:t xml:space="preserve">Sakoe, H., &amp; Chiba, S. (1978). Dynamic programming algorithm optimization for spoken word recognition. IEEE Transactions on Acoustics, Speech, and Signal Processing, 26(1), 43–49. </w:t>
      </w:r>
      <w:hyperlink r:id="rId9" w:history="1">
        <w:r w:rsidR="00D011C2" w:rsidRPr="00D011C2">
          <w:rPr>
            <w:rStyle w:val="Hyperlink"/>
            <w:rFonts w:asciiTheme="majorHAnsi" w:hAnsiTheme="majorHAnsi" w:cstheme="majorHAnsi"/>
          </w:rPr>
          <w:t>https://doi.org/10.1109/TASSP.1978.1163055</w:t>
        </w:r>
      </w:hyperlink>
      <w:r w:rsidR="00D011C2" w:rsidRPr="00D011C2">
        <w:rPr>
          <w:rFonts w:asciiTheme="majorHAnsi" w:hAnsiTheme="majorHAnsi" w:cstheme="majorHAnsi"/>
        </w:rPr>
        <w:t xml:space="preserve">  </w:t>
      </w:r>
    </w:p>
    <w:p w14:paraId="2D0907A2" w14:textId="77777777" w:rsidR="005B41DD" w:rsidRPr="00D011C2" w:rsidRDefault="000F0215" w:rsidP="00D011C2">
      <w:pPr>
        <w:spacing w:after="100" w:line="360" w:lineRule="auto"/>
        <w:ind w:left="432" w:hanging="432"/>
        <w:rPr>
          <w:rFonts w:asciiTheme="majorHAnsi" w:hAnsiTheme="majorHAnsi" w:cstheme="majorHAnsi"/>
        </w:rPr>
      </w:pPr>
      <w:r w:rsidRPr="00D011C2">
        <w:rPr>
          <w:rFonts w:asciiTheme="majorHAnsi" w:hAnsiTheme="majorHAnsi" w:cstheme="majorHAnsi"/>
        </w:rPr>
        <w:t xml:space="preserve">Giorgino, T. (2009). Computing and visualizing Dynamic Time Warping alignments in R: The dtw package. Journal of Statistical Software, 31(7), 1–24. </w:t>
      </w:r>
      <w:hyperlink r:id="rId10" w:history="1">
        <w:r w:rsidR="00D011C2" w:rsidRPr="00D011C2">
          <w:rPr>
            <w:rStyle w:val="Hyperlink"/>
            <w:rFonts w:asciiTheme="majorHAnsi" w:hAnsiTheme="majorHAnsi" w:cstheme="majorHAnsi"/>
          </w:rPr>
          <w:t>https://doi.org/10.18637/jss.v031.i07</w:t>
        </w:r>
      </w:hyperlink>
      <w:r w:rsidR="00D011C2" w:rsidRPr="00D011C2">
        <w:rPr>
          <w:rFonts w:asciiTheme="majorHAnsi" w:hAnsiTheme="majorHAnsi" w:cstheme="majorHAnsi"/>
        </w:rPr>
        <w:t xml:space="preserve"> </w:t>
      </w:r>
    </w:p>
    <w:p w14:paraId="4E76A851" w14:textId="77777777" w:rsidR="005B41DD" w:rsidRPr="00D011C2" w:rsidRDefault="000F0215" w:rsidP="00D011C2">
      <w:pPr>
        <w:spacing w:after="100" w:line="360" w:lineRule="auto"/>
        <w:ind w:left="432" w:hanging="432"/>
        <w:rPr>
          <w:rFonts w:asciiTheme="majorHAnsi" w:hAnsiTheme="majorHAnsi" w:cstheme="majorHAnsi"/>
        </w:rPr>
      </w:pPr>
      <w:r w:rsidRPr="00D011C2">
        <w:rPr>
          <w:rFonts w:asciiTheme="majorHAnsi" w:hAnsiTheme="majorHAnsi" w:cstheme="majorHAnsi"/>
        </w:rPr>
        <w:t xml:space="preserve">Abadie, A., Diamond, A., &amp; Hainmueller, J. (2010). Synthetic control methods for comparative case studies: Estimating the effect of California’s tobacco control program. Journal of the American Statistical Association, 105(490), 493–505. </w:t>
      </w:r>
      <w:hyperlink r:id="rId11" w:history="1">
        <w:r w:rsidR="00D011C2" w:rsidRPr="00D011C2">
          <w:rPr>
            <w:rStyle w:val="Hyperlink"/>
            <w:rFonts w:asciiTheme="majorHAnsi" w:hAnsiTheme="majorHAnsi" w:cstheme="majorHAnsi"/>
          </w:rPr>
          <w:t>https://doi.org/10.1198/jasa.2009.ap08746</w:t>
        </w:r>
      </w:hyperlink>
      <w:r w:rsidR="00D011C2" w:rsidRPr="00D011C2">
        <w:rPr>
          <w:rFonts w:asciiTheme="majorHAnsi" w:hAnsiTheme="majorHAnsi" w:cstheme="majorHAnsi"/>
        </w:rPr>
        <w:t xml:space="preserve"> </w:t>
      </w:r>
    </w:p>
    <w:p w14:paraId="39241CCB" w14:textId="77777777" w:rsidR="005B41DD" w:rsidRPr="00D011C2" w:rsidRDefault="000F0215" w:rsidP="00D011C2">
      <w:pPr>
        <w:spacing w:after="100" w:line="360" w:lineRule="auto"/>
        <w:ind w:left="432" w:hanging="432"/>
        <w:rPr>
          <w:rFonts w:asciiTheme="majorHAnsi" w:hAnsiTheme="majorHAnsi" w:cstheme="majorHAnsi"/>
        </w:rPr>
      </w:pPr>
      <w:r w:rsidRPr="00D011C2">
        <w:rPr>
          <w:rFonts w:asciiTheme="majorHAnsi" w:hAnsiTheme="majorHAnsi" w:cstheme="majorHAnsi"/>
        </w:rPr>
        <w:t xml:space="preserve">Abadie, A., &amp; Cattaneo, M. D. (2018). Econometric methods for program evaluation. Annual Review of Economics, 10, 465–503. </w:t>
      </w:r>
      <w:hyperlink r:id="rId12" w:history="1">
        <w:r w:rsidR="00D011C2" w:rsidRPr="00D011C2">
          <w:rPr>
            <w:rStyle w:val="Hyperlink"/>
            <w:rFonts w:asciiTheme="majorHAnsi" w:hAnsiTheme="majorHAnsi" w:cstheme="majorHAnsi"/>
          </w:rPr>
          <w:t>https://doi.org/10.1146/annurev-economics-080217-053402</w:t>
        </w:r>
      </w:hyperlink>
      <w:r w:rsidR="00D011C2" w:rsidRPr="00D011C2">
        <w:rPr>
          <w:rFonts w:asciiTheme="majorHAnsi" w:hAnsiTheme="majorHAnsi" w:cstheme="majorHAnsi"/>
        </w:rPr>
        <w:t xml:space="preserve"> </w:t>
      </w:r>
    </w:p>
    <w:sectPr w:rsidR="005B41DD" w:rsidRPr="00D011C2" w:rsidSect="00034616">
      <w:pgSz w:w="12240" w:h="15840"/>
      <w:pgMar w:top="1152" w:right="1296" w:bottom="1152"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toycho Rusinov" w:date="2026-06-07T17:39:00Z" w:initials="SR">
    <w:p w14:paraId="55B65083" w14:textId="77777777" w:rsidR="000C5691" w:rsidRDefault="000C5691">
      <w:pPr>
        <w:pStyle w:val="CommentText"/>
      </w:pPr>
      <w:r>
        <w:rPr>
          <w:rStyle w:val="CommentReference"/>
        </w:rPr>
        <w:annotationRef/>
      </w:r>
      <w:r>
        <w:t xml:space="preserve">Id need to think about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B6508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B65083" w16cid:durableId="2DD02B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C2986"/>
    <w:multiLevelType w:val="multilevel"/>
    <w:tmpl w:val="886E7870"/>
    <w:lvl w:ilvl="0">
      <w:start w:val="1"/>
      <w:numFmt w:val="lowerLetter"/>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0FD91C5F"/>
    <w:multiLevelType w:val="multilevel"/>
    <w:tmpl w:val="4D7C0DFC"/>
    <w:lvl w:ilvl="0">
      <w:start w:val="1"/>
      <w:numFmt w:val="upperRoman"/>
      <w:lvlText w:val="%1."/>
      <w:lvlJc w:val="righ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6A6363F"/>
    <w:multiLevelType w:val="hybridMultilevel"/>
    <w:tmpl w:val="6B005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C70213"/>
    <w:multiLevelType w:val="hybridMultilevel"/>
    <w:tmpl w:val="8A405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64CB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3"/>
  </w:num>
  <w:num w:numId="13">
    <w:abstractNumId w:val="10"/>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C00"/>
    <w:rsid w:val="0006063C"/>
    <w:rsid w:val="000C5691"/>
    <w:rsid w:val="000F0215"/>
    <w:rsid w:val="0015074B"/>
    <w:rsid w:val="0018684B"/>
    <w:rsid w:val="0029639D"/>
    <w:rsid w:val="002F4456"/>
    <w:rsid w:val="0030088F"/>
    <w:rsid w:val="00326F90"/>
    <w:rsid w:val="005B41DD"/>
    <w:rsid w:val="00AA1D8D"/>
    <w:rsid w:val="00B47730"/>
    <w:rsid w:val="00CB0664"/>
    <w:rsid w:val="00D011C2"/>
    <w:rsid w:val="00F35F49"/>
    <w:rsid w:val="00F82B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E8C15"/>
  <w14:defaultImageDpi w14:val="300"/>
  <w15:docId w15:val="{B736C113-D3F7-41BD-A79A-B911D90A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0088F"/>
    <w:rPr>
      <w:color w:val="808080"/>
    </w:rPr>
  </w:style>
  <w:style w:type="character" w:styleId="CommentReference">
    <w:name w:val="annotation reference"/>
    <w:basedOn w:val="DefaultParagraphFont"/>
    <w:uiPriority w:val="99"/>
    <w:semiHidden/>
    <w:unhideWhenUsed/>
    <w:rsid w:val="000C5691"/>
    <w:rPr>
      <w:sz w:val="16"/>
      <w:szCs w:val="16"/>
    </w:rPr>
  </w:style>
  <w:style w:type="paragraph" w:styleId="CommentText">
    <w:name w:val="annotation text"/>
    <w:basedOn w:val="Normal"/>
    <w:link w:val="CommentTextChar"/>
    <w:uiPriority w:val="99"/>
    <w:semiHidden/>
    <w:unhideWhenUsed/>
    <w:rsid w:val="000C5691"/>
    <w:pPr>
      <w:spacing w:line="240" w:lineRule="auto"/>
    </w:pPr>
    <w:rPr>
      <w:sz w:val="20"/>
      <w:szCs w:val="20"/>
    </w:rPr>
  </w:style>
  <w:style w:type="character" w:customStyle="1" w:styleId="CommentTextChar">
    <w:name w:val="Comment Text Char"/>
    <w:basedOn w:val="DefaultParagraphFont"/>
    <w:link w:val="CommentText"/>
    <w:uiPriority w:val="99"/>
    <w:semiHidden/>
    <w:rsid w:val="000C5691"/>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C5691"/>
    <w:rPr>
      <w:b/>
      <w:bCs/>
    </w:rPr>
  </w:style>
  <w:style w:type="character" w:customStyle="1" w:styleId="CommentSubjectChar">
    <w:name w:val="Comment Subject Char"/>
    <w:basedOn w:val="CommentTextChar"/>
    <w:link w:val="CommentSubject"/>
    <w:uiPriority w:val="99"/>
    <w:semiHidden/>
    <w:rsid w:val="000C5691"/>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0C56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5691"/>
    <w:rPr>
      <w:rFonts w:ascii="Segoe UI" w:eastAsia="Times New Roman" w:hAnsi="Segoe UI" w:cs="Segoe UI"/>
      <w:sz w:val="18"/>
      <w:szCs w:val="18"/>
    </w:rPr>
  </w:style>
  <w:style w:type="character" w:styleId="Hyperlink">
    <w:name w:val="Hyperlink"/>
    <w:basedOn w:val="DefaultParagraphFont"/>
    <w:uiPriority w:val="99"/>
    <w:unhideWhenUsed/>
    <w:rsid w:val="00D011C2"/>
    <w:rPr>
      <w:color w:val="0000FF" w:themeColor="hyperlink"/>
      <w:u w:val="single"/>
    </w:rPr>
  </w:style>
  <w:style w:type="character" w:styleId="UnresolvedMention">
    <w:name w:val="Unresolved Mention"/>
    <w:basedOn w:val="DefaultParagraphFont"/>
    <w:uiPriority w:val="99"/>
    <w:semiHidden/>
    <w:unhideWhenUsed/>
    <w:rsid w:val="00D01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doi.org/10.1146/annurev-economics-080217-0534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198/jasa.2009.ap0874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8637/jss.v031.i07" TargetMode="External"/><Relationship Id="rId4" Type="http://schemas.openxmlformats.org/officeDocument/2006/relationships/settings" Target="settings.xml"/><Relationship Id="rId9" Type="http://schemas.openxmlformats.org/officeDocument/2006/relationships/hyperlink" Target="https://doi.org/10.1109/TASSP.1978.1163055"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4B57A-7822-4D6E-B038-1CD020A30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Stoycho Rusinov</cp:lastModifiedBy>
  <cp:revision>4</cp:revision>
  <dcterms:created xsi:type="dcterms:W3CDTF">2026-06-07T15:13:00Z</dcterms:created>
  <dcterms:modified xsi:type="dcterms:W3CDTF">2026-06-07T20:18:00Z</dcterms:modified>
  <cp:category/>
</cp:coreProperties>
</file>