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71681" w:rsidRDefault="001F5987">
      <w:pPr>
        <w:spacing w:after="240"/>
      </w:pPr>
      <w:r>
        <w:rPr>
          <w:b/>
          <w:bCs/>
          <w:sz w:val="36"/>
          <w:szCs w:val="36"/>
        </w:rPr>
        <w:t>Brexit elasticities pipeline. README</w:t>
      </w:r>
    </w:p>
    <w:p w:rsidR="00671681" w:rsidRDefault="001F5987">
      <w:pPr>
        <w:spacing w:after="160" w:line="276" w:lineRule="auto"/>
      </w:pPr>
      <w:r>
        <w:t xml:space="preserve">This document describes the analysis pipeline contained in </w:t>
      </w:r>
      <w:proofErr w:type="spellStart"/>
      <w:r>
        <w:t>documentatio</w:t>
      </w:r>
      <w:bookmarkStart w:id="0" w:name="_GoBack"/>
      <w:bookmarkEnd w:id="0"/>
      <w:r>
        <w:t>n_</w:t>
      </w:r>
      <w:proofErr w:type="gramStart"/>
      <w:r>
        <w:t>clean.Rmd</w:t>
      </w:r>
      <w:proofErr w:type="spellEnd"/>
      <w:proofErr w:type="gramEnd"/>
      <w:r>
        <w:t>. The pipeline estimates how applications to UK universities from EU countries responded to the 2021 reform that removed home fee and loan status, raising the effective tuiti</w:t>
      </w:r>
      <w:r>
        <w:t>on price for EU applicants. The estimation strategy combines a synthetic control pool with a difference in differences design and reports the implied demand elasticities.</w:t>
      </w:r>
    </w:p>
    <w:p w:rsidR="00671681" w:rsidRDefault="001F5987">
      <w:pPr>
        <w:pStyle w:val="Heading1"/>
      </w:pPr>
      <w:r>
        <w:t>What the pipeline does</w:t>
      </w:r>
    </w:p>
    <w:p w:rsidR="00671681" w:rsidRDefault="001F5987">
      <w:pPr>
        <w:spacing w:after="160" w:line="276" w:lineRule="auto"/>
      </w:pPr>
      <w:r>
        <w:t>The headline question is the size of the post-2021 contraction</w:t>
      </w:r>
      <w:r>
        <w:t xml:space="preserve"> in EU applications and how that contraction varies across countries. The treated group is the set of 26 EU member states that lost home fee status. The control group is a synthetic pool of non-EU countries whose pre-2021 application trajectories track the</w:t>
      </w:r>
      <w:r>
        <w:t xml:space="preserve"> EU average, with Ireland kept as the most plausible single counterfactual because Irish applicants were exempt from the fee change. The pipeline produces a pooled treatment effect, a country by country saturated set of effects, an event study with placebo</w:t>
      </w:r>
      <w:r>
        <w:t xml:space="preserve"> and leads only tests, a decomposition of the effect into three elasticity concepts, a split that separates the immediate 2021 shock from the persistent post-COVID response, several donor pool robustness checks, and a wealth heterogeneity analysis using Wo</w:t>
      </w:r>
      <w:r>
        <w:t>rld Bank covariates.</w:t>
      </w:r>
    </w:p>
    <w:p w:rsidR="00671681" w:rsidRDefault="001F5987">
      <w:pPr>
        <w:pStyle w:val="Heading1"/>
      </w:pPr>
      <w:r>
        <w:t>Data inputs</w:t>
      </w:r>
    </w:p>
    <w:p w:rsidR="00671681" w:rsidRDefault="001F5987">
      <w:pPr>
        <w:spacing w:after="160" w:line="276" w:lineRule="auto"/>
      </w:pPr>
      <w:r>
        <w:t xml:space="preserve">The pipeline reads two files. The first is data_filtered.xlsx, sheet </w:t>
      </w:r>
      <w:proofErr w:type="spellStart"/>
      <w:r>
        <w:t>full_data</w:t>
      </w:r>
      <w:proofErr w:type="spellEnd"/>
      <w:r>
        <w:t>, which holds the UCAS applicant counts by country and year. The second is control_group_output.xlsx, sheet weights, which holds the synthetic do</w:t>
      </w:r>
      <w:r>
        <w:t xml:space="preserve">nor countries and their regression weights as produced by the separate control group construction step. The path to the second file is set once at the top of the script in the variable </w:t>
      </w:r>
      <w:proofErr w:type="spellStart"/>
      <w:r>
        <w:t>control_group_file</w:t>
      </w:r>
      <w:proofErr w:type="spellEnd"/>
      <w:r>
        <w:t xml:space="preserve"> and should be made relative if the bundle is moved t</w:t>
      </w:r>
      <w:r>
        <w:t>o another machine. Each file is read exactly once.</w:t>
      </w:r>
    </w:p>
    <w:p w:rsidR="00671681" w:rsidRDefault="001F5987">
      <w:pPr>
        <w:pStyle w:val="Heading1"/>
      </w:pPr>
      <w:r>
        <w:t>Outcome and treatment definitions</w:t>
      </w:r>
    </w:p>
    <w:p w:rsidR="00671681" w:rsidRDefault="001F5987">
      <w:pPr>
        <w:spacing w:after="160" w:line="276" w:lineRule="auto"/>
      </w:pPr>
      <w:r>
        <w:t xml:space="preserve">The outcome throughout is the natural log of applicant counts, stored once as </w:t>
      </w:r>
      <w:proofErr w:type="spellStart"/>
      <w:r>
        <w:t>log_app</w:t>
      </w:r>
      <w:proofErr w:type="spellEnd"/>
      <w:r>
        <w:t>. The treatment indicator Post equals 1 for years from 2021 onward. The treatment grou</w:t>
      </w:r>
      <w:r>
        <w:t xml:space="preserve">p indicator EU equals 1 for the 26 treated countries. For the saturated specifications the variable </w:t>
      </w:r>
      <w:proofErr w:type="spellStart"/>
      <w:r>
        <w:t>treated_factor</w:t>
      </w:r>
      <w:proofErr w:type="spellEnd"/>
      <w:r>
        <w:t xml:space="preserve"> gives each treated country its own label while pooling all control countries under the single level CONTROL, which serves as the reference ca</w:t>
      </w:r>
      <w:r>
        <w:t>tegory.</w:t>
      </w:r>
    </w:p>
    <w:p w:rsidR="00671681" w:rsidRDefault="001F5987">
      <w:pPr>
        <w:pStyle w:val="Heading1"/>
      </w:pPr>
      <w:r>
        <w:t>Core specifications</w:t>
      </w:r>
    </w:p>
    <w:p w:rsidR="00671681" w:rsidRDefault="001F5987">
      <w:pPr>
        <w:spacing w:after="160" w:line="276" w:lineRule="auto"/>
      </w:pPr>
      <w:r>
        <w:t>The pooled saturated difference in differences estimates a separate post-treatment coefficient for each treated country relative to the pooled control group. The model is</w:t>
      </w:r>
    </w:p>
    <w:p w:rsidR="00671681" w:rsidRDefault="001F5987">
      <w:pPr>
        <w:spacing w:before="80" w:after="200" w:line="276" w:lineRule="auto"/>
        <w:jc w:val="center"/>
      </w:pPr>
      <w:proofErr w:type="gramStart"/>
      <w:r>
        <w:rPr>
          <w:i/>
          <w:iCs/>
        </w:rPr>
        <w:t>log(</w:t>
      </w:r>
      <w:proofErr w:type="spellStart"/>
      <w:proofErr w:type="gramEnd"/>
      <w:r>
        <w:rPr>
          <w:i/>
          <w:iCs/>
        </w:rPr>
        <w:t>App</w:t>
      </w:r>
      <w:r>
        <w:rPr>
          <w:i/>
          <w:iCs/>
          <w:vertAlign w:val="subscript"/>
        </w:rPr>
        <w:t>it</w:t>
      </w:r>
      <w:proofErr w:type="spellEnd"/>
      <w:r>
        <w:rPr>
          <w:i/>
          <w:iCs/>
        </w:rPr>
        <w:t>) = α</w:t>
      </w:r>
      <w:proofErr w:type="spellStart"/>
      <w:r>
        <w:rPr>
          <w:i/>
          <w:iCs/>
          <w:vertAlign w:val="subscript"/>
        </w:rPr>
        <w:t>i</w:t>
      </w:r>
      <w:proofErr w:type="spellEnd"/>
      <w:r>
        <w:rPr>
          <w:i/>
          <w:iCs/>
        </w:rPr>
        <w:t xml:space="preserve"> + </w:t>
      </w:r>
      <w:proofErr w:type="spellStart"/>
      <w:r>
        <w:rPr>
          <w:i/>
          <w:iCs/>
        </w:rPr>
        <w:t>λ</w:t>
      </w:r>
      <w:r>
        <w:rPr>
          <w:i/>
          <w:iCs/>
          <w:vertAlign w:val="subscript"/>
        </w:rPr>
        <w:t>t</w:t>
      </w:r>
      <w:proofErr w:type="spellEnd"/>
      <w:r>
        <w:rPr>
          <w:i/>
          <w:iCs/>
        </w:rPr>
        <w:t xml:space="preserve"> + </w:t>
      </w:r>
      <w:proofErr w:type="spellStart"/>
      <w:r>
        <w:rPr>
          <w:i/>
          <w:iCs/>
        </w:rPr>
        <w:t>Σ</w:t>
      </w:r>
      <w:r>
        <w:rPr>
          <w:i/>
          <w:iCs/>
          <w:vertAlign w:val="subscript"/>
        </w:rPr>
        <w:t>c</w:t>
      </w:r>
      <w:proofErr w:type="spellEnd"/>
      <w:r>
        <w:rPr>
          <w:i/>
          <w:iCs/>
        </w:rPr>
        <w:t xml:space="preserve"> β</w:t>
      </w:r>
      <w:r>
        <w:rPr>
          <w:i/>
          <w:iCs/>
          <w:vertAlign w:val="subscript"/>
        </w:rPr>
        <w:t>c</w:t>
      </w:r>
      <w:r>
        <w:rPr>
          <w:i/>
          <w:iCs/>
        </w:rPr>
        <w:t xml:space="preserve"> (1{</w:t>
      </w:r>
      <w:proofErr w:type="spellStart"/>
      <w:r>
        <w:rPr>
          <w:i/>
          <w:iCs/>
        </w:rPr>
        <w:t>i</w:t>
      </w:r>
      <w:proofErr w:type="spellEnd"/>
      <w:r>
        <w:rPr>
          <w:i/>
          <w:iCs/>
        </w:rPr>
        <w:t xml:space="preserve">=c} × </w:t>
      </w:r>
      <w:proofErr w:type="spellStart"/>
      <w:r>
        <w:rPr>
          <w:i/>
          <w:iCs/>
        </w:rPr>
        <w:t>Post</w:t>
      </w:r>
      <w:r>
        <w:rPr>
          <w:i/>
          <w:iCs/>
          <w:vertAlign w:val="subscript"/>
        </w:rPr>
        <w:t>t</w:t>
      </w:r>
      <w:proofErr w:type="spellEnd"/>
      <w:r>
        <w:rPr>
          <w:i/>
          <w:iCs/>
        </w:rPr>
        <w:t xml:space="preserve">) + </w:t>
      </w:r>
      <w:proofErr w:type="spellStart"/>
      <w:r>
        <w:rPr>
          <w:i/>
          <w:iCs/>
        </w:rPr>
        <w:t>ε</w:t>
      </w:r>
      <w:r>
        <w:rPr>
          <w:i/>
          <w:iCs/>
          <w:vertAlign w:val="subscript"/>
        </w:rPr>
        <w:t>it</w:t>
      </w:r>
      <w:proofErr w:type="spellEnd"/>
    </w:p>
    <w:p w:rsidR="00671681" w:rsidRDefault="001F5987">
      <w:pPr>
        <w:spacing w:after="160" w:line="276" w:lineRule="auto"/>
      </w:pPr>
      <w:r>
        <w:lastRenderedPageBreak/>
        <w:t xml:space="preserve">Here </w:t>
      </w:r>
      <w:r>
        <w:t xml:space="preserve">the index </w:t>
      </w:r>
      <w:proofErr w:type="spellStart"/>
      <w:r>
        <w:t>i</w:t>
      </w:r>
      <w:proofErr w:type="spellEnd"/>
      <w:r>
        <w:t xml:space="preserve"> runs over countries and t over years, the term alpha </w:t>
      </w:r>
      <w:proofErr w:type="spellStart"/>
      <w:r>
        <w:t>i</w:t>
      </w:r>
      <w:proofErr w:type="spellEnd"/>
      <w:r>
        <w:t xml:space="preserve"> is a country fixed effect, lambda t is a year fixed effect, and beta c is the post-Brexit change in applications for treated country c relative to the pooled control group. Standard errors </w:t>
      </w:r>
      <w:r>
        <w:t xml:space="preserve">are Driscoll and </w:t>
      </w:r>
      <w:proofErr w:type="spellStart"/>
      <w:r>
        <w:t>Kraay</w:t>
      </w:r>
      <w:proofErr w:type="spellEnd"/>
      <w:r>
        <w:t>, which are robust to cross-sectional and serial correlation across the panel.</w:t>
      </w:r>
    </w:p>
    <w:p w:rsidR="00671681" w:rsidRDefault="001F5987">
      <w:pPr>
        <w:spacing w:after="160" w:line="276" w:lineRule="auto"/>
      </w:pPr>
      <w:r>
        <w:t xml:space="preserve">The event study traces the dynamic difference between EU and control countries year by year, </w:t>
      </w:r>
      <w:proofErr w:type="spellStart"/>
      <w:r>
        <w:t>normalised</w:t>
      </w:r>
      <w:proofErr w:type="spellEnd"/>
      <w:r>
        <w:t xml:space="preserve"> to zero in 2020. With event time defined as the yea</w:t>
      </w:r>
      <w:r>
        <w:t>r minus 2020, the model is</w:t>
      </w:r>
    </w:p>
    <w:p w:rsidR="00671681" w:rsidRDefault="001F5987">
      <w:pPr>
        <w:spacing w:before="80" w:after="200" w:line="276" w:lineRule="auto"/>
        <w:jc w:val="center"/>
      </w:pPr>
      <w:proofErr w:type="gramStart"/>
      <w:r>
        <w:rPr>
          <w:i/>
          <w:iCs/>
        </w:rPr>
        <w:t>log(</w:t>
      </w:r>
      <w:proofErr w:type="spellStart"/>
      <w:proofErr w:type="gramEnd"/>
      <w:r>
        <w:rPr>
          <w:i/>
          <w:iCs/>
        </w:rPr>
        <w:t>App</w:t>
      </w:r>
      <w:r>
        <w:rPr>
          <w:i/>
          <w:iCs/>
          <w:vertAlign w:val="subscript"/>
        </w:rPr>
        <w:t>it</w:t>
      </w:r>
      <w:proofErr w:type="spellEnd"/>
      <w:r>
        <w:rPr>
          <w:i/>
          <w:iCs/>
        </w:rPr>
        <w:t>) = α</w:t>
      </w:r>
      <w:proofErr w:type="spellStart"/>
      <w:r>
        <w:rPr>
          <w:i/>
          <w:iCs/>
          <w:vertAlign w:val="subscript"/>
        </w:rPr>
        <w:t>i</w:t>
      </w:r>
      <w:proofErr w:type="spellEnd"/>
      <w:r>
        <w:rPr>
          <w:i/>
          <w:iCs/>
        </w:rPr>
        <w:t xml:space="preserve"> + </w:t>
      </w:r>
      <w:proofErr w:type="spellStart"/>
      <w:r>
        <w:rPr>
          <w:i/>
          <w:iCs/>
        </w:rPr>
        <w:t>λ</w:t>
      </w:r>
      <w:r>
        <w:rPr>
          <w:i/>
          <w:iCs/>
          <w:vertAlign w:val="subscript"/>
        </w:rPr>
        <w:t>t</w:t>
      </w:r>
      <w:proofErr w:type="spellEnd"/>
      <w:r>
        <w:rPr>
          <w:i/>
          <w:iCs/>
        </w:rPr>
        <w:t xml:space="preserve"> + Σ</w:t>
      </w:r>
      <w:r>
        <w:rPr>
          <w:i/>
          <w:iCs/>
          <w:vertAlign w:val="subscript"/>
        </w:rPr>
        <w:t>ℓ≠0</w:t>
      </w:r>
      <w:r>
        <w:rPr>
          <w:i/>
          <w:iCs/>
        </w:rPr>
        <w:t xml:space="preserve"> β</w:t>
      </w:r>
      <w:r>
        <w:rPr>
          <w:i/>
          <w:iCs/>
          <w:vertAlign w:val="subscript"/>
        </w:rPr>
        <w:t>ℓ</w:t>
      </w:r>
      <w:r>
        <w:rPr>
          <w:i/>
          <w:iCs/>
        </w:rPr>
        <w:t xml:space="preserve"> (1{t−2020=ℓ} × </w:t>
      </w:r>
      <w:proofErr w:type="spellStart"/>
      <w:r>
        <w:rPr>
          <w:i/>
          <w:iCs/>
        </w:rPr>
        <w:t>EU</w:t>
      </w:r>
      <w:r>
        <w:rPr>
          <w:i/>
          <w:iCs/>
          <w:vertAlign w:val="subscript"/>
        </w:rPr>
        <w:t>i</w:t>
      </w:r>
      <w:proofErr w:type="spellEnd"/>
      <w:r>
        <w:rPr>
          <w:i/>
          <w:iCs/>
        </w:rPr>
        <w:t xml:space="preserve">) + </w:t>
      </w:r>
      <w:proofErr w:type="spellStart"/>
      <w:r>
        <w:rPr>
          <w:i/>
          <w:iCs/>
        </w:rPr>
        <w:t>ε</w:t>
      </w:r>
      <w:r>
        <w:rPr>
          <w:i/>
          <w:iCs/>
          <w:vertAlign w:val="subscript"/>
        </w:rPr>
        <w:t>it</w:t>
      </w:r>
      <w:proofErr w:type="spellEnd"/>
    </w:p>
    <w:p w:rsidR="00671681" w:rsidRDefault="001F5987">
      <w:pPr>
        <w:spacing w:after="160" w:line="276" w:lineRule="auto"/>
      </w:pPr>
      <w:r>
        <w:t xml:space="preserve">The coefficients beta ell </w:t>
      </w:r>
      <w:proofErr w:type="gramStart"/>
      <w:r>
        <w:t>trace</w:t>
      </w:r>
      <w:proofErr w:type="gramEnd"/>
      <w:r>
        <w:t xml:space="preserve"> the EU minus control difference in each relative year. A placebo version sets a fake treatment in 2018 to check for spurious pre-trends, and</w:t>
      </w:r>
      <w:r>
        <w:t xml:space="preserve"> a </w:t>
      </w:r>
      <w:proofErr w:type="gramStart"/>
      <w:r>
        <w:t>leads</w:t>
      </w:r>
      <w:proofErr w:type="gramEnd"/>
      <w:r>
        <w:t xml:space="preserve"> only version restricts the sample to years before 2021 and tests joint nullity of the pre-period coefficients with a Wald test.</w:t>
      </w:r>
    </w:p>
    <w:p w:rsidR="00671681" w:rsidRDefault="001F5987">
      <w:pPr>
        <w:pStyle w:val="Heading1"/>
      </w:pPr>
      <w:r>
        <w:t>Elasticity decomposition</w:t>
      </w:r>
    </w:p>
    <w:p w:rsidR="00671681" w:rsidRDefault="001F5987">
      <w:pPr>
        <w:spacing w:after="160" w:line="276" w:lineRule="auto"/>
      </w:pPr>
      <w:r>
        <w:t>The saturated country coefficients are converted into demand elasticities using the size of th</w:t>
      </w:r>
      <w:r>
        <w:t>e tuition shock. The pre-reform fee is 9,250 and the post-reform fee is 22,200. Two distinct price-change scalars appear and are named explicitly to avoid confusion. The log fee change is</w:t>
      </w:r>
    </w:p>
    <w:p w:rsidR="00671681" w:rsidRDefault="001F5987">
      <w:pPr>
        <w:spacing w:before="80" w:after="200" w:line="276" w:lineRule="auto"/>
        <w:jc w:val="center"/>
      </w:pPr>
      <w:proofErr w:type="spellStart"/>
      <w:r>
        <w:rPr>
          <w:i/>
          <w:iCs/>
        </w:rPr>
        <w:t>Δln</w:t>
      </w:r>
      <w:proofErr w:type="spellEnd"/>
      <w:r>
        <w:rPr>
          <w:i/>
          <w:iCs/>
        </w:rPr>
        <w:t xml:space="preserve">(fee) = </w:t>
      </w:r>
      <w:proofErr w:type="gramStart"/>
      <w:r>
        <w:rPr>
          <w:i/>
          <w:iCs/>
        </w:rPr>
        <w:t>ln(</w:t>
      </w:r>
      <w:proofErr w:type="gramEnd"/>
      <w:r>
        <w:rPr>
          <w:i/>
          <w:iCs/>
        </w:rPr>
        <w:t>22200) − ln(9250) ≈ 0.875</w:t>
      </w:r>
    </w:p>
    <w:p w:rsidR="00671681" w:rsidRDefault="001F5987">
      <w:pPr>
        <w:spacing w:after="160" w:line="276" w:lineRule="auto"/>
      </w:pPr>
      <w:r>
        <w:t>and the arithmetic fee chang</w:t>
      </w:r>
      <w:r>
        <w:t xml:space="preserve">e is (22200 − 9250) divided by 9250, approximately 1.40. The structural log elasticity divides each country coefficient by the log fee change, eta equals beta over </w:t>
      </w:r>
      <w:proofErr w:type="spellStart"/>
      <w:r>
        <w:t>Δln</w:t>
      </w:r>
      <w:proofErr w:type="spellEnd"/>
      <w:r>
        <w:t>(fee). The arc elasticity uses the arithmetic fee change in the denominator and the expon</w:t>
      </w:r>
      <w:r>
        <w:t xml:space="preserve">entiated coefficient in the numerator. A mechanical </w:t>
      </w:r>
      <w:proofErr w:type="gramStart"/>
      <w:r>
        <w:t>fee based</w:t>
      </w:r>
      <w:proofErr w:type="gramEnd"/>
      <w:r>
        <w:t xml:space="preserve"> elasticity computed directly from the 2020 to 2021 change in applicant counts is reported alongside for comparison.</w:t>
      </w:r>
    </w:p>
    <w:p w:rsidR="00671681" w:rsidRDefault="001F5987">
      <w:pPr>
        <w:pStyle w:val="Heading1"/>
      </w:pPr>
      <w:r>
        <w:t>COVID and post-COVID split</w:t>
      </w:r>
    </w:p>
    <w:p w:rsidR="00671681" w:rsidRDefault="001F5987">
      <w:pPr>
        <w:spacing w:after="160" w:line="276" w:lineRule="auto"/>
      </w:pPr>
      <w:r>
        <w:t>Because 2021 coincides with both the fee reform and</w:t>
      </w:r>
      <w:r>
        <w:t xml:space="preserve"> the tail of the pandemic, a second specification separates the immediate window from the persistent response. In this design Post </w:t>
      </w:r>
      <w:proofErr w:type="gramStart"/>
      <w:r>
        <w:t>flags</w:t>
      </w:r>
      <w:proofErr w:type="gramEnd"/>
      <w:r>
        <w:t xml:space="preserve"> the years 2021 through 2023, capturing the combined COVID and Brexit shock, while </w:t>
      </w:r>
      <w:proofErr w:type="spellStart"/>
      <w:r>
        <w:t>Post_COVID</w:t>
      </w:r>
      <w:proofErr w:type="spellEnd"/>
      <w:r>
        <w:t xml:space="preserve"> flags the years from 2024 </w:t>
      </w:r>
      <w:r>
        <w:t>onward, capturing the persistent Brexit only response after the pandemic faded. This design lives in its own data frame so it never overwrites the baseline Post definition used by the headline models.</w:t>
      </w:r>
    </w:p>
    <w:p w:rsidR="00671681" w:rsidRDefault="001F5987">
      <w:pPr>
        <w:pStyle w:val="Heading1"/>
      </w:pPr>
      <w:r>
        <w:t>Robustness checks</w:t>
      </w:r>
    </w:p>
    <w:p w:rsidR="00671681" w:rsidRDefault="001F5987">
      <w:pPr>
        <w:spacing w:after="160" w:line="276" w:lineRule="auto"/>
      </w:pPr>
      <w:r>
        <w:t xml:space="preserve">The first robustness block swaps the synthetic donor pool for several alternatives. These are a very poor pool of </w:t>
      </w:r>
      <w:proofErr w:type="gramStart"/>
      <w:r>
        <w:t>low income</w:t>
      </w:r>
      <w:proofErr w:type="gramEnd"/>
      <w:r>
        <w:t xml:space="preserve"> countries, a very rich pool of high income countries, an OECD pool, and an Ireland only counterfactual. Each pool is run both with </w:t>
      </w:r>
      <w:proofErr w:type="gramStart"/>
      <w:r>
        <w:t>distance based</w:t>
      </w:r>
      <w:proofErr w:type="gramEnd"/>
      <w:r>
        <w:t xml:space="preserve"> donor weights and unweighted, where the weight is the inverse root mean squared distance of each control country from the EU pre-treatment path. The second robustness block repeats these donor pool variations under the saturated country by c</w:t>
      </w:r>
      <w:r>
        <w:t>ountry design. Across all of these the pooled effect stays close to the baseline, which is the result the paper relies on.</w:t>
      </w:r>
    </w:p>
    <w:p w:rsidR="00671681" w:rsidRDefault="001F5987">
      <w:pPr>
        <w:pStyle w:val="Heading1"/>
      </w:pPr>
      <w:r>
        <w:lastRenderedPageBreak/>
        <w:t>Wealth heterogeneity</w:t>
      </w:r>
    </w:p>
    <w:p w:rsidR="00671681" w:rsidRDefault="001F5987">
      <w:pPr>
        <w:spacing w:after="160" w:line="276" w:lineRule="auto"/>
      </w:pPr>
      <w:r>
        <w:t>The final section asks whether the contraction varied with country wealth and size. It merges World Bank indicat</w:t>
      </w:r>
      <w:r>
        <w:t>ors for GDP per capita in constant prices, working age population aged 15 to 64, youth unemployment, and government education spending as a share of GDP, matched by ISO code rather than by country name so the merge is robust to spelling. The three controls</w:t>
      </w:r>
      <w:r>
        <w:t xml:space="preserve"> that enter the models are </w:t>
      </w:r>
      <w:proofErr w:type="spellStart"/>
      <w:r>
        <w:t>centred</w:t>
      </w:r>
      <w:proofErr w:type="spellEnd"/>
      <w:r>
        <w:t xml:space="preserve"> on their own means, and for GDP and population the </w:t>
      </w:r>
      <w:proofErr w:type="spellStart"/>
      <w:r>
        <w:t>centring</w:t>
      </w:r>
      <w:proofErr w:type="spellEnd"/>
      <w:r>
        <w:t xml:space="preserve"> is applied to the log. Because the variables are </w:t>
      </w:r>
      <w:proofErr w:type="spellStart"/>
      <w:r>
        <w:t>centred</w:t>
      </w:r>
      <w:proofErr w:type="spellEnd"/>
      <w:r>
        <w:t>, the interacted model reports the average treatment effect at sample means rather than an out of support</w:t>
      </w:r>
      <w:r>
        <w:t xml:space="preserve"> extrapolation. A Wald test on the interaction terms establishes whether the response is significantly heterogeneous. Education spending is pulled but kept out of the complete case filter so it does not shrink the estimation sample, and QS university count</w:t>
      </w:r>
      <w:r>
        <w:t>s are left as future work because the World Bank exposes no such series.</w:t>
      </w:r>
    </w:p>
    <w:p w:rsidR="00671681" w:rsidRDefault="001F5987">
      <w:pPr>
        <w:pStyle w:val="Heading1"/>
      </w:pPr>
      <w:r>
        <w:t>Naming conventions and the single read design</w:t>
      </w:r>
    </w:p>
    <w:p w:rsidR="00671681" w:rsidRDefault="001F5987">
      <w:pPr>
        <w:spacing w:after="160" w:line="276" w:lineRule="auto"/>
      </w:pPr>
      <w:r>
        <w:t xml:space="preserve">The pipeline reads each source file once and derives all analysis frames from those reads without ever mutating a shared global object in place. The object </w:t>
      </w:r>
      <w:proofErr w:type="spellStart"/>
      <w:r>
        <w:t>apps_raw</w:t>
      </w:r>
      <w:proofErr w:type="spellEnd"/>
      <w:r>
        <w:t xml:space="preserve"> is the untouched applicant read. The object </w:t>
      </w:r>
      <w:proofErr w:type="spellStart"/>
      <w:r>
        <w:t>apps_clean</w:t>
      </w:r>
      <w:proofErr w:type="spellEnd"/>
      <w:r>
        <w:t xml:space="preserve"> is the full cleaned panel restricted</w:t>
      </w:r>
      <w:r>
        <w:t xml:space="preserve"> to years after 2015, used for the donor pool checks. The object </w:t>
      </w:r>
      <w:proofErr w:type="spellStart"/>
      <w:r>
        <w:t>panel_main</w:t>
      </w:r>
      <w:proofErr w:type="spellEnd"/>
      <w:r>
        <w:t xml:space="preserve"> is the baseline treated plus synthetic analysis frame, built once and read only, which all headline </w:t>
      </w:r>
      <w:proofErr w:type="gramStart"/>
      <w:r>
        <w:t>models</w:t>
      </w:r>
      <w:proofErr w:type="gramEnd"/>
      <w:r>
        <w:t xml:space="preserve"> reference. Any design that needs a different treatment window gets its ow</w:t>
      </w:r>
      <w:r>
        <w:t xml:space="preserve">n frame whose name begins with panel, such as </w:t>
      </w:r>
      <w:proofErr w:type="spellStart"/>
      <w:r>
        <w:t>panel_pre</w:t>
      </w:r>
      <w:proofErr w:type="spellEnd"/>
      <w:r>
        <w:t xml:space="preserve"> for the leads only sample, </w:t>
      </w:r>
      <w:proofErr w:type="spellStart"/>
      <w:r>
        <w:t>panel_covid</w:t>
      </w:r>
      <w:proofErr w:type="spellEnd"/>
      <w:r>
        <w:t xml:space="preserve"> for the COVID split, and </w:t>
      </w:r>
      <w:proofErr w:type="spellStart"/>
      <w:r>
        <w:t>panel_wb</w:t>
      </w:r>
      <w:proofErr w:type="spellEnd"/>
      <w:r>
        <w:t xml:space="preserve"> for the wealth analysis. This design replaces an earlier version that copied and overwrote a single working frame repeatedly, w</w:t>
      </w:r>
      <w:r>
        <w:t>hich made results depend on the order in which chunks were run.</w:t>
      </w:r>
    </w:p>
    <w:p w:rsidR="00671681" w:rsidRDefault="001F5987">
      <w:pPr>
        <w:pStyle w:val="Heading1"/>
      </w:pPr>
      <w:r>
        <w:t>How to run</w:t>
      </w:r>
    </w:p>
    <w:p w:rsidR="00671681" w:rsidRDefault="001F5987">
      <w:pPr>
        <w:spacing w:after="160" w:line="276" w:lineRule="auto"/>
      </w:pPr>
      <w:r>
        <w:t xml:space="preserve">Open </w:t>
      </w:r>
      <w:proofErr w:type="spellStart"/>
      <w:r>
        <w:t>documentation_</w:t>
      </w:r>
      <w:proofErr w:type="gramStart"/>
      <w:r>
        <w:t>clean.Rmd</w:t>
      </w:r>
      <w:proofErr w:type="spellEnd"/>
      <w:proofErr w:type="gramEnd"/>
      <w:r>
        <w:t xml:space="preserve"> in RStudio and knit, or run the chunks in order. The required packages are </w:t>
      </w:r>
      <w:proofErr w:type="spellStart"/>
      <w:r>
        <w:t>readxl</w:t>
      </w:r>
      <w:proofErr w:type="spellEnd"/>
      <w:r>
        <w:t xml:space="preserve">, </w:t>
      </w:r>
      <w:proofErr w:type="spellStart"/>
      <w:r>
        <w:t>dplyr</w:t>
      </w:r>
      <w:proofErr w:type="spellEnd"/>
      <w:r>
        <w:t xml:space="preserve">, </w:t>
      </w:r>
      <w:proofErr w:type="spellStart"/>
      <w:r>
        <w:t>fixest</w:t>
      </w:r>
      <w:proofErr w:type="spellEnd"/>
      <w:r>
        <w:t xml:space="preserve">, broom, ggplot2, </w:t>
      </w:r>
      <w:proofErr w:type="spellStart"/>
      <w:r>
        <w:t>stringr</w:t>
      </w:r>
      <w:proofErr w:type="spellEnd"/>
      <w:r>
        <w:t xml:space="preserve">, </w:t>
      </w:r>
      <w:proofErr w:type="spellStart"/>
      <w:r>
        <w:t>tidyr</w:t>
      </w:r>
      <w:proofErr w:type="spellEnd"/>
      <w:r>
        <w:t xml:space="preserve">, </w:t>
      </w:r>
      <w:proofErr w:type="spellStart"/>
      <w:r>
        <w:t>ggrepel</w:t>
      </w:r>
      <w:proofErr w:type="spellEnd"/>
      <w:r>
        <w:t xml:space="preserve">, </w:t>
      </w:r>
      <w:proofErr w:type="spellStart"/>
      <w:r>
        <w:t>purrr</w:t>
      </w:r>
      <w:proofErr w:type="spellEnd"/>
      <w:r>
        <w:t xml:space="preserve">, WDI, </w:t>
      </w:r>
      <w:proofErr w:type="spellStart"/>
      <w:r>
        <w:t>c</w:t>
      </w:r>
      <w:r>
        <w:t>ountrycode</w:t>
      </w:r>
      <w:proofErr w:type="spellEnd"/>
      <w:r>
        <w:t xml:space="preserve">, </w:t>
      </w:r>
      <w:proofErr w:type="spellStart"/>
      <w:r>
        <w:t>modelsummary</w:t>
      </w:r>
      <w:proofErr w:type="spellEnd"/>
      <w:r>
        <w:t xml:space="preserve">, and </w:t>
      </w:r>
      <w:proofErr w:type="spellStart"/>
      <w:r>
        <w:t>openxlsx</w:t>
      </w:r>
      <w:proofErr w:type="spellEnd"/>
      <w:r>
        <w:t xml:space="preserve">. The World Bank pull in the wealth section requires an internet connection. Before trusting the refactor, confirm that the row count of </w:t>
      </w:r>
      <w:proofErr w:type="spellStart"/>
      <w:r>
        <w:t>panel_main</w:t>
      </w:r>
      <w:proofErr w:type="spellEnd"/>
      <w:r>
        <w:t xml:space="preserve"> matches the baseline sample from the previous version, and re-run the </w:t>
      </w:r>
      <w:r>
        <w:t>weighted wealth models to confirm the reported coefficients still match the numbers quoted in the prose.</w:t>
      </w:r>
    </w:p>
    <w:p w:rsidR="00671681" w:rsidRDefault="001F5987">
      <w:pPr>
        <w:pStyle w:val="Heading1"/>
      </w:pPr>
      <w:r>
        <w:t>Known caveats</w:t>
      </w:r>
    </w:p>
    <w:p w:rsidR="00671681" w:rsidRDefault="001F5987">
      <w:pPr>
        <w:spacing w:after="160" w:line="276" w:lineRule="auto"/>
      </w:pPr>
      <w:r>
        <w:t>Three points are worth keeping in mind when reading the output. The working age population main effect is identified off very little with</w:t>
      </w:r>
      <w:r>
        <w:t xml:space="preserve">in country variation and most likely absorbs a country specific trend, so it should not be read as a population elasticity. The GDP per capita main effect moves across specifications because GDP and population share variance once both enter with </w:t>
      </w:r>
      <w:proofErr w:type="gramStart"/>
      <w:r>
        <w:t>two way</w:t>
      </w:r>
      <w:proofErr w:type="gramEnd"/>
      <w:r>
        <w:t xml:space="preserve"> fi</w:t>
      </w:r>
      <w:r>
        <w:t>xed effects, so the GDP main effect should not carry a standalone interpretation. The elasticity scaling treats the full move from 9,250 to 22,200 as the price shock, so if part of the effect reflects loss of loan access rather than the headline fee, the i</w:t>
      </w:r>
      <w:r>
        <w:t>mplied elasticities are slightly overstated in magnitude.</w:t>
      </w:r>
    </w:p>
    <w:sectPr w:rsidR="0067168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5BA61CC"/>
    <w:multiLevelType w:val="hybridMultilevel"/>
    <w:tmpl w:val="335CDE6C"/>
    <w:lvl w:ilvl="0" w:tplc="5A282CF0">
      <w:start w:val="1"/>
      <w:numFmt w:val="bullet"/>
      <w:lvlText w:val="●"/>
      <w:lvlJc w:val="left"/>
      <w:pPr>
        <w:ind w:left="720" w:hanging="360"/>
      </w:pPr>
    </w:lvl>
    <w:lvl w:ilvl="1" w:tplc="4356AD54">
      <w:start w:val="1"/>
      <w:numFmt w:val="bullet"/>
      <w:lvlText w:val="○"/>
      <w:lvlJc w:val="left"/>
      <w:pPr>
        <w:ind w:left="1440" w:hanging="360"/>
      </w:pPr>
    </w:lvl>
    <w:lvl w:ilvl="2" w:tplc="10D40AEA">
      <w:start w:val="1"/>
      <w:numFmt w:val="bullet"/>
      <w:lvlText w:val="■"/>
      <w:lvlJc w:val="left"/>
      <w:pPr>
        <w:ind w:left="2160" w:hanging="360"/>
      </w:pPr>
    </w:lvl>
    <w:lvl w:ilvl="3" w:tplc="2044250E">
      <w:start w:val="1"/>
      <w:numFmt w:val="bullet"/>
      <w:lvlText w:val="●"/>
      <w:lvlJc w:val="left"/>
      <w:pPr>
        <w:ind w:left="2880" w:hanging="360"/>
      </w:pPr>
    </w:lvl>
    <w:lvl w:ilvl="4" w:tplc="E8DE5408">
      <w:start w:val="1"/>
      <w:numFmt w:val="bullet"/>
      <w:lvlText w:val="○"/>
      <w:lvlJc w:val="left"/>
      <w:pPr>
        <w:ind w:left="3600" w:hanging="360"/>
      </w:pPr>
    </w:lvl>
    <w:lvl w:ilvl="5" w:tplc="36D01A0C">
      <w:start w:val="1"/>
      <w:numFmt w:val="bullet"/>
      <w:lvlText w:val="■"/>
      <w:lvlJc w:val="left"/>
      <w:pPr>
        <w:ind w:left="4320" w:hanging="360"/>
      </w:pPr>
    </w:lvl>
    <w:lvl w:ilvl="6" w:tplc="C45C93BE">
      <w:start w:val="1"/>
      <w:numFmt w:val="bullet"/>
      <w:lvlText w:val="●"/>
      <w:lvlJc w:val="left"/>
      <w:pPr>
        <w:ind w:left="5040" w:hanging="360"/>
      </w:pPr>
    </w:lvl>
    <w:lvl w:ilvl="7" w:tplc="5E9016C6">
      <w:start w:val="1"/>
      <w:numFmt w:val="bullet"/>
      <w:lvlText w:val="●"/>
      <w:lvlJc w:val="left"/>
      <w:pPr>
        <w:ind w:left="5760" w:hanging="360"/>
      </w:pPr>
    </w:lvl>
    <w:lvl w:ilvl="8" w:tplc="F8AEB19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1681"/>
    <w:rsid w:val="00187307"/>
    <w:rsid w:val="001F5987"/>
    <w:rsid w:val="006716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191FD26-A261-46D4-A080-455045C57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sz w:val="28"/>
      <w:szCs w:val="28"/>
    </w:rPr>
  </w:style>
  <w:style w:type="paragraph" w:styleId="Heading2">
    <w:name w:val="heading 2"/>
    <w:uiPriority w:val="9"/>
    <w:semiHidden/>
    <w:unhideWhenUsed/>
    <w:qFormat/>
    <w:pPr>
      <w:spacing w:before="200" w:after="12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1287</Words>
  <Characters>7338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Stoycho Rusinov</cp:lastModifiedBy>
  <cp:revision>2</cp:revision>
  <dcterms:created xsi:type="dcterms:W3CDTF">2026-06-28T13:37:00Z</dcterms:created>
  <dcterms:modified xsi:type="dcterms:W3CDTF">2026-06-28T13:37:00Z</dcterms:modified>
</cp:coreProperties>
</file>