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Pr>
          <w:sz w:val="44"/>
        </w:rPr>
        <w:t>The Brexit Tuition Shock and the Price Elasticity of International Students: Evidence from a Natural Experiment</w:t>
      </w:r>
    </w:p>
    <w:p w14:paraId="17F33E8C" w14:textId="77777777" w:rsidR="006B0853" w:rsidRDefault="006B0853" w:rsidP="006B0853">
      <w:pPr>
        <w:tabs>
          <w:tab w:val="center" w:pos="4513"/>
          <w:tab w:val="left" w:pos="6263"/>
        </w:tabs>
        <w:spacing w:before="100" w:beforeAutospacing="1" w:after="100" w:afterAutospacing="1"/>
        <w:outlineLvl w:val="1"/>
        <w:rPr>
          <w:rFonts w:ascii="Times New Roman" w:hAnsi="Times New Roman" w:cs="Times New Roman"/>
        </w:rPr>
      </w:pPr>
      <w:r>
        <w:rPr>
          <w:rFonts w:ascii="Times New Roman" w:hAnsi="Times New Roman" w:cs="Times New Roman"/>
        </w:rPr>
        <w:tab/>
        <w:t>Stoycho Rusinov</w:t>
      </w:r>
      <w:r>
        <w:rPr>
          <w:rFonts w:ascii="Times New Roman" w:hAnsi="Times New Roman" w:cs="Times New Roman"/>
          <w:vertAlign w:val="superscript"/>
        </w:rPr>
        <w:t>*</w:t>
      </w:r>
      <w:r>
        <w:rPr>
          <w:rFonts w:ascii="Times New Roman" w:hAnsi="Times New Roman" w:cs="Times New Roman"/>
        </w:rPr>
        <w:t xml:space="preserve"> </w:t>
      </w:r>
    </w:p>
    <w:p w14:paraId="19E885C5" w14:textId="1BAF101F" w:rsidR="009A31DC" w:rsidRPr="006B0853" w:rsidRDefault="006B0853" w:rsidP="006B0853">
      <w:pPr>
        <w:tabs>
          <w:tab w:val="center" w:pos="4513"/>
          <w:tab w:val="left" w:pos="6263"/>
        </w:tabs>
        <w:spacing w:before="100" w:beforeAutospacing="1" w:after="100" w:afterAutospacing="1"/>
        <w:jc w:val="center"/>
        <w:outlineLvl w:val="1"/>
        <w:rPr>
          <w:rFonts w:ascii="Times New Roman" w:hAnsi="Times New Roman" w:cs="Times New Roman"/>
        </w:rPr>
      </w:pPr>
      <w:r>
        <w:rPr>
          <w:rFonts w:ascii="Times New Roman" w:hAnsi="Times New Roman" w:cs="Times New Roman"/>
        </w:rPr>
        <w:t>James Rafiki Aketch</w:t>
      </w:r>
      <w:r>
        <w:rPr>
          <w:rFonts w:ascii="Times New Roman" w:hAnsi="Times New Roman" w:cs="Times New Roman"/>
          <w:vertAlign w:val="superscript"/>
        </w:rPr>
        <w:t>**</w:t>
      </w:r>
    </w:p>
    <w:p w14:paraId="0860A41F" w14:textId="7B5128BC" w:rsidR="009A31DC" w:rsidRDefault="009A31DC" w:rsidP="001742DB">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Center for the Study of Democracy, Sofia</w:t>
      </w:r>
    </w:p>
    <w:p w14:paraId="12E635FB" w14:textId="29A4126B"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52D7724B"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Pr>
            <w:rStyle w:val="Hyperlink"/>
            <w:rFonts w:ascii="Times New Roman" w:hAnsi="Times New Roman" w:cs="Times New Roman"/>
          </w:rPr>
          <w:t>stoycho.rusinov@csd.eu</w:t>
        </w:r>
      </w:hyperlink>
      <w:r>
        <w:rPr>
          <w:rFonts w:ascii="Times New Roman" w:hAnsi="Times New Roman" w:cs="Times New Roman"/>
        </w:rPr>
        <w:t xml:space="preserve"> </w:t>
      </w:r>
    </w:p>
    <w:p w14:paraId="2E488402" w14:textId="77777777" w:rsidR="006B0853" w:rsidRDefault="006B0853" w:rsidP="008E7861">
      <w:pPr>
        <w:jc w:val="center"/>
        <w:outlineLvl w:val="1"/>
        <w:rPr>
          <w:rFonts w:ascii="Times New Roman" w:hAnsi="Times New Roman" w:cs="Times New Roman"/>
        </w:rPr>
      </w:pPr>
    </w:p>
    <w:p w14:paraId="72B7BF11" w14:textId="2EFD159F" w:rsidR="006B0853" w:rsidRPr="006B0853" w:rsidRDefault="006B0853" w:rsidP="008E7861">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School of Economics, University College Dublin</w:t>
      </w:r>
    </w:p>
    <w:p w14:paraId="6568387E" w14:textId="6A4C2944" w:rsidR="006B7419" w:rsidRDefault="006B7419" w:rsidP="006B7419">
      <w:pPr>
        <w:outlineLvl w:val="1"/>
        <w:rPr>
          <w:rFonts w:ascii="Times New Roman" w:hAnsi="Times New Roman" w:cs="Times New Roman"/>
        </w:rPr>
      </w:pPr>
    </w:p>
    <w:p w14:paraId="2BAA0B9C" w14:textId="1E1DA6FA" w:rsidR="006B7419" w:rsidRPr="00E25058" w:rsidRDefault="006B7419" w:rsidP="00E25058">
      <w:pPr>
        <w:spacing w:line="360" w:lineRule="auto"/>
        <w:jc w:val="center"/>
        <w:outlineLvl w:val="1"/>
        <w:rPr>
          <w:rFonts w:ascii="Times New Roman" w:hAnsi="Times New Roman" w:cs="Times New Roman"/>
          <w:b/>
          <w:u w:val="single"/>
        </w:rPr>
      </w:pPr>
      <w:r>
        <w:rPr>
          <w:rFonts w:ascii="Times New Roman" w:hAnsi="Times New Roman" w:cs="Times New Roman"/>
          <w:b/>
          <w:u w:val="single"/>
        </w:rPr>
        <w:t>ABSTRACT</w:t>
      </w:r>
    </w:p>
    <w:p w14:paraId="06D7FA56" w14:textId="7FAA4FA6" w:rsidR="006B7419" w:rsidRPr="004751F7" w:rsidRDefault="00091453" w:rsidP="00091453">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higher-education demand studies that rely on enrollment outcomes, the analysis uses UCAS application data, allowing demand to be observed before universities ration admissions. The average post-Brexit treatment effect implies a decline in applications of roughly 67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 The loan-adjusted elasticities are strongly correlated with the percentage of GDP allocated for educational investment. </w:t>
      </w:r>
    </w:p>
    <w:p w14:paraId="1E7B4FDB" w14:textId="77777777" w:rsidR="006B7419" w:rsidRDefault="006B7419" w:rsidP="00E25058">
      <w:pPr>
        <w:spacing w:line="360" w:lineRule="auto"/>
        <w:outlineLvl w:val="1"/>
        <w:rPr>
          <w:rFonts w:ascii="Times New Roman" w:hAnsi="Times New Roman" w:cs="Times New Roman"/>
        </w:rPr>
      </w:pPr>
    </w:p>
    <w:p w14:paraId="560E977B" w14:textId="3D942BC4"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JEL codes</w:t>
      </w:r>
      <w:r>
        <w:rPr>
          <w:rFonts w:ascii="Times New Roman" w:hAnsi="Times New Roman" w:cs="Times New Roman"/>
        </w:rPr>
        <w:t>: I22; I23; F22; J61; D12; C23</w:t>
      </w:r>
    </w:p>
    <w:p w14:paraId="1E0A8F31" w14:textId="49339644" w:rsidR="00091453" w:rsidRPr="00783045" w:rsidRDefault="006B7419" w:rsidP="00E25058">
      <w:pPr>
        <w:spacing w:line="360" w:lineRule="auto"/>
        <w:outlineLvl w:val="1"/>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14:paraId="32B68C74" w14:textId="3D7DA9F0" w:rsidR="009A31DC" w:rsidRPr="001E429C" w:rsidRDefault="009A31DC" w:rsidP="00E25058">
      <w:pPr>
        <w:pStyle w:val="ListParagraph"/>
        <w:numPr>
          <w:ilvl w:val="0"/>
          <w:numId w:val="35"/>
        </w:numPr>
        <w:spacing w:line="360" w:lineRule="auto"/>
        <w:outlineLvl w:val="1"/>
        <w:rPr>
          <w:rFonts w:ascii="Times New Roman" w:hAnsi="Times New Roman" w:cs="Times New Roman"/>
          <w:b/>
          <w:i/>
          <w:iCs/>
          <w:sz w:val="28"/>
          <w:szCs w:val="28"/>
        </w:rPr>
      </w:pPr>
      <w:r>
        <w:rPr>
          <w:rFonts w:ascii="Times New Roman" w:hAnsi="Times New Roman" w:cs="Times New Roman"/>
          <w:b/>
          <w:i/>
          <w:iCs/>
          <w:sz w:val="28"/>
          <w:szCs w:val="28"/>
        </w:rPr>
        <w:lastRenderedPageBreak/>
        <w:t>Introduction</w:t>
      </w:r>
    </w:p>
    <w:p w14:paraId="52D3266B" w14:textId="77777777" w:rsidR="002068F3" w:rsidRDefault="002068F3" w:rsidP="0051516B">
      <w:pPr>
        <w:spacing w:line="360" w:lineRule="auto"/>
        <w:ind w:firstLine="360"/>
        <w:outlineLvl w:val="1"/>
        <w:rPr>
          <w:rFonts w:ascii="Times New Roman" w:hAnsi="Times New Roman" w:cs="Times New Roman"/>
          <w:bCs/>
        </w:rPr>
      </w:pPr>
      <w:r w:rsidRPr="002068F3">
        <w:rPr>
          <w:rFonts w:ascii="Times New Roman" w:hAnsi="Times New Roman" w:cs="Times New Roman"/>
          <w:bCs/>
        </w:rPr>
        <w:t>International higher-education demand studies often struggle to isolate own-price elasticity because elasticity calculations rely on enrollment changes in response to price shifts, lack sufficient exogenous price variation to meaningfully isolate the elasticity coefficient - with Conlon et al. (2021) serving as a good example - or suffer both problems simultaneously. Multiple previous estimates of the price elasticity of college enrollment demand treated the application decision as exogenous by focusing only on the influence of price on the college-going behavior of admitted applicants. Thus, they ignore the possibility that a change in tuition may affect enrollments through its effect on the applicant pool itself (</w:t>
      </w:r>
      <w:proofErr w:type="spellStart"/>
      <w:r w:rsidRPr="002068F3">
        <w:rPr>
          <w:rFonts w:ascii="Times New Roman" w:hAnsi="Times New Roman" w:cs="Times New Roman"/>
          <w:bCs/>
        </w:rPr>
        <w:t>Savoca</w:t>
      </w:r>
      <w:proofErr w:type="spellEnd"/>
      <w:r w:rsidRPr="002068F3">
        <w:rPr>
          <w:rFonts w:ascii="Times New Roman" w:hAnsi="Times New Roman" w:cs="Times New Roman"/>
          <w:bCs/>
        </w:rPr>
        <w:t xml:space="preserve">, 1990). As a result, standard demand models using enrollment data conflate the desire to attend with the university's choice to admit. The problem of using enrollment to estimate demand elasticity has proliferated across other studies, such as </w:t>
      </w:r>
      <w:proofErr w:type="spellStart"/>
      <w:r w:rsidRPr="002068F3">
        <w:rPr>
          <w:rFonts w:ascii="Times New Roman" w:hAnsi="Times New Roman" w:cs="Times New Roman"/>
          <w:bCs/>
        </w:rPr>
        <w:t>McQuone</w:t>
      </w:r>
      <w:proofErr w:type="spellEnd"/>
      <w:r w:rsidRPr="002068F3">
        <w:rPr>
          <w:rFonts w:ascii="Times New Roman" w:hAnsi="Times New Roman" w:cs="Times New Roman"/>
          <w:bCs/>
        </w:rPr>
        <w:t xml:space="preserve"> and Simons (2025), which extend Conlon et al. (2021) and produce elasticities that appear implausibly small to explain the actual collapse in non-EU applications after the 2021 tuition hikes. To address this, our approach uses “total applicants” at the domicile level and takes advantage of the exogenous variation created by the 2021 Brexit-related tuition hikes. This addresses some problems discussed later in the paper and also allows an alternative identification route to the true elasticity of demand. </w:t>
      </w:r>
    </w:p>
    <w:p w14:paraId="7E4FF728" w14:textId="77777777" w:rsidR="00796502" w:rsidRDefault="007B74EB" w:rsidP="00796502">
      <w:pPr>
        <w:spacing w:line="360" w:lineRule="auto"/>
        <w:ind w:firstLine="720"/>
        <w:outlineLvl w:val="1"/>
        <w:rPr>
          <w:rFonts w:ascii="Times New Roman" w:hAnsi="Times New Roman" w:cs="Times New Roman"/>
          <w:bCs/>
        </w:rPr>
      </w:pPr>
      <w:r w:rsidRPr="007B74EB">
        <w:rPr>
          <w:rFonts w:ascii="Times New Roman" w:hAnsi="Times New Roman" w:cs="Times New Roman"/>
          <w:bCs/>
        </w:rPr>
        <w:t>As discussed, we treat the total number of UCAS applicants from each domicile as a measure of expressed demand before universities ration available places. Under this assumption, applications are observed before admission decisions are made, so subsequent rationing affects offers and enrolment, not the application count itself. Identification therefore comes from within-country changes over time and from the exogenous tuition shock created by Brexit. The loss of Home Fee status and access to student loans was imposed by an external policy change rather than chosen by universities, making the resulting change in effective prices plausibly exogenous to institution-level demand conditions. Because the financial consequences varied across origin countries, Brexit generated heterogeneous price variation that can be used to estimate causal price elasticities at the origin-country level. These estimates then allow us to recover country-specific constant-elasticity demand functions for international applications around pre-Brexit price levels.</w:t>
      </w:r>
    </w:p>
    <w:p w14:paraId="144C9750" w14:textId="2B8E3B49" w:rsidR="00796502" w:rsidRDefault="00BE4FE7" w:rsidP="00BE4FE7">
      <w:pPr>
        <w:spacing w:line="360" w:lineRule="auto"/>
        <w:ind w:firstLine="720"/>
        <w:outlineLvl w:val="1"/>
        <w:rPr>
          <w:rFonts w:ascii="Times New Roman" w:hAnsi="Times New Roman" w:cs="Times New Roman"/>
          <w:bCs/>
        </w:rPr>
      </w:pPr>
      <w:r w:rsidRPr="00BE4FE7">
        <w:rPr>
          <w:rFonts w:ascii="Times New Roman" w:hAnsi="Times New Roman" w:cs="Times New Roman"/>
          <w:bCs/>
        </w:rPr>
        <w:t xml:space="preserve">We show that it is misleading to interpret the larger decline in applications from lower-income EU countries as evidence of inherently more elastic preferences. Although Brexit imposed a common regulatory change across the EU, its effective financial </w:t>
      </w:r>
      <w:r w:rsidRPr="00BE4FE7">
        <w:rPr>
          <w:rFonts w:ascii="Times New Roman" w:hAnsi="Times New Roman" w:cs="Times New Roman"/>
          <w:bCs/>
        </w:rPr>
        <w:lastRenderedPageBreak/>
        <w:t>consequences differed substantially across origin countries. At first glance, when we assume equal treatment intensity, the resulting variation in country-specific elasticities, particularly the higher estimates obtained for poorer countries, suggests that the UK market disproportionately lost price-sensitive applicants while retaining those with a greater ability to pay. This interpretation changes when we value pre-Brexit access to income-contingent student loans from the perspective of applicants in each country. After those same elasticities are rescaled using country-specific changes in the value of this financing benefit, the positive relationship between the new estimated elasticity and GDP per capita almost disappears, implying that most observed cross-country heterogeneity reflects differences in treatment intensity that were generated by the student loan system, not fundamental differences in preferences. The rescaled elasticities are more closely associated with the share of national income invested in education than with GDP per capita itself or other proxies for wealth, such as the Gini coefficient. This conveys the idea that demand elasticity cannot be reduced to a universal parameter, nor that the estimated elasticity coefficient can be understood independently of the baseline financial conditions facing heterogeneous applicant populations.</w:t>
      </w:r>
    </w:p>
    <w:p w14:paraId="0A851FBD" w14:textId="77777777" w:rsidR="00BE4FE7" w:rsidRPr="0051516B" w:rsidRDefault="00BE4FE7" w:rsidP="00BE4FE7">
      <w:pPr>
        <w:spacing w:line="360" w:lineRule="auto"/>
        <w:ind w:firstLine="720"/>
        <w:outlineLvl w:val="1"/>
        <w:rPr>
          <w:rFonts w:ascii="Times New Roman" w:hAnsi="Times New Roman" w:cs="Times New Roman"/>
          <w:bCs/>
        </w:rPr>
      </w:pPr>
    </w:p>
    <w:p w14:paraId="7BDF3284" w14:textId="297994C1" w:rsidR="009A31DC" w:rsidRPr="0051516B" w:rsidRDefault="009A31DC" w:rsidP="0051516B">
      <w:pPr>
        <w:pStyle w:val="ListParagraph"/>
        <w:numPr>
          <w:ilvl w:val="0"/>
          <w:numId w:val="35"/>
        </w:numPr>
        <w:spacing w:line="360" w:lineRule="auto"/>
        <w:outlineLvl w:val="1"/>
        <w:rPr>
          <w:rFonts w:ascii="Times New Roman" w:hAnsi="Times New Roman" w:cs="Times New Roman"/>
          <w:b/>
          <w:i/>
          <w:iCs/>
          <w:sz w:val="28"/>
        </w:rPr>
      </w:pPr>
      <w:r>
        <w:rPr>
          <w:rFonts w:ascii="Times New Roman" w:hAnsi="Times New Roman" w:cs="Times New Roman"/>
          <w:b/>
          <w:i/>
          <w:iCs/>
          <w:sz w:val="28"/>
        </w:rPr>
        <w:t>Context</w:t>
      </w:r>
    </w:p>
    <w:p w14:paraId="7D69463B" w14:textId="518B56A0" w:rsidR="0051516B" w:rsidRPr="00CA5CDE" w:rsidRDefault="00B15C74" w:rsidP="00E25058">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t xml:space="preserve"> Brexit and higher education</w:t>
      </w:r>
    </w:p>
    <w:p w14:paraId="3053C26E" w14:textId="77777777" w:rsidR="00AA0A67" w:rsidRDefault="00144035" w:rsidP="00CA5CDE">
      <w:pPr>
        <w:spacing w:line="360" w:lineRule="auto"/>
        <w:rPr>
          <w:rFonts w:ascii="Times New Roman" w:hAnsi="Times New Roman" w:cs="Times New Roman"/>
        </w:rPr>
      </w:pPr>
      <w:r w:rsidRPr="00144035">
        <w:rPr>
          <w:rFonts w:ascii="Times New Roman" w:hAnsi="Times New Roman" w:cs="Times New Roman"/>
        </w:rPr>
        <w:t>Between 1940 and the early 1990s, the US market for baccalaureate education became substantially more competitive, evolving from a collection of largely local markets into a nationally integrated system. </w:t>
      </w:r>
      <w:proofErr w:type="spellStart"/>
      <w:r w:rsidRPr="00144035">
        <w:rPr>
          <w:rFonts w:ascii="Times New Roman" w:hAnsi="Times New Roman" w:cs="Times New Roman"/>
        </w:rPr>
        <w:t>Hoxby</w:t>
      </w:r>
      <w:proofErr w:type="spellEnd"/>
      <w:r w:rsidRPr="00144035">
        <w:rPr>
          <w:rFonts w:ascii="Times New Roman" w:hAnsi="Times New Roman" w:cs="Times New Roman"/>
        </w:rPr>
        <w:t xml:space="preserve"> (1997) argues that this transformation intensified competition over both students and institutional quality and estimates that it can explain real tuition increases of approximately 50 percent among selective private colleges.</w:t>
      </w:r>
      <w:r>
        <w:rPr>
          <w:rFonts w:ascii="Times New Roman" w:hAnsi="Times New Roman" w:cs="Times New Roman"/>
        </w:rPr>
        <w:t xml:space="preserve"> </w:t>
      </w:r>
      <w:r w:rsidRPr="00144035">
        <w:rPr>
          <w:rFonts w:ascii="Times New Roman" w:hAnsi="Times New Roman" w:cs="Times New Roman"/>
        </w:rPr>
        <w:t>A related shift towards greater market competition later occurred in England. Reforms introduced from 2012 expanded tuition-</w:t>
      </w:r>
      <w:proofErr w:type="spellStart"/>
      <w:r w:rsidRPr="00144035">
        <w:rPr>
          <w:rFonts w:ascii="Times New Roman" w:hAnsi="Times New Roman" w:cs="Times New Roman"/>
        </w:rPr>
        <w:t>fee</w:t>
      </w:r>
      <w:proofErr w:type="spellEnd"/>
      <w:r w:rsidRPr="00144035">
        <w:rPr>
          <w:rFonts w:ascii="Times New Roman" w:hAnsi="Times New Roman" w:cs="Times New Roman"/>
        </w:rPr>
        <w:t xml:space="preserve"> competition, encouraged the entry of private providers, and increased the information available to prospective students. Brown (2011) questioned whether these reforms would improve quality and financial sustainability, warning that the available evidence was limited and that the emerging system could become more stratified and wasteful. These market-oriented reforms developed alongside a longer-standing commitment to widening participation, which sought to make higher education accessible to groups that had not traditionally considered it a realistic option. </w:t>
      </w:r>
    </w:p>
    <w:p w14:paraId="6529FCA5" w14:textId="1B3DE3AA" w:rsidR="00144035" w:rsidRDefault="00144035" w:rsidP="00AA0A67">
      <w:pPr>
        <w:spacing w:line="360" w:lineRule="auto"/>
        <w:ind w:firstLine="360"/>
        <w:rPr>
          <w:rFonts w:ascii="Times New Roman" w:hAnsi="Times New Roman" w:cs="Times New Roman"/>
        </w:rPr>
      </w:pPr>
      <w:r w:rsidRPr="00144035">
        <w:rPr>
          <w:rFonts w:ascii="Times New Roman" w:hAnsi="Times New Roman" w:cs="Times New Roman"/>
        </w:rPr>
        <w:lastRenderedPageBreak/>
        <w:t xml:space="preserve">Expanding formal access, however, does not guarantee that institutions will adapt to a more diverse student population. Macdonald and </w:t>
      </w:r>
      <w:proofErr w:type="spellStart"/>
      <w:r w:rsidRPr="00144035">
        <w:rPr>
          <w:rFonts w:ascii="Times New Roman" w:hAnsi="Times New Roman" w:cs="Times New Roman"/>
        </w:rPr>
        <w:t>Stratta</w:t>
      </w:r>
      <w:proofErr w:type="spellEnd"/>
      <w:r w:rsidRPr="00144035">
        <w:rPr>
          <w:rFonts w:ascii="Times New Roman" w:hAnsi="Times New Roman" w:cs="Times New Roman"/>
        </w:rPr>
        <w:t xml:space="preserve"> (2001) found that tutors in an institution with a well-established access policy generally focused on helping non-traditional students adjust to existing undergraduate provision, instead of reconsidering whether that provision adequately reflected their needs. </w:t>
      </w:r>
    </w:p>
    <w:p w14:paraId="1EE3CC02" w14:textId="77777777" w:rsidR="00814345" w:rsidRPr="00814345" w:rsidRDefault="00814345" w:rsidP="00814345">
      <w:pPr>
        <w:spacing w:line="360" w:lineRule="auto"/>
        <w:ind w:firstLine="360"/>
        <w:rPr>
          <w:rFonts w:ascii="Times New Roman" w:hAnsi="Times New Roman" w:cs="Times New Roman"/>
        </w:rPr>
      </w:pPr>
      <w:r w:rsidRPr="00814345">
        <w:rPr>
          <w:rFonts w:ascii="Times New Roman" w:hAnsi="Times New Roman" w:cs="Times New Roman"/>
        </w:rPr>
        <w:t>Against the broader expansion of globalized higher education, Brexit represented a major reversal of political and economic integration between the UK and the EU. Calhoun (2017) interprets the Leave vote partly as a populist reaction against London-centered globalization and cosmopolitan elites who were perceived to have benefited disproportionately from European integration. This dissatisfaction was accompanied by nostalgia for an earlier Britain and frustration with existing economic and political conditions. For higher education, one of the most consequential outcomes was the disruption of academic and financial ties between the UK and the EU. The 2020/21 academic year was the final year in which new EU students generally qualified for Home Fee status and government-supported tuition loans. From 2021/22, these students became liable for international fees, which frequently doubled or tripled their tuition costs. Brexit therefore produced one of the largest discrete tuition shocks experienced by a clearly defined group of students in twenty-first-century British higher education.</w:t>
      </w:r>
    </w:p>
    <w:p w14:paraId="241627BE" w14:textId="79774A7A" w:rsidR="00814345" w:rsidRPr="00814345" w:rsidRDefault="00814345" w:rsidP="00814345">
      <w:pPr>
        <w:spacing w:line="360" w:lineRule="auto"/>
        <w:ind w:firstLine="360"/>
        <w:rPr>
          <w:rFonts w:ascii="Times New Roman" w:hAnsi="Times New Roman" w:cs="Times New Roman"/>
        </w:rPr>
      </w:pPr>
      <w:r w:rsidRPr="00814345">
        <w:rPr>
          <w:rFonts w:ascii="Times New Roman" w:hAnsi="Times New Roman" w:cs="Times New Roman"/>
        </w:rPr>
        <w:t>Brexit consequently raised financial and reputational concerns about the recruitment of EU students and staff, access to European research funding, and opportunities for UK students to study abroad (Mayhew, 2022</w:t>
      </w:r>
      <w:r w:rsidR="0004741A">
        <w:rPr>
          <w:rFonts w:ascii="Times New Roman" w:hAnsi="Times New Roman" w:cs="Times New Roman"/>
        </w:rPr>
        <w:t xml:space="preserve">). </w:t>
      </w:r>
      <w:r w:rsidRPr="00814345">
        <w:rPr>
          <w:rFonts w:ascii="Times New Roman" w:hAnsi="Times New Roman" w:cs="Times New Roman"/>
        </w:rPr>
        <w:t>Despite these concerns, the UK remained the world’s second most popular destination for international students in 2023. Approximately 730,000 international students were enrolled at UK universities in 2023/24, representing about 25 percent of the entire student population, while their tuition fees generated 23 percent of total university income (</w:t>
      </w:r>
      <w:proofErr w:type="spellStart"/>
      <w:r w:rsidRPr="00814345">
        <w:rPr>
          <w:rFonts w:ascii="Times New Roman" w:hAnsi="Times New Roman" w:cs="Times New Roman"/>
        </w:rPr>
        <w:t>Cuibus</w:t>
      </w:r>
      <w:proofErr w:type="spellEnd"/>
      <w:r w:rsidRPr="00814345">
        <w:rPr>
          <w:rFonts w:ascii="Times New Roman" w:hAnsi="Times New Roman" w:cs="Times New Roman"/>
        </w:rPr>
        <w:t xml:space="preserve"> et al., 2025). </w:t>
      </w:r>
      <w:proofErr w:type="spellStart"/>
      <w:r w:rsidRPr="00814345">
        <w:rPr>
          <w:rFonts w:ascii="Times New Roman" w:hAnsi="Times New Roman" w:cs="Times New Roman"/>
        </w:rPr>
        <w:t>Cuibus</w:t>
      </w:r>
      <w:proofErr w:type="spellEnd"/>
      <w:r w:rsidRPr="00814345">
        <w:rPr>
          <w:rFonts w:ascii="Times New Roman" w:hAnsi="Times New Roman" w:cs="Times New Roman"/>
        </w:rPr>
        <w:t xml:space="preserve"> et al. (2025) report that EU student numbers fell sharply after Brexit and subsequently stabilized; by 2023/24, EU students accounted for only 7 percent of newly enrolled international students. Mayhew (2022) nevertheless observes that the decline in EU enrolments during 2021/22 was more than offset by growth in enrolments among UK and non-EU students. This development partially illustrates that enrolment is an equilibrium outcome jointly determined by group-specific applications, university offers, student acceptance decisions, and institutional capacity. </w:t>
      </w:r>
    </w:p>
    <w:p w14:paraId="724C2962" w14:textId="77777777" w:rsidR="00F330EE" w:rsidRDefault="00F330EE" w:rsidP="00F330EE">
      <w:pPr>
        <w:spacing w:before="240" w:after="240" w:line="360" w:lineRule="auto"/>
        <w:ind w:firstLine="360"/>
        <w:outlineLvl w:val="1"/>
        <w:rPr>
          <w:rFonts w:ascii="Times New Roman" w:hAnsi="Times New Roman" w:cs="Times New Roman"/>
        </w:rPr>
      </w:pPr>
      <w:r w:rsidRPr="00F330EE">
        <w:rPr>
          <w:rFonts w:ascii="Times New Roman" w:hAnsi="Times New Roman" w:cs="Times New Roman"/>
        </w:rPr>
        <w:t xml:space="preserve">This shift in enrollment composition mentioned in Mayhew (2022) also reshaped student mobility. However, as early as 2006, Findlay et al. (2006) note that UK students' “decreasing </w:t>
      </w:r>
      <w:r w:rsidRPr="00F330EE">
        <w:rPr>
          <w:rFonts w:ascii="Times New Roman" w:hAnsi="Times New Roman" w:cs="Times New Roman"/>
        </w:rPr>
        <w:lastRenderedPageBreak/>
        <w:t>mobility to Europe is more than compensated by rising flows to other world destinations, especially North America and Australia, partly offset by increased flows to North America and Australia” (p. 291). Locke and Marini (2021) note that before the 2016 Referendum on the UK’s membership of the European Union, there had been a rapid increase in EU faculty in the UK higher education institutions. Locke and Marini (2021) also note that many institutions had come to rely on academics from other EU countries for a major portion of their research, teaching, and other activities. Ultimately, Luthra (2020) argues that the rejection of free movement created vulnerability among EU staff, highlighting feelings of insecurity regarding their legal rights and public acceptance within their workplaces.</w:t>
      </w:r>
    </w:p>
    <w:p w14:paraId="2DEF5D0D" w14:textId="65B11238" w:rsidR="008779CA" w:rsidRPr="00F330EE" w:rsidRDefault="00F330EE" w:rsidP="00F330EE">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t xml:space="preserve"> </w:t>
      </w:r>
      <w:r w:rsidR="00B15C74" w:rsidRPr="00F330EE">
        <w:rPr>
          <w:rFonts w:ascii="Times New Roman" w:hAnsi="Times New Roman" w:cs="Times New Roman"/>
          <w:b/>
          <w:i/>
          <w:iCs/>
        </w:rPr>
        <w:t>Previous attempts to capture demand elasticities in higher education</w:t>
      </w:r>
    </w:p>
    <w:p w14:paraId="1D2B3D16" w14:textId="77777777" w:rsidR="00A44AB1" w:rsidRPr="00A44AB1" w:rsidRDefault="00A44AB1" w:rsidP="00A44AB1">
      <w:pPr>
        <w:spacing w:line="360" w:lineRule="auto"/>
        <w:outlineLvl w:val="1"/>
        <w:rPr>
          <w:rFonts w:ascii="Times New Roman" w:hAnsi="Times New Roman" w:cs="Times New Roman"/>
          <w:iCs/>
        </w:rPr>
      </w:pPr>
      <w:r w:rsidRPr="00A44AB1">
        <w:rPr>
          <w:rFonts w:ascii="Times New Roman" w:hAnsi="Times New Roman" w:cs="Times New Roman"/>
          <w:iCs/>
        </w:rPr>
        <w:t>A causal evaluation of the 2021 reform became possible only after sufficient post-treatment UCAS observations had accumulated. Before those data were available, policy reports relied on forecasting models to anticipate the effects of the impending structural change. Conlon et al. (2021), for example, estimated error-correction models and used the resulting elasticities to simulate the likely response to the new tuition regime. Once data through 2022 became available, the literature shifted from ex ante forecasting to ex post causal evaluation. Neville et al. (2024) document a sharp decline in successful EU applications after 2021, even after accounting for the concurrent effects of COVID-19. Clifton-</w:t>
      </w:r>
      <w:proofErr w:type="spellStart"/>
      <w:r w:rsidRPr="00A44AB1">
        <w:rPr>
          <w:rFonts w:ascii="Times New Roman" w:hAnsi="Times New Roman" w:cs="Times New Roman"/>
          <w:iCs/>
        </w:rPr>
        <w:t>Sprigg</w:t>
      </w:r>
      <w:proofErr w:type="spellEnd"/>
      <w:r w:rsidRPr="00A44AB1">
        <w:rPr>
          <w:rFonts w:ascii="Times New Roman" w:hAnsi="Times New Roman" w:cs="Times New Roman"/>
          <w:iCs/>
        </w:rPr>
        <w:t xml:space="preserve"> et al. (2025) distinguish among the successive components of Brexit and conclude that the introduction of international tuition fees, not the referendum result or the imposition of visa requirements, produced the substantial contraction in EU student mobility. Crawford et al. (2025) provide complementary evidence to Conlon et al. (2021) on demand elasticities. </w:t>
      </w:r>
    </w:p>
    <w:p w14:paraId="1ED32F4A" w14:textId="55C5259A" w:rsidR="00A44AB1" w:rsidRPr="00A44AB1" w:rsidRDefault="00A44AB1" w:rsidP="00A44AB1">
      <w:pPr>
        <w:spacing w:line="360" w:lineRule="auto"/>
        <w:ind w:firstLine="720"/>
        <w:outlineLvl w:val="1"/>
        <w:rPr>
          <w:rFonts w:ascii="Times New Roman" w:hAnsi="Times New Roman" w:cs="Times New Roman"/>
          <w:iCs/>
        </w:rPr>
      </w:pPr>
      <w:r w:rsidRPr="00A44AB1">
        <w:rPr>
          <w:rFonts w:ascii="Times New Roman" w:hAnsi="Times New Roman" w:cs="Times New Roman"/>
          <w:iCs/>
        </w:rPr>
        <w:t xml:space="preserve">Methodologically, following the concern of what will happen with the pricing of UK higher education, Conlon et al. (2021) – in an attempt to recover a specific elasticity number for EU students – acknowledge that tuition fees belong to the “variables that are the same across countries” and proceed to estimate said elasticities with a country panel having no within-year cross-country price variation. The tuition coefficient is identified only through the common time series. Nevertheless, they claim that the cointegrating coefficient “measures the causal effect that occurs over future time periods” (Conlon et al., 2021, p. 19), and find that the estimated long-run price elasticity of demand is statistically significant (at the 5% significance level) and suggests that a 10% increase in the level of tuition fees charged to EU full-time first-year undergraduate students is associated with a 3.5% reduction in demand for </w:t>
      </w:r>
      <w:r w:rsidRPr="00A44AB1">
        <w:rPr>
          <w:rFonts w:ascii="Times New Roman" w:hAnsi="Times New Roman" w:cs="Times New Roman"/>
          <w:iCs/>
        </w:rPr>
        <w:lastRenderedPageBreak/>
        <w:t>UK HE (this is an elasticity coefficient of 0.35 as we will return to this result later). Clifton-</w:t>
      </w:r>
      <w:proofErr w:type="spellStart"/>
      <w:r w:rsidRPr="00A44AB1">
        <w:rPr>
          <w:rFonts w:ascii="Times New Roman" w:hAnsi="Times New Roman" w:cs="Times New Roman"/>
          <w:iCs/>
        </w:rPr>
        <w:t>Sprigg</w:t>
      </w:r>
      <w:proofErr w:type="spellEnd"/>
      <w:r w:rsidRPr="00A44AB1">
        <w:rPr>
          <w:rFonts w:ascii="Times New Roman" w:hAnsi="Times New Roman" w:cs="Times New Roman"/>
          <w:iCs/>
        </w:rPr>
        <w:t xml:space="preserve"> et al. (2025) divided the ATT by a price change of 140%, obtaining a price elasticity of around 0.40. In the Appendix, we show why this move was </w:t>
      </w:r>
      <w:r w:rsidR="00937D3A">
        <w:rPr>
          <w:rFonts w:ascii="Times New Roman" w:hAnsi="Times New Roman" w:cs="Times New Roman"/>
          <w:iCs/>
        </w:rPr>
        <w:t>not ideal</w:t>
      </w:r>
      <w:r w:rsidRPr="00A44AB1">
        <w:rPr>
          <w:rFonts w:ascii="Times New Roman" w:hAnsi="Times New Roman" w:cs="Times New Roman"/>
          <w:iCs/>
        </w:rPr>
        <w:t>, as the typical elasticity formula of percentage change in quantity over percentage change in price</w:t>
      </w:r>
      <w:r w:rsidR="00ED3FB9">
        <w:rPr>
          <w:rFonts w:ascii="Times New Roman" w:hAnsi="Times New Roman" w:cs="Times New Roman"/>
          <w:iCs/>
        </w:rPr>
        <w:t xml:space="preserve"> </w:t>
      </w:r>
      <w:bookmarkStart w:id="0" w:name="_GoBack"/>
      <w:bookmarkEnd w:id="0"/>
      <w:r w:rsidRPr="00A44AB1">
        <w:rPr>
          <w:rFonts w:ascii="Times New Roman" w:hAnsi="Times New Roman" w:cs="Times New Roman"/>
          <w:iCs/>
        </w:rPr>
        <w:t xml:space="preserve">understates the true slope of an isoelastic demand curve when the price shock is too large. </w:t>
      </w:r>
    </w:p>
    <w:p w14:paraId="26C9E980" w14:textId="3D01A5F2" w:rsidR="00A44AB1" w:rsidRPr="00A44AB1" w:rsidRDefault="00174AEF" w:rsidP="00174AEF">
      <w:pPr>
        <w:spacing w:line="360" w:lineRule="auto"/>
        <w:ind w:firstLine="720"/>
        <w:outlineLvl w:val="1"/>
        <w:rPr>
          <w:rFonts w:ascii="Times New Roman" w:hAnsi="Times New Roman" w:cs="Times New Roman"/>
          <w:iCs/>
        </w:rPr>
      </w:pPr>
      <w:r>
        <w:rPr>
          <w:rFonts w:ascii="Times New Roman" w:hAnsi="Times New Roman" w:cs="Times New Roman"/>
          <w:iCs/>
        </w:rPr>
        <w:t>From an academic perspective,</w:t>
      </w:r>
      <w:r w:rsidR="00A44AB1" w:rsidRPr="00A44AB1">
        <w:rPr>
          <w:rFonts w:ascii="Times New Roman" w:hAnsi="Times New Roman" w:cs="Times New Roman"/>
          <w:iCs/>
        </w:rPr>
        <w:t xml:space="preserve"> our closest predecessor is Sá (2014, 2017, 2019), who used UCAS application data and a related difference-in-differences design to estimate the response of applications to the 2012 tuition reform. The resulting elasticity estimates are easy to conflate. The 2014 working paper reports magnitudes between 0.14 and 0.26, while later versions report both a reform-specific elasticity of 0.110 and a full-period elasticity of 0.356 (Sa, 2017; Sa, 2019). The apparent gap between the latter two figures can be decomposed into four components. First, the 0.110 estimate divides the exact 18.7% application decline by the 170% arithmetic increase in tuition costs. Placing the same estimate on the log-log scale used in Table 10 gives 0.207 divided by </w:t>
      </w:r>
      <w:proofErr w:type="gramStart"/>
      <w:r w:rsidR="00A44AB1" w:rsidRPr="00A44AB1">
        <w:rPr>
          <w:rFonts w:ascii="Times New Roman" w:hAnsi="Times New Roman" w:cs="Times New Roman"/>
          <w:iCs/>
        </w:rPr>
        <w:t>ln(</w:t>
      </w:r>
      <w:proofErr w:type="gramEnd"/>
      <w:r w:rsidR="00A44AB1" w:rsidRPr="00A44AB1">
        <w:rPr>
          <w:rFonts w:ascii="Times New Roman" w:hAnsi="Times New Roman" w:cs="Times New Roman"/>
          <w:iCs/>
        </w:rPr>
        <w:t>27,000/10,000), or 0.208, accounting for 40.0% of the original 0.246 gap. Second, valuing the reform using the sector-average increase from £10,395 to £24,120 employed in Sá (2014, Section 6.1), instead of the maximum-fee increase from approximately £10,000 to £27,000 used in Sá (2017, Section 4), raises the implied elasticity to 0.246 and accounts for a further 15.3% of the gap. Third, applying the 2014 coefficient of −0.250, estimated using 2012 and 2013 as the post-treatment period, produces an elasticity of 0.297 and explains another 20.8%. This difference is consistent with the subsequent recovery in applications, as the annual treatment coefficient narrows from −0.237 in 2013 to −0.182 in 2014 and −0.172 in 2015. The remaining 24.0% reflects differences in sample coverage and empirical specification.</w:t>
      </w:r>
      <w:r>
        <w:rPr>
          <w:rFonts w:ascii="Times New Roman" w:hAnsi="Times New Roman" w:cs="Times New Roman"/>
          <w:iCs/>
        </w:rPr>
        <w:t xml:space="preserve"> However, the identification remains </w:t>
      </w:r>
      <w:r w:rsidR="00937D3A">
        <w:rPr>
          <w:rFonts w:ascii="Times New Roman" w:hAnsi="Times New Roman" w:cs="Times New Roman"/>
          <w:iCs/>
        </w:rPr>
        <w:t xml:space="preserve">contestable. </w:t>
      </w:r>
    </w:p>
    <w:p w14:paraId="2B0F8F25" w14:textId="0D1CEE5B" w:rsidR="00A44AB1" w:rsidRPr="00A44AB1" w:rsidRDefault="00A44AB1" w:rsidP="00A44AB1">
      <w:pPr>
        <w:spacing w:line="360" w:lineRule="auto"/>
        <w:ind w:firstLine="720"/>
        <w:outlineLvl w:val="1"/>
        <w:rPr>
          <w:rFonts w:ascii="Times New Roman" w:hAnsi="Times New Roman" w:cs="Times New Roman"/>
          <w:iCs/>
        </w:rPr>
      </w:pPr>
      <w:r w:rsidRPr="00A44AB1">
        <w:rPr>
          <w:rFonts w:ascii="Times New Roman" w:hAnsi="Times New Roman" w:cs="Times New Roman"/>
          <w:iCs/>
        </w:rPr>
        <w:t>Table 10 of Sá (2017) estimates a conceptually different parameter. It is a two-way fixed-effects log-log regression covering England and Scotland from 1998 to 2015 and pooling multiple fee reforms under a common-elasticity restriction. That restriction is especially consequential when the model combines relatively small historical fee changes with the 170% increase introduced in 2012. Inference also rests on only two country clusters. Consequently, the values 0.110 and 0.356 in Sá (</w:t>
      </w:r>
      <w:r w:rsidR="00772007">
        <w:rPr>
          <w:rFonts w:ascii="Times New Roman" w:hAnsi="Times New Roman" w:cs="Times New Roman"/>
          <w:iCs/>
        </w:rPr>
        <w:t>2004,</w:t>
      </w:r>
      <w:r w:rsidRPr="00A44AB1">
        <w:rPr>
          <w:rFonts w:ascii="Times New Roman" w:hAnsi="Times New Roman" w:cs="Times New Roman"/>
          <w:iCs/>
        </w:rPr>
        <w:t xml:space="preserve">2017, 2019) do not estimate the same object on the same scale. The former is a finite-change elasticity constructed from a difference-in-differences ATT for one discrete reform. By contrast, the latter is a pooled constant-elasticity coefficient estimated across multiple reforms and years. Of their apparent difference, approximately 55% is attributable to the transformation and price benchmark, </w:t>
      </w:r>
      <w:r w:rsidRPr="00A44AB1">
        <w:rPr>
          <w:rFonts w:ascii="Times New Roman" w:hAnsi="Times New Roman" w:cs="Times New Roman"/>
          <w:iCs/>
        </w:rPr>
        <w:lastRenderedPageBreak/>
        <w:t>21% to the post-treatment horizon, and 24% to the remaining sample and specification changes.</w:t>
      </w:r>
    </w:p>
    <w:p w14:paraId="143B9F54" w14:textId="4A0E8AAF" w:rsidR="00F9485C" w:rsidRPr="005C7873" w:rsidRDefault="00F9485C" w:rsidP="00F243F5">
      <w:pPr>
        <w:spacing w:line="360" w:lineRule="auto"/>
        <w:ind w:firstLine="720"/>
        <w:outlineLvl w:val="1"/>
        <w:rPr>
          <w:rFonts w:ascii="Times New Roman" w:hAnsi="Times New Roman" w:cs="Times New Roman"/>
          <w:iCs/>
        </w:rPr>
      </w:pPr>
      <w:r w:rsidRPr="005C7873">
        <w:rPr>
          <w:rFonts w:ascii="Times New Roman" w:hAnsi="Times New Roman" w:cs="Times New Roman"/>
          <w:iCs/>
        </w:rPr>
        <w:t xml:space="preserve">Simultaneity between tuition and enrollment constitutes an additional identification concern in estimates of higher-education demand. This concern was particularly important in earlier studies that relied on aggregate variation in tuition and enrollment. </w:t>
      </w:r>
      <w:r w:rsidRPr="00F243F5">
        <w:rPr>
          <w:rFonts w:ascii="Times New Roman" w:hAnsi="Times New Roman" w:cs="Times New Roman"/>
          <w:iCs/>
          <w:color w:val="FF0000"/>
        </w:rPr>
        <w:t>Leslie and Brinkman (1987)</w:t>
      </w:r>
      <w:r w:rsidRPr="005C7873">
        <w:rPr>
          <w:rFonts w:ascii="Times New Roman" w:hAnsi="Times New Roman" w:cs="Times New Roman"/>
          <w:iCs/>
        </w:rPr>
        <w:t xml:space="preserve"> express the conventional price elasticity as ε = E/P, where E is the percentage change in enrollment and P is the percentage change in price. Interpreting this ratio causally, however, requires tuition changes to be exogenous to demand and to other determinants of enrollment. This condition is unlikely to hold when identification relies on ordinary institutional variation over time. </w:t>
      </w:r>
      <w:proofErr w:type="spellStart"/>
      <w:r w:rsidRPr="005C7873">
        <w:rPr>
          <w:rFonts w:ascii="Times New Roman" w:hAnsi="Times New Roman" w:cs="Times New Roman"/>
          <w:iCs/>
        </w:rPr>
        <w:t>Hoxby</w:t>
      </w:r>
      <w:proofErr w:type="spellEnd"/>
      <w:r w:rsidRPr="005C7873">
        <w:rPr>
          <w:rFonts w:ascii="Times New Roman" w:hAnsi="Times New Roman" w:cs="Times New Roman"/>
          <w:iCs/>
        </w:rPr>
        <w:t xml:space="preserve"> (1997) shows that the increasing integration and competitiveness of the US higher-education market produced higher average tuition and quality, greater differentiation across institutions, stronger sorting by student quality, and changes in institutional subsidies. Posted tuition may therefore respond to the same competitive forces that influence enrollment. Moreover, when tuition increases alongside quality and product differentiation, the underlying educational product is no longer held constant. Estimates based on the joint time-series variation in tuition and enrollment may consequently confound movement along a demand curve with changes in quality, institutional strategy, and the price-setting environment.</w:t>
      </w:r>
      <w:r w:rsidR="00F243F5">
        <w:rPr>
          <w:rFonts w:ascii="Times New Roman" w:hAnsi="Times New Roman" w:cs="Times New Roman"/>
          <w:iCs/>
        </w:rPr>
        <w:t xml:space="preserve"> However, t</w:t>
      </w:r>
      <w:r w:rsidRPr="005C7873">
        <w:rPr>
          <w:rFonts w:ascii="Times New Roman" w:hAnsi="Times New Roman" w:cs="Times New Roman"/>
          <w:iCs/>
        </w:rPr>
        <w:t xml:space="preserve">he Brexit design provides a cleaner source of identifying variation. The loss of Home Fee status and eligibility for income-contingent tuition loans resulted from an external regulatory change, not a decision by universities responding to contemporaneous EU application demand. </w:t>
      </w:r>
    </w:p>
    <w:p w14:paraId="10FDD018" w14:textId="305975A2"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Furthermore, Leslie and Brinkman (1987) explain that when we have a tuition elasticity from a time-series study, we cannot directly use it as a total-cost elasticity, because tuition and total cost did not move proportionally over time. This is why Brexit represents such an important empirical event, because it generated implicit tuition variation by sharply changing the effective price faced by EU applicants, allowing the analysis to identify how demand responds to changes in the actual cost of study rather than to nominal tuition alone. Campbell &amp; Siegel (1967) present an example in which tuition rose 148% between 1927 and 1963, more than the total direct costs, so their tuition elasticity of −0.44 understates the true total cost elasticity. </w:t>
      </w:r>
    </w:p>
    <w:p w14:paraId="7424DD04"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Leslie and Brinkman (1987) further conclude that for every $100 increase in tuition price, given the 1982-83 average weighted higher education prices of $3,420 for tuition and room and board, one would expect a 18-24-year-old participation rate drop of about three-quarters of a percentage point. Since the national higher education participation rate was </w:t>
      </w:r>
      <w:r>
        <w:rPr>
          <w:rFonts w:ascii="Times New Roman" w:hAnsi="Times New Roman" w:cs="Times New Roman"/>
          <w:iCs/>
        </w:rPr>
        <w:lastRenderedPageBreak/>
        <w:t xml:space="preserve">about 0.33 in 1982, U.S. enrollments would decline by about 2.1 percent for each $ 100 price increase, all other factors equal. This implies a price elasticity of about -0.73, which is largely consistent with some of our own estimates. </w:t>
      </w:r>
    </w:p>
    <w:p w14:paraId="453FDA6A"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Savoca (1990) argues that standard enrollment-based estimates understate true demand sensitivity by conflating application behavior with admissions and matriculation decisions. Under the assumption that tuition and admissions policy are set independently, the price elasticity of enrollment equals the sum of the application and matriculation elasticities – a combined figure she estimates at −0.49, suggesting the true demand elasticity may be more than twice as large as conventional estimates. Following the modern wave of more robust causal evidence, Dwenger et al. (2012) corroborate this direction of effect in a different setting – among German high-school graduates, residing in a state with tuition fees reduces the probability of applying to a home-state university by 2 percentage points (against a baseline of 69%), with stronger responses among higher-achieving students.</w:t>
      </w:r>
    </w:p>
    <w:p w14:paraId="6791FC60" w14:textId="590890C5" w:rsidR="00CE4927" w:rsidRPr="00A43B95" w:rsidRDefault="00A43B95" w:rsidP="009054D1">
      <w:pPr>
        <w:spacing w:line="360" w:lineRule="auto"/>
        <w:ind w:firstLine="360"/>
        <w:outlineLvl w:val="1"/>
        <w:rPr>
          <w:rFonts w:ascii="Times New Roman" w:hAnsi="Times New Roman" w:cs="Times New Roman"/>
          <w:iCs/>
        </w:rPr>
      </w:pPr>
      <w:r>
        <w:rPr>
          <w:rFonts w:ascii="Times New Roman" w:hAnsi="Times New Roman" w:cs="Times New Roman"/>
          <w:iCs/>
        </w:rPr>
        <w:t>To understand why the Brexit-derived elasticities may be larger than the standard estimates in the literature, consider, for example, Heller (1997), who argues that tuition increases reduce enrollment (so higher education is not a luxury good). The studies reviewed by Heller (1997) converge on the finding that each $100 tuition increase lowers enrollment by roughly 0.5 to 1.0 percentage points, which is consistent with Leslie and Brinkman (1987). Reductions in financial aid also reduce enrollment, though the effect varies by aid type.</w:t>
      </w:r>
      <w:r w:rsidR="009054D1">
        <w:rPr>
          <w:rFonts w:ascii="Times New Roman" w:hAnsi="Times New Roman" w:cs="Times New Roman"/>
          <w:iCs/>
        </w:rPr>
        <w:t xml:space="preserve"> </w:t>
      </w:r>
      <w:r>
        <w:rPr>
          <w:rFonts w:ascii="Times New Roman" w:hAnsi="Times New Roman" w:cs="Times New Roman"/>
          <w:iCs/>
        </w:rPr>
        <w:t xml:space="preserve">Lower-income students are more sensitive to changes in tuition and aid than middle- and upper-income students. The results presented in Hemelt and Marcotte (2011) are also relevant because they confirm the standard negative relationship between tuition and enrollment, but their design is also not directly comparable to Brexit. </w:t>
      </w:r>
      <w:r w:rsidR="00CE4927">
        <w:rPr>
          <w:rFonts w:ascii="Times New Roman" w:hAnsi="Times New Roman" w:cs="Times New Roman"/>
          <w:iCs/>
        </w:rPr>
        <w:t xml:space="preserve"> </w:t>
      </w:r>
    </w:p>
    <w:p w14:paraId="399455A5" w14:textId="7ABC0637" w:rsidR="00A43B95" w:rsidRPr="00A43B95" w:rsidRDefault="00A43B95" w:rsidP="00A43B95">
      <w:pPr>
        <w:spacing w:line="360" w:lineRule="auto"/>
        <w:ind w:firstLine="360"/>
        <w:outlineLvl w:val="1"/>
        <w:rPr>
          <w:rFonts w:ascii="Times New Roman" w:hAnsi="Times New Roman" w:cs="Times New Roman"/>
          <w:iCs/>
        </w:rPr>
      </w:pPr>
      <w:r>
        <w:rPr>
          <w:rFonts w:ascii="Times New Roman" w:hAnsi="Times New Roman" w:cs="Times New Roman"/>
          <w:iCs/>
        </w:rPr>
        <w:t xml:space="preserve">Another branch in the literature is the </w:t>
      </w:r>
      <w:r>
        <w:rPr>
          <w:rFonts w:ascii="Times New Roman" w:hAnsi="Times New Roman" w:cs="Times New Roman"/>
          <w:b/>
          <w:iCs/>
        </w:rPr>
        <w:t>BLP-type models</w:t>
      </w:r>
      <w:r>
        <w:rPr>
          <w:rFonts w:ascii="Times New Roman" w:hAnsi="Times New Roman" w:cs="Times New Roman"/>
          <w:iCs/>
        </w:rPr>
        <w:t xml:space="preserve"> (building on McFadden, 1974), which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p w14:paraId="6AA61A8E" w14:textId="053C6422" w:rsidR="00F1436E" w:rsidRDefault="00F1436E" w:rsidP="00E25058">
      <w:pPr>
        <w:pStyle w:val="NormalWeb"/>
        <w:numPr>
          <w:ilvl w:val="0"/>
          <w:numId w:val="35"/>
        </w:numPr>
        <w:spacing w:before="240" w:beforeAutospacing="0" w:after="240" w:afterAutospacing="0" w:line="360" w:lineRule="auto"/>
        <w:rPr>
          <w:b/>
          <w:i/>
          <w:iCs/>
          <w:sz w:val="28"/>
        </w:rPr>
      </w:pPr>
      <w:r>
        <w:rPr>
          <w:b/>
          <w:i/>
          <w:iCs/>
          <w:sz w:val="28"/>
        </w:rPr>
        <w:t xml:space="preserve">Data </w:t>
      </w:r>
    </w:p>
    <w:p w14:paraId="53917B35" w14:textId="489CBE7E" w:rsidR="00CA5CDE" w:rsidRPr="00CA5CDE" w:rsidRDefault="00CA5CDE" w:rsidP="00F507D3">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primary data source is the most recent release of the UCAS database (2025), covering application cycles from 2016 to 2025. UCAS provides centralized information on </w:t>
      </w:r>
      <w:r>
        <w:rPr>
          <w:rFonts w:ascii="Times New Roman" w:eastAsia="Times New Roman" w:hAnsi="Times New Roman" w:cs="Times New Roman"/>
          <w:i w:val="0"/>
          <w:iCs w:val="0"/>
          <w:color w:val="auto"/>
          <w:kern w:val="0"/>
          <w:sz w:val="24"/>
          <w:szCs w:val="24"/>
          <w:lang w:eastAsia="en-GB"/>
          <w14:ligatures w14:val="none"/>
        </w:rPr>
        <w:lastRenderedPageBreak/>
        <w:t xml:space="preserve">applications to UK higher education institutions, enabling us to observe applicant behavior before admissions decisions are made.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country of domicile is retained as the key dimension of variation. A natural extension would be to derive gender-, age-, or subject-specific elasticities from the same data; we leave this for future work and focus here on aggregate flows due to space constraints. </w:t>
      </w:r>
    </w:p>
    <w:p w14:paraId="0B55A8B8" w14:textId="70365117" w:rsidR="00CA5CDE" w:rsidRDefault="00CA5CDE" w:rsidP="00CA5CDE">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unit of observation is the origin-country–year, yielding a panel dataset that includes both EU countries (the treated group) and non-EU countries used to construct the “pseudo EU” (the artificial control group). The main outcome variable is the logarithm of the number of applications from country i in year t, which captures cross-country variation in demand over time. To analyze heterogeneity in responses to the Brexit-induced tuition shock, the UCAS data are merged with macroeconomic indicators, including GDP per capita and labor-market variables from the World Bank. The descriptive statistics are presented in Table 1. </w:t>
      </w:r>
    </w:p>
    <w:p w14:paraId="6ED1CCAC" w14:textId="77777777" w:rsidR="00CA5CDE" w:rsidRPr="00CA5CDE" w:rsidRDefault="00CA5CDE" w:rsidP="00CA5CDE">
      <w:pPr>
        <w:rPr>
          <w:lang w:eastAsia="en-GB"/>
        </w:rPr>
      </w:pPr>
    </w:p>
    <w:p w14:paraId="4D026725" w14:textId="49998F9F" w:rsidR="003952E9" w:rsidRPr="001D1E3D" w:rsidRDefault="001D1E3D" w:rsidP="00CA5CDE">
      <w:pPr>
        <w:pStyle w:val="Caption"/>
        <w:keepNext/>
        <w:spacing w:after="0" w:line="360" w:lineRule="auto"/>
        <w:rPr>
          <w:rFonts w:ascii="Times New Roman" w:hAnsi="Times New Roman" w:cs="Times New Roman"/>
        </w:rPr>
      </w:pPr>
      <w:r>
        <w:rPr>
          <w:rFonts w:ascii="Times New Roman" w:hAnsi="Times New Roman" w:cs="Times New Roman"/>
          <w:b/>
        </w:rPr>
        <w:t>Table 1</w:t>
      </w:r>
      <w:r>
        <w:rPr>
          <w:rFonts w:ascii="Times New Roman" w:hAnsi="Times New Roman" w:cs="Times New Roman"/>
        </w:rPr>
        <w:t xml:space="preserve">.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 </w:t>
      </w:r>
    </w:p>
    <w:tbl>
      <w:tblPr>
        <w:tblW w:w="9209" w:type="dxa"/>
        <w:jc w:val="center"/>
        <w:tblLook w:val="04A0" w:firstRow="1" w:lastRow="0" w:firstColumn="1" w:lastColumn="0" w:noHBand="0" w:noVBand="1"/>
      </w:tblPr>
      <w:tblGrid>
        <w:gridCol w:w="1829"/>
        <w:gridCol w:w="829"/>
        <w:gridCol w:w="1460"/>
        <w:gridCol w:w="1206"/>
        <w:gridCol w:w="1418"/>
        <w:gridCol w:w="1191"/>
        <w:gridCol w:w="1276"/>
      </w:tblGrid>
      <w:tr w:rsidR="003417A8" w:rsidRPr="003417A8" w14:paraId="4E712793" w14:textId="77777777" w:rsidTr="003417A8">
        <w:trPr>
          <w:trHeight w:val="288"/>
          <w:jc w:val="center"/>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D8D78"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Variable</w:t>
            </w:r>
          </w:p>
        </w:tc>
        <w:tc>
          <w:tcPr>
            <w:tcW w:w="829" w:type="dxa"/>
            <w:tcBorders>
              <w:top w:val="single" w:sz="4" w:space="0" w:color="auto"/>
              <w:left w:val="nil"/>
              <w:bottom w:val="single" w:sz="4" w:space="0" w:color="auto"/>
              <w:right w:val="single" w:sz="4" w:space="0" w:color="auto"/>
            </w:tcBorders>
            <w:shd w:val="clear" w:color="auto" w:fill="auto"/>
            <w:noWrap/>
            <w:vAlign w:val="bottom"/>
            <w:hideMark/>
          </w:tcPr>
          <w:p w14:paraId="7E591BB1"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n</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3B88531B"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mean</w:t>
            </w:r>
          </w:p>
        </w:tc>
        <w:tc>
          <w:tcPr>
            <w:tcW w:w="1206" w:type="dxa"/>
            <w:tcBorders>
              <w:top w:val="single" w:sz="4" w:space="0" w:color="auto"/>
              <w:left w:val="nil"/>
              <w:bottom w:val="single" w:sz="4" w:space="0" w:color="auto"/>
              <w:right w:val="single" w:sz="4" w:space="0" w:color="auto"/>
            </w:tcBorders>
            <w:shd w:val="clear" w:color="auto" w:fill="auto"/>
            <w:noWrap/>
            <w:vAlign w:val="bottom"/>
            <w:hideMark/>
          </w:tcPr>
          <w:p w14:paraId="77E90BBF"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sd</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42748F87"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median</w:t>
            </w:r>
          </w:p>
        </w:tc>
        <w:tc>
          <w:tcPr>
            <w:tcW w:w="1191" w:type="dxa"/>
            <w:tcBorders>
              <w:top w:val="single" w:sz="4" w:space="0" w:color="auto"/>
              <w:left w:val="nil"/>
              <w:bottom w:val="single" w:sz="4" w:space="0" w:color="auto"/>
              <w:right w:val="single" w:sz="4" w:space="0" w:color="auto"/>
            </w:tcBorders>
            <w:shd w:val="clear" w:color="auto" w:fill="auto"/>
            <w:noWrap/>
            <w:vAlign w:val="bottom"/>
            <w:hideMark/>
          </w:tcPr>
          <w:p w14:paraId="0CB312AD"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min</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CE02826" w14:textId="77777777" w:rsidR="003417A8" w:rsidRPr="003417A8" w:rsidRDefault="003417A8" w:rsidP="003417A8">
            <w:pPr>
              <w:jc w:val="center"/>
              <w:rPr>
                <w:rFonts w:ascii="Times New Roman" w:eastAsia="Times New Roman" w:hAnsi="Times New Roman" w:cs="Times New Roman"/>
                <w:b/>
                <w:color w:val="000000"/>
                <w:kern w:val="0"/>
                <w:sz w:val="22"/>
                <w:szCs w:val="22"/>
                <w14:ligatures w14:val="none"/>
              </w:rPr>
            </w:pPr>
            <w:r>
              <w:rPr>
                <w:rFonts w:ascii="Times New Roman" w:eastAsia="Times New Roman" w:hAnsi="Times New Roman" w:cs="Times New Roman"/>
                <w:b/>
                <w:color w:val="000000"/>
                <w:kern w:val="0"/>
                <w:sz w:val="22"/>
                <w:szCs w:val="22"/>
                <w14:ligatures w14:val="none"/>
              </w:rPr>
              <w:t>max</w:t>
            </w:r>
          </w:p>
        </w:tc>
      </w:tr>
      <w:tr w:rsidR="003417A8" w:rsidRPr="003417A8" w14:paraId="4BA1FD4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660810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Applicants</w:t>
            </w:r>
          </w:p>
        </w:tc>
        <w:tc>
          <w:tcPr>
            <w:tcW w:w="82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62D157" w14:textId="77777777" w:rsidR="003417A8" w:rsidRPr="003417A8" w:rsidRDefault="003417A8" w:rsidP="003417A8">
            <w:pPr>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468</w:t>
            </w:r>
          </w:p>
        </w:tc>
        <w:tc>
          <w:tcPr>
            <w:tcW w:w="1460" w:type="dxa"/>
            <w:tcBorders>
              <w:top w:val="nil"/>
              <w:left w:val="nil"/>
              <w:bottom w:val="single" w:sz="4" w:space="0" w:color="auto"/>
              <w:right w:val="single" w:sz="4" w:space="0" w:color="auto"/>
            </w:tcBorders>
            <w:shd w:val="clear" w:color="auto" w:fill="auto"/>
            <w:noWrap/>
            <w:vAlign w:val="bottom"/>
            <w:hideMark/>
          </w:tcPr>
          <w:p w14:paraId="1005DBC3"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1767,95</w:t>
            </w:r>
          </w:p>
        </w:tc>
        <w:tc>
          <w:tcPr>
            <w:tcW w:w="1206" w:type="dxa"/>
            <w:tcBorders>
              <w:top w:val="nil"/>
              <w:left w:val="nil"/>
              <w:bottom w:val="single" w:sz="4" w:space="0" w:color="auto"/>
              <w:right w:val="single" w:sz="4" w:space="0" w:color="auto"/>
            </w:tcBorders>
            <w:shd w:val="clear" w:color="auto" w:fill="auto"/>
            <w:noWrap/>
            <w:vAlign w:val="bottom"/>
            <w:hideMark/>
          </w:tcPr>
          <w:p w14:paraId="4BCC83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3745,32</w:t>
            </w:r>
          </w:p>
        </w:tc>
        <w:tc>
          <w:tcPr>
            <w:tcW w:w="1418" w:type="dxa"/>
            <w:tcBorders>
              <w:top w:val="nil"/>
              <w:left w:val="nil"/>
              <w:bottom w:val="single" w:sz="4" w:space="0" w:color="auto"/>
              <w:right w:val="single" w:sz="4" w:space="0" w:color="auto"/>
            </w:tcBorders>
            <w:shd w:val="clear" w:color="auto" w:fill="auto"/>
            <w:noWrap/>
            <w:vAlign w:val="bottom"/>
            <w:hideMark/>
          </w:tcPr>
          <w:p w14:paraId="7FDFD5D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715,00</w:t>
            </w:r>
          </w:p>
        </w:tc>
        <w:tc>
          <w:tcPr>
            <w:tcW w:w="1191" w:type="dxa"/>
            <w:tcBorders>
              <w:top w:val="nil"/>
              <w:left w:val="nil"/>
              <w:bottom w:val="single" w:sz="4" w:space="0" w:color="auto"/>
              <w:right w:val="single" w:sz="4" w:space="0" w:color="auto"/>
            </w:tcBorders>
            <w:shd w:val="clear" w:color="auto" w:fill="auto"/>
            <w:noWrap/>
            <w:vAlign w:val="bottom"/>
            <w:hideMark/>
          </w:tcPr>
          <w:p w14:paraId="491CAC72"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35,00</w:t>
            </w:r>
          </w:p>
        </w:tc>
        <w:tc>
          <w:tcPr>
            <w:tcW w:w="1276" w:type="dxa"/>
            <w:tcBorders>
              <w:top w:val="nil"/>
              <w:left w:val="nil"/>
              <w:bottom w:val="single" w:sz="4" w:space="0" w:color="auto"/>
              <w:right w:val="single" w:sz="4" w:space="0" w:color="auto"/>
            </w:tcBorders>
            <w:shd w:val="clear" w:color="auto" w:fill="auto"/>
            <w:noWrap/>
            <w:vAlign w:val="bottom"/>
            <w:hideMark/>
          </w:tcPr>
          <w:p w14:paraId="6C10628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33660,00</w:t>
            </w:r>
          </w:p>
        </w:tc>
      </w:tr>
      <w:tr w:rsidR="003417A8" w:rsidRPr="003417A8" w14:paraId="0DE2FE1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07EC4B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log_app</w:t>
            </w:r>
          </w:p>
        </w:tc>
        <w:tc>
          <w:tcPr>
            <w:tcW w:w="829" w:type="dxa"/>
            <w:vMerge/>
            <w:tcBorders>
              <w:top w:val="nil"/>
              <w:left w:val="single" w:sz="4" w:space="0" w:color="auto"/>
              <w:bottom w:val="single" w:sz="4" w:space="0" w:color="auto"/>
              <w:right w:val="single" w:sz="4" w:space="0" w:color="auto"/>
            </w:tcBorders>
            <w:vAlign w:val="center"/>
            <w:hideMark/>
          </w:tcPr>
          <w:p w14:paraId="3A4E8417"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12E42B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6,63</w:t>
            </w:r>
          </w:p>
        </w:tc>
        <w:tc>
          <w:tcPr>
            <w:tcW w:w="1206" w:type="dxa"/>
            <w:tcBorders>
              <w:top w:val="nil"/>
              <w:left w:val="nil"/>
              <w:bottom w:val="single" w:sz="4" w:space="0" w:color="auto"/>
              <w:right w:val="single" w:sz="4" w:space="0" w:color="auto"/>
            </w:tcBorders>
            <w:shd w:val="clear" w:color="auto" w:fill="auto"/>
            <w:noWrap/>
            <w:vAlign w:val="bottom"/>
            <w:hideMark/>
          </w:tcPr>
          <w:p w14:paraId="16C34B7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1,23</w:t>
            </w:r>
          </w:p>
        </w:tc>
        <w:tc>
          <w:tcPr>
            <w:tcW w:w="1418" w:type="dxa"/>
            <w:tcBorders>
              <w:top w:val="nil"/>
              <w:left w:val="nil"/>
              <w:bottom w:val="single" w:sz="4" w:space="0" w:color="auto"/>
              <w:right w:val="single" w:sz="4" w:space="0" w:color="auto"/>
            </w:tcBorders>
            <w:shd w:val="clear" w:color="auto" w:fill="auto"/>
            <w:noWrap/>
            <w:vAlign w:val="bottom"/>
            <w:hideMark/>
          </w:tcPr>
          <w:p w14:paraId="5D31EE6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6,57</w:t>
            </w:r>
          </w:p>
        </w:tc>
        <w:tc>
          <w:tcPr>
            <w:tcW w:w="1191" w:type="dxa"/>
            <w:tcBorders>
              <w:top w:val="nil"/>
              <w:left w:val="nil"/>
              <w:bottom w:val="single" w:sz="4" w:space="0" w:color="auto"/>
              <w:right w:val="single" w:sz="4" w:space="0" w:color="auto"/>
            </w:tcBorders>
            <w:shd w:val="clear" w:color="auto" w:fill="auto"/>
            <w:noWrap/>
            <w:vAlign w:val="bottom"/>
            <w:hideMark/>
          </w:tcPr>
          <w:p w14:paraId="5F9433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3,56</w:t>
            </w:r>
          </w:p>
        </w:tc>
        <w:tc>
          <w:tcPr>
            <w:tcW w:w="1276" w:type="dxa"/>
            <w:tcBorders>
              <w:top w:val="nil"/>
              <w:left w:val="nil"/>
              <w:bottom w:val="single" w:sz="4" w:space="0" w:color="auto"/>
              <w:right w:val="single" w:sz="4" w:space="0" w:color="auto"/>
            </w:tcBorders>
            <w:shd w:val="clear" w:color="auto" w:fill="auto"/>
            <w:noWrap/>
            <w:vAlign w:val="bottom"/>
            <w:hideMark/>
          </w:tcPr>
          <w:p w14:paraId="5387701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10,42</w:t>
            </w:r>
          </w:p>
        </w:tc>
      </w:tr>
      <w:tr w:rsidR="003417A8" w:rsidRPr="003417A8" w14:paraId="12B17ACE"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83B726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EU</w:t>
            </w:r>
          </w:p>
        </w:tc>
        <w:tc>
          <w:tcPr>
            <w:tcW w:w="829" w:type="dxa"/>
            <w:vMerge/>
            <w:tcBorders>
              <w:top w:val="nil"/>
              <w:left w:val="single" w:sz="4" w:space="0" w:color="auto"/>
              <w:bottom w:val="single" w:sz="4" w:space="0" w:color="auto"/>
              <w:right w:val="single" w:sz="4" w:space="0" w:color="auto"/>
            </w:tcBorders>
            <w:vAlign w:val="center"/>
            <w:hideMark/>
          </w:tcPr>
          <w:p w14:paraId="7B9FD6E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E03D8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206" w:type="dxa"/>
            <w:tcBorders>
              <w:top w:val="nil"/>
              <w:left w:val="nil"/>
              <w:bottom w:val="single" w:sz="4" w:space="0" w:color="auto"/>
              <w:right w:val="single" w:sz="4" w:space="0" w:color="auto"/>
            </w:tcBorders>
            <w:shd w:val="clear" w:color="auto" w:fill="auto"/>
            <w:noWrap/>
            <w:vAlign w:val="bottom"/>
            <w:hideMark/>
          </w:tcPr>
          <w:p w14:paraId="34A8855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400FC7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191" w:type="dxa"/>
            <w:tcBorders>
              <w:top w:val="nil"/>
              <w:left w:val="nil"/>
              <w:bottom w:val="single" w:sz="4" w:space="0" w:color="auto"/>
              <w:right w:val="single" w:sz="4" w:space="0" w:color="auto"/>
            </w:tcBorders>
            <w:shd w:val="clear" w:color="auto" w:fill="auto"/>
            <w:noWrap/>
            <w:vAlign w:val="bottom"/>
            <w:hideMark/>
          </w:tcPr>
          <w:p w14:paraId="3862674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32200D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0669B1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DC0EBE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Post</w:t>
            </w:r>
          </w:p>
        </w:tc>
        <w:tc>
          <w:tcPr>
            <w:tcW w:w="829" w:type="dxa"/>
            <w:vMerge/>
            <w:tcBorders>
              <w:top w:val="nil"/>
              <w:left w:val="single" w:sz="4" w:space="0" w:color="auto"/>
              <w:bottom w:val="single" w:sz="4" w:space="0" w:color="auto"/>
              <w:right w:val="single" w:sz="4" w:space="0" w:color="auto"/>
            </w:tcBorders>
            <w:vAlign w:val="center"/>
            <w:hideMark/>
          </w:tcPr>
          <w:p w14:paraId="2D25F5AD"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44EA6A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0,44</w:t>
            </w:r>
          </w:p>
        </w:tc>
        <w:tc>
          <w:tcPr>
            <w:tcW w:w="1206" w:type="dxa"/>
            <w:tcBorders>
              <w:top w:val="nil"/>
              <w:left w:val="nil"/>
              <w:bottom w:val="single" w:sz="4" w:space="0" w:color="auto"/>
              <w:right w:val="single" w:sz="4" w:space="0" w:color="auto"/>
            </w:tcBorders>
            <w:shd w:val="clear" w:color="auto" w:fill="auto"/>
            <w:noWrap/>
            <w:vAlign w:val="bottom"/>
            <w:hideMark/>
          </w:tcPr>
          <w:p w14:paraId="785BD5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0,50</w:t>
            </w:r>
          </w:p>
        </w:tc>
        <w:tc>
          <w:tcPr>
            <w:tcW w:w="1418" w:type="dxa"/>
            <w:tcBorders>
              <w:top w:val="nil"/>
              <w:left w:val="nil"/>
              <w:bottom w:val="single" w:sz="4" w:space="0" w:color="auto"/>
              <w:right w:val="single" w:sz="4" w:space="0" w:color="auto"/>
            </w:tcBorders>
            <w:shd w:val="clear" w:color="auto" w:fill="auto"/>
            <w:noWrap/>
            <w:vAlign w:val="bottom"/>
            <w:hideMark/>
          </w:tcPr>
          <w:p w14:paraId="761FDC4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3F52789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9EA23B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59DEBA0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FBAEE3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did</w:t>
            </w:r>
          </w:p>
        </w:tc>
        <w:tc>
          <w:tcPr>
            <w:tcW w:w="829" w:type="dxa"/>
            <w:vMerge/>
            <w:tcBorders>
              <w:top w:val="nil"/>
              <w:left w:val="single" w:sz="4" w:space="0" w:color="auto"/>
              <w:bottom w:val="single" w:sz="4" w:space="0" w:color="auto"/>
              <w:right w:val="single" w:sz="4" w:space="0" w:color="auto"/>
            </w:tcBorders>
            <w:vAlign w:val="center"/>
            <w:hideMark/>
          </w:tcPr>
          <w:p w14:paraId="61514BF5"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6DBD4A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0,22</w:t>
            </w:r>
          </w:p>
        </w:tc>
        <w:tc>
          <w:tcPr>
            <w:tcW w:w="1206" w:type="dxa"/>
            <w:tcBorders>
              <w:top w:val="nil"/>
              <w:left w:val="nil"/>
              <w:bottom w:val="single" w:sz="4" w:space="0" w:color="auto"/>
              <w:right w:val="single" w:sz="4" w:space="0" w:color="auto"/>
            </w:tcBorders>
            <w:shd w:val="clear" w:color="auto" w:fill="auto"/>
            <w:noWrap/>
            <w:vAlign w:val="bottom"/>
            <w:hideMark/>
          </w:tcPr>
          <w:p w14:paraId="3A795A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0,42</w:t>
            </w:r>
          </w:p>
        </w:tc>
        <w:tc>
          <w:tcPr>
            <w:tcW w:w="1418" w:type="dxa"/>
            <w:tcBorders>
              <w:top w:val="nil"/>
              <w:left w:val="nil"/>
              <w:bottom w:val="single" w:sz="4" w:space="0" w:color="auto"/>
              <w:right w:val="single" w:sz="4" w:space="0" w:color="auto"/>
            </w:tcBorders>
            <w:shd w:val="clear" w:color="auto" w:fill="auto"/>
            <w:noWrap/>
            <w:vAlign w:val="bottom"/>
            <w:hideMark/>
          </w:tcPr>
          <w:p w14:paraId="5C9FAE7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74F517C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799EBDA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r>
      <w:tr w:rsidR="003417A8" w:rsidRPr="003417A8" w14:paraId="400D207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094BE2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event_time</w:t>
            </w:r>
          </w:p>
        </w:tc>
        <w:tc>
          <w:tcPr>
            <w:tcW w:w="829" w:type="dxa"/>
            <w:vMerge/>
            <w:tcBorders>
              <w:top w:val="nil"/>
              <w:left w:val="single" w:sz="4" w:space="0" w:color="auto"/>
              <w:bottom w:val="single" w:sz="4" w:space="0" w:color="auto"/>
              <w:right w:val="single" w:sz="4" w:space="0" w:color="auto"/>
            </w:tcBorders>
            <w:vAlign w:val="center"/>
            <w:hideMark/>
          </w:tcPr>
          <w:p w14:paraId="755066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88AE86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7403573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2,58</w:t>
            </w:r>
          </w:p>
        </w:tc>
        <w:tc>
          <w:tcPr>
            <w:tcW w:w="1418" w:type="dxa"/>
            <w:tcBorders>
              <w:top w:val="nil"/>
              <w:left w:val="nil"/>
              <w:bottom w:val="single" w:sz="4" w:space="0" w:color="auto"/>
              <w:right w:val="single" w:sz="4" w:space="0" w:color="auto"/>
            </w:tcBorders>
            <w:shd w:val="clear" w:color="auto" w:fill="auto"/>
            <w:noWrap/>
            <w:vAlign w:val="bottom"/>
            <w:hideMark/>
          </w:tcPr>
          <w:p w14:paraId="3F35CCF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191" w:type="dxa"/>
            <w:tcBorders>
              <w:top w:val="nil"/>
              <w:left w:val="nil"/>
              <w:bottom w:val="single" w:sz="4" w:space="0" w:color="auto"/>
              <w:right w:val="single" w:sz="4" w:space="0" w:color="auto"/>
            </w:tcBorders>
            <w:shd w:val="clear" w:color="auto" w:fill="auto"/>
            <w:noWrap/>
            <w:vAlign w:val="bottom"/>
            <w:hideMark/>
          </w:tcPr>
          <w:p w14:paraId="0E0526D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c>
          <w:tcPr>
            <w:tcW w:w="1276" w:type="dxa"/>
            <w:tcBorders>
              <w:top w:val="nil"/>
              <w:left w:val="nil"/>
              <w:bottom w:val="single" w:sz="4" w:space="0" w:color="auto"/>
              <w:right w:val="single" w:sz="4" w:space="0" w:color="auto"/>
            </w:tcBorders>
            <w:shd w:val="clear" w:color="auto" w:fill="auto"/>
            <w:noWrap/>
            <w:vAlign w:val="bottom"/>
            <w:hideMark/>
          </w:tcPr>
          <w:p w14:paraId="76AF5998"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r>
      <w:tr w:rsidR="003417A8" w:rsidRPr="003417A8" w14:paraId="1F57F4A7"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52A365FF"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regression_weight</w:t>
            </w:r>
          </w:p>
        </w:tc>
        <w:tc>
          <w:tcPr>
            <w:tcW w:w="829" w:type="dxa"/>
            <w:vMerge/>
            <w:tcBorders>
              <w:top w:val="nil"/>
              <w:left w:val="single" w:sz="4" w:space="0" w:color="auto"/>
              <w:bottom w:val="single" w:sz="4" w:space="0" w:color="auto"/>
              <w:right w:val="single" w:sz="4" w:space="0" w:color="auto"/>
            </w:tcBorders>
            <w:vAlign w:val="center"/>
            <w:hideMark/>
          </w:tcPr>
          <w:p w14:paraId="618CCFA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2067E8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c>
          <w:tcPr>
            <w:tcW w:w="1206" w:type="dxa"/>
            <w:tcBorders>
              <w:top w:val="nil"/>
              <w:left w:val="nil"/>
              <w:bottom w:val="single" w:sz="4" w:space="0" w:color="auto"/>
              <w:right w:val="single" w:sz="4" w:space="0" w:color="auto"/>
            </w:tcBorders>
            <w:shd w:val="clear" w:color="auto" w:fill="auto"/>
            <w:noWrap/>
            <w:vAlign w:val="bottom"/>
            <w:hideMark/>
          </w:tcPr>
          <w:p w14:paraId="7E31B4F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0,77</w:t>
            </w:r>
          </w:p>
        </w:tc>
        <w:tc>
          <w:tcPr>
            <w:tcW w:w="1418" w:type="dxa"/>
            <w:tcBorders>
              <w:top w:val="nil"/>
              <w:left w:val="nil"/>
              <w:bottom w:val="single" w:sz="4" w:space="0" w:color="auto"/>
              <w:right w:val="single" w:sz="4" w:space="0" w:color="auto"/>
            </w:tcBorders>
            <w:shd w:val="clear" w:color="auto" w:fill="auto"/>
            <w:noWrap/>
            <w:vAlign w:val="bottom"/>
            <w:hideMark/>
          </w:tcPr>
          <w:p w14:paraId="53F9897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1,00</w:t>
            </w:r>
          </w:p>
        </w:tc>
        <w:tc>
          <w:tcPr>
            <w:tcW w:w="1191" w:type="dxa"/>
            <w:tcBorders>
              <w:top w:val="nil"/>
              <w:left w:val="nil"/>
              <w:bottom w:val="single" w:sz="4" w:space="0" w:color="auto"/>
              <w:right w:val="single" w:sz="4" w:space="0" w:color="auto"/>
            </w:tcBorders>
            <w:shd w:val="clear" w:color="auto" w:fill="auto"/>
            <w:noWrap/>
            <w:vAlign w:val="bottom"/>
            <w:hideMark/>
          </w:tcPr>
          <w:p w14:paraId="271B19D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76" w:type="dxa"/>
            <w:tcBorders>
              <w:top w:val="nil"/>
              <w:left w:val="nil"/>
              <w:bottom w:val="single" w:sz="4" w:space="0" w:color="auto"/>
              <w:right w:val="single" w:sz="4" w:space="0" w:color="auto"/>
            </w:tcBorders>
            <w:shd w:val="clear" w:color="auto" w:fill="auto"/>
            <w:noWrap/>
            <w:vAlign w:val="bottom"/>
            <w:hideMark/>
          </w:tcPr>
          <w:p w14:paraId="55BBC3E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4,18</w:t>
            </w:r>
          </w:p>
        </w:tc>
      </w:tr>
      <w:tr w:rsidR="003417A8" w:rsidRPr="003417A8" w14:paraId="614740B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C515BD3"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GDPpc</w:t>
            </w:r>
          </w:p>
        </w:tc>
        <w:tc>
          <w:tcPr>
            <w:tcW w:w="829" w:type="dxa"/>
            <w:vMerge/>
            <w:tcBorders>
              <w:top w:val="nil"/>
              <w:left w:val="single" w:sz="4" w:space="0" w:color="auto"/>
              <w:bottom w:val="single" w:sz="4" w:space="0" w:color="auto"/>
              <w:right w:val="single" w:sz="4" w:space="0" w:color="auto"/>
            </w:tcBorders>
            <w:vAlign w:val="center"/>
            <w:hideMark/>
          </w:tcPr>
          <w:p w14:paraId="283C6720"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04CF65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46395,02</w:t>
            </w:r>
          </w:p>
        </w:tc>
        <w:tc>
          <w:tcPr>
            <w:tcW w:w="1206" w:type="dxa"/>
            <w:tcBorders>
              <w:top w:val="nil"/>
              <w:left w:val="nil"/>
              <w:bottom w:val="single" w:sz="4" w:space="0" w:color="auto"/>
              <w:right w:val="single" w:sz="4" w:space="0" w:color="auto"/>
            </w:tcBorders>
            <w:shd w:val="clear" w:color="auto" w:fill="auto"/>
            <w:noWrap/>
            <w:vAlign w:val="bottom"/>
            <w:hideMark/>
          </w:tcPr>
          <w:p w14:paraId="1392440A"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26718,44</w:t>
            </w:r>
          </w:p>
        </w:tc>
        <w:tc>
          <w:tcPr>
            <w:tcW w:w="1418" w:type="dxa"/>
            <w:tcBorders>
              <w:top w:val="nil"/>
              <w:left w:val="nil"/>
              <w:bottom w:val="single" w:sz="4" w:space="0" w:color="auto"/>
              <w:right w:val="single" w:sz="4" w:space="0" w:color="auto"/>
            </w:tcBorders>
            <w:shd w:val="clear" w:color="auto" w:fill="auto"/>
            <w:noWrap/>
            <w:vAlign w:val="bottom"/>
            <w:hideMark/>
          </w:tcPr>
          <w:p w14:paraId="6D48F977"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43080,63</w:t>
            </w:r>
          </w:p>
        </w:tc>
        <w:tc>
          <w:tcPr>
            <w:tcW w:w="1191" w:type="dxa"/>
            <w:tcBorders>
              <w:top w:val="nil"/>
              <w:left w:val="nil"/>
              <w:bottom w:val="single" w:sz="4" w:space="0" w:color="auto"/>
              <w:right w:val="single" w:sz="4" w:space="0" w:color="auto"/>
            </w:tcBorders>
            <w:shd w:val="clear" w:color="auto" w:fill="auto"/>
            <w:noWrap/>
            <w:vAlign w:val="bottom"/>
            <w:hideMark/>
          </w:tcPr>
          <w:p w14:paraId="23972F2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2543,85</w:t>
            </w:r>
          </w:p>
        </w:tc>
        <w:tc>
          <w:tcPr>
            <w:tcW w:w="1276" w:type="dxa"/>
            <w:tcBorders>
              <w:top w:val="nil"/>
              <w:left w:val="nil"/>
              <w:bottom w:val="single" w:sz="4" w:space="0" w:color="auto"/>
              <w:right w:val="single" w:sz="4" w:space="0" w:color="auto"/>
            </w:tcBorders>
            <w:shd w:val="clear" w:color="auto" w:fill="auto"/>
            <w:noWrap/>
            <w:vAlign w:val="bottom"/>
            <w:hideMark/>
          </w:tcPr>
          <w:p w14:paraId="79F905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136772,44</w:t>
            </w:r>
          </w:p>
        </w:tc>
      </w:tr>
      <w:tr w:rsidR="003417A8" w:rsidRPr="003417A8" w14:paraId="077F3159"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0589C80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Pop15_65</w:t>
            </w:r>
          </w:p>
        </w:tc>
        <w:tc>
          <w:tcPr>
            <w:tcW w:w="829" w:type="dxa"/>
            <w:vMerge/>
            <w:tcBorders>
              <w:top w:val="nil"/>
              <w:left w:val="single" w:sz="4" w:space="0" w:color="auto"/>
              <w:bottom w:val="single" w:sz="4" w:space="0" w:color="auto"/>
              <w:right w:val="single" w:sz="4" w:space="0" w:color="auto"/>
            </w:tcBorders>
            <w:vAlign w:val="center"/>
            <w:hideMark/>
          </w:tcPr>
          <w:p w14:paraId="11CA91F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234DEAF9" w14:textId="5B4AC0B9"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42599339</w:t>
            </w:r>
          </w:p>
        </w:tc>
        <w:tc>
          <w:tcPr>
            <w:tcW w:w="1206" w:type="dxa"/>
            <w:tcBorders>
              <w:top w:val="nil"/>
              <w:left w:val="nil"/>
              <w:bottom w:val="single" w:sz="4" w:space="0" w:color="auto"/>
              <w:right w:val="single" w:sz="4" w:space="0" w:color="auto"/>
            </w:tcBorders>
            <w:shd w:val="clear" w:color="auto" w:fill="auto"/>
            <w:noWrap/>
            <w:vAlign w:val="bottom"/>
            <w:hideMark/>
          </w:tcPr>
          <w:p w14:paraId="7F3C282C" w14:textId="64E6A4E0"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138073628</w:t>
            </w:r>
          </w:p>
        </w:tc>
        <w:tc>
          <w:tcPr>
            <w:tcW w:w="1418" w:type="dxa"/>
            <w:tcBorders>
              <w:top w:val="nil"/>
              <w:left w:val="nil"/>
              <w:bottom w:val="single" w:sz="4" w:space="0" w:color="auto"/>
              <w:right w:val="single" w:sz="4" w:space="0" w:color="auto"/>
            </w:tcBorders>
            <w:shd w:val="clear" w:color="auto" w:fill="auto"/>
            <w:noWrap/>
            <w:vAlign w:val="bottom"/>
            <w:hideMark/>
          </w:tcPr>
          <w:p w14:paraId="41DE1865" w14:textId="321BB0FC"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6552302</w:t>
            </w:r>
          </w:p>
        </w:tc>
        <w:tc>
          <w:tcPr>
            <w:tcW w:w="1191" w:type="dxa"/>
            <w:tcBorders>
              <w:top w:val="nil"/>
              <w:left w:val="nil"/>
              <w:bottom w:val="single" w:sz="4" w:space="0" w:color="auto"/>
              <w:right w:val="single" w:sz="4" w:space="0" w:color="auto"/>
            </w:tcBorders>
            <w:shd w:val="clear" w:color="auto" w:fill="auto"/>
            <w:noWrap/>
            <w:vAlign w:val="bottom"/>
            <w:hideMark/>
          </w:tcPr>
          <w:p w14:paraId="005AB0A3" w14:textId="24F4CC0F"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305378</w:t>
            </w:r>
          </w:p>
        </w:tc>
        <w:tc>
          <w:tcPr>
            <w:tcW w:w="1276" w:type="dxa"/>
            <w:tcBorders>
              <w:top w:val="nil"/>
              <w:left w:val="nil"/>
              <w:bottom w:val="single" w:sz="4" w:space="0" w:color="auto"/>
              <w:right w:val="single" w:sz="4" w:space="0" w:color="auto"/>
            </w:tcBorders>
            <w:shd w:val="clear" w:color="auto" w:fill="auto"/>
            <w:noWrap/>
            <w:vAlign w:val="bottom"/>
            <w:hideMark/>
          </w:tcPr>
          <w:p w14:paraId="32371DCE" w14:textId="62552322"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988168271</w:t>
            </w:r>
          </w:p>
        </w:tc>
      </w:tr>
      <w:tr w:rsidR="003417A8" w:rsidRPr="003417A8" w14:paraId="59480B88"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594C61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YouthUnempl</w:t>
            </w:r>
          </w:p>
        </w:tc>
        <w:tc>
          <w:tcPr>
            <w:tcW w:w="829" w:type="dxa"/>
            <w:vMerge/>
            <w:tcBorders>
              <w:top w:val="nil"/>
              <w:left w:val="single" w:sz="4" w:space="0" w:color="auto"/>
              <w:bottom w:val="single" w:sz="4" w:space="0" w:color="auto"/>
              <w:right w:val="single" w:sz="4" w:space="0" w:color="auto"/>
            </w:tcBorders>
            <w:vAlign w:val="center"/>
            <w:hideMark/>
          </w:tcPr>
          <w:p w14:paraId="278091B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0A62CAC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15,32</w:t>
            </w:r>
          </w:p>
        </w:tc>
        <w:tc>
          <w:tcPr>
            <w:tcW w:w="1206" w:type="dxa"/>
            <w:tcBorders>
              <w:top w:val="nil"/>
              <w:left w:val="nil"/>
              <w:bottom w:val="single" w:sz="4" w:space="0" w:color="auto"/>
              <w:right w:val="single" w:sz="4" w:space="0" w:color="auto"/>
            </w:tcBorders>
            <w:shd w:val="clear" w:color="auto" w:fill="auto"/>
            <w:noWrap/>
            <w:vAlign w:val="bottom"/>
            <w:hideMark/>
          </w:tcPr>
          <w:p w14:paraId="0B0A486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8,43</w:t>
            </w:r>
          </w:p>
        </w:tc>
        <w:tc>
          <w:tcPr>
            <w:tcW w:w="1418" w:type="dxa"/>
            <w:tcBorders>
              <w:top w:val="nil"/>
              <w:left w:val="nil"/>
              <w:bottom w:val="single" w:sz="4" w:space="0" w:color="auto"/>
              <w:right w:val="single" w:sz="4" w:space="0" w:color="auto"/>
            </w:tcBorders>
            <w:shd w:val="clear" w:color="auto" w:fill="auto"/>
            <w:noWrap/>
            <w:vAlign w:val="bottom"/>
            <w:hideMark/>
          </w:tcPr>
          <w:p w14:paraId="24895B6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13,56</w:t>
            </w:r>
          </w:p>
        </w:tc>
        <w:tc>
          <w:tcPr>
            <w:tcW w:w="1191" w:type="dxa"/>
            <w:tcBorders>
              <w:top w:val="nil"/>
              <w:left w:val="nil"/>
              <w:bottom w:val="single" w:sz="4" w:space="0" w:color="auto"/>
              <w:right w:val="single" w:sz="4" w:space="0" w:color="auto"/>
            </w:tcBorders>
            <w:shd w:val="clear" w:color="auto" w:fill="auto"/>
            <w:noWrap/>
            <w:vAlign w:val="bottom"/>
            <w:hideMark/>
          </w:tcPr>
          <w:p w14:paraId="44848E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0,30</w:t>
            </w:r>
          </w:p>
        </w:tc>
        <w:tc>
          <w:tcPr>
            <w:tcW w:w="1276" w:type="dxa"/>
            <w:tcBorders>
              <w:top w:val="nil"/>
              <w:left w:val="nil"/>
              <w:bottom w:val="single" w:sz="4" w:space="0" w:color="auto"/>
              <w:right w:val="single" w:sz="4" w:space="0" w:color="auto"/>
            </w:tcBorders>
            <w:shd w:val="clear" w:color="auto" w:fill="auto"/>
            <w:noWrap/>
            <w:vAlign w:val="bottom"/>
            <w:hideMark/>
          </w:tcPr>
          <w:p w14:paraId="2C5BD00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47,22</w:t>
            </w:r>
          </w:p>
        </w:tc>
      </w:tr>
      <w:tr w:rsidR="003417A8" w:rsidRPr="003417A8" w14:paraId="7AAC9672"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3BEF57B1"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EduSpendGDP</w:t>
            </w:r>
          </w:p>
        </w:tc>
        <w:tc>
          <w:tcPr>
            <w:tcW w:w="829" w:type="dxa"/>
            <w:vMerge/>
            <w:tcBorders>
              <w:top w:val="nil"/>
              <w:left w:val="single" w:sz="4" w:space="0" w:color="auto"/>
              <w:bottom w:val="single" w:sz="4" w:space="0" w:color="auto"/>
              <w:right w:val="single" w:sz="4" w:space="0" w:color="auto"/>
            </w:tcBorders>
            <w:vAlign w:val="center"/>
            <w:hideMark/>
          </w:tcPr>
          <w:p w14:paraId="680401B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7CC35A5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4,59</w:t>
            </w:r>
          </w:p>
        </w:tc>
        <w:tc>
          <w:tcPr>
            <w:tcW w:w="1206" w:type="dxa"/>
            <w:tcBorders>
              <w:top w:val="nil"/>
              <w:left w:val="nil"/>
              <w:bottom w:val="single" w:sz="4" w:space="0" w:color="auto"/>
              <w:right w:val="single" w:sz="4" w:space="0" w:color="auto"/>
            </w:tcBorders>
            <w:shd w:val="clear" w:color="auto" w:fill="auto"/>
            <w:noWrap/>
            <w:vAlign w:val="bottom"/>
            <w:hideMark/>
          </w:tcPr>
          <w:p w14:paraId="6D6EB68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1,43</w:t>
            </w:r>
          </w:p>
        </w:tc>
        <w:tc>
          <w:tcPr>
            <w:tcW w:w="1418" w:type="dxa"/>
            <w:tcBorders>
              <w:top w:val="nil"/>
              <w:left w:val="nil"/>
              <w:bottom w:val="single" w:sz="4" w:space="0" w:color="auto"/>
              <w:right w:val="single" w:sz="4" w:space="0" w:color="auto"/>
            </w:tcBorders>
            <w:shd w:val="clear" w:color="auto" w:fill="auto"/>
            <w:noWrap/>
            <w:vAlign w:val="bottom"/>
            <w:hideMark/>
          </w:tcPr>
          <w:p w14:paraId="4B5CD53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4,59</w:t>
            </w:r>
          </w:p>
        </w:tc>
        <w:tc>
          <w:tcPr>
            <w:tcW w:w="1191" w:type="dxa"/>
            <w:tcBorders>
              <w:top w:val="nil"/>
              <w:left w:val="nil"/>
              <w:bottom w:val="single" w:sz="4" w:space="0" w:color="auto"/>
              <w:right w:val="single" w:sz="4" w:space="0" w:color="auto"/>
            </w:tcBorders>
            <w:shd w:val="clear" w:color="auto" w:fill="auto"/>
            <w:noWrap/>
            <w:vAlign w:val="bottom"/>
            <w:hideMark/>
          </w:tcPr>
          <w:p w14:paraId="436CBB81"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0,38</w:t>
            </w:r>
          </w:p>
        </w:tc>
        <w:tc>
          <w:tcPr>
            <w:tcW w:w="1276" w:type="dxa"/>
            <w:tcBorders>
              <w:top w:val="nil"/>
              <w:left w:val="nil"/>
              <w:bottom w:val="single" w:sz="4" w:space="0" w:color="auto"/>
              <w:right w:val="single" w:sz="4" w:space="0" w:color="auto"/>
            </w:tcBorders>
            <w:shd w:val="clear" w:color="auto" w:fill="auto"/>
            <w:noWrap/>
            <w:vAlign w:val="bottom"/>
            <w:hideMark/>
          </w:tcPr>
          <w:p w14:paraId="3D622ED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8,74</w:t>
            </w:r>
          </w:p>
        </w:tc>
      </w:tr>
      <w:tr w:rsidR="003417A8" w:rsidRPr="003417A8" w14:paraId="142D1EBF"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4A147C2A"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c_log_GDPpc</w:t>
            </w:r>
          </w:p>
        </w:tc>
        <w:tc>
          <w:tcPr>
            <w:tcW w:w="829" w:type="dxa"/>
            <w:vMerge/>
            <w:tcBorders>
              <w:top w:val="nil"/>
              <w:left w:val="single" w:sz="4" w:space="0" w:color="auto"/>
              <w:bottom w:val="single" w:sz="4" w:space="0" w:color="auto"/>
              <w:right w:val="single" w:sz="4" w:space="0" w:color="auto"/>
            </w:tcBorders>
            <w:vAlign w:val="center"/>
            <w:hideMark/>
          </w:tcPr>
          <w:p w14:paraId="0EEC2EB4"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15C861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360520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0,78</w:t>
            </w:r>
          </w:p>
        </w:tc>
        <w:tc>
          <w:tcPr>
            <w:tcW w:w="1418" w:type="dxa"/>
            <w:tcBorders>
              <w:top w:val="nil"/>
              <w:left w:val="nil"/>
              <w:bottom w:val="single" w:sz="4" w:space="0" w:color="auto"/>
              <w:right w:val="single" w:sz="4" w:space="0" w:color="auto"/>
            </w:tcBorders>
            <w:shd w:val="clear" w:color="auto" w:fill="auto"/>
            <w:noWrap/>
            <w:vAlign w:val="bottom"/>
            <w:hideMark/>
          </w:tcPr>
          <w:p w14:paraId="6136B299"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0,15</w:t>
            </w:r>
          </w:p>
        </w:tc>
        <w:tc>
          <w:tcPr>
            <w:tcW w:w="1191" w:type="dxa"/>
            <w:tcBorders>
              <w:top w:val="nil"/>
              <w:left w:val="nil"/>
              <w:bottom w:val="single" w:sz="4" w:space="0" w:color="auto"/>
              <w:right w:val="single" w:sz="4" w:space="0" w:color="auto"/>
            </w:tcBorders>
            <w:shd w:val="clear" w:color="auto" w:fill="auto"/>
            <w:noWrap/>
            <w:vAlign w:val="bottom"/>
            <w:hideMark/>
          </w:tcPr>
          <w:p w14:paraId="0A6E874E"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-2,68</w:t>
            </w:r>
          </w:p>
        </w:tc>
        <w:tc>
          <w:tcPr>
            <w:tcW w:w="1276" w:type="dxa"/>
            <w:tcBorders>
              <w:top w:val="nil"/>
              <w:left w:val="nil"/>
              <w:bottom w:val="single" w:sz="4" w:space="0" w:color="auto"/>
              <w:right w:val="single" w:sz="4" w:space="0" w:color="auto"/>
            </w:tcBorders>
            <w:shd w:val="clear" w:color="auto" w:fill="auto"/>
            <w:noWrap/>
            <w:vAlign w:val="bottom"/>
            <w:hideMark/>
          </w:tcPr>
          <w:p w14:paraId="4D49682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1,30</w:t>
            </w:r>
          </w:p>
        </w:tc>
      </w:tr>
      <w:tr w:rsidR="003417A8" w:rsidRPr="003417A8" w14:paraId="3C4ADA14"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22014DEB"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c_log_Pop15_65</w:t>
            </w:r>
          </w:p>
        </w:tc>
        <w:tc>
          <w:tcPr>
            <w:tcW w:w="829" w:type="dxa"/>
            <w:vMerge/>
            <w:tcBorders>
              <w:top w:val="nil"/>
              <w:left w:val="single" w:sz="4" w:space="0" w:color="auto"/>
              <w:bottom w:val="single" w:sz="4" w:space="0" w:color="auto"/>
              <w:right w:val="single" w:sz="4" w:space="0" w:color="auto"/>
            </w:tcBorders>
            <w:vAlign w:val="center"/>
            <w:hideMark/>
          </w:tcPr>
          <w:p w14:paraId="2717039E"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38F296AC"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4D8B08E5"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1,73</w:t>
            </w:r>
          </w:p>
        </w:tc>
        <w:tc>
          <w:tcPr>
            <w:tcW w:w="1418" w:type="dxa"/>
            <w:tcBorders>
              <w:top w:val="nil"/>
              <w:left w:val="nil"/>
              <w:bottom w:val="single" w:sz="4" w:space="0" w:color="auto"/>
              <w:right w:val="single" w:sz="4" w:space="0" w:color="auto"/>
            </w:tcBorders>
            <w:shd w:val="clear" w:color="auto" w:fill="auto"/>
            <w:noWrap/>
            <w:vAlign w:val="bottom"/>
            <w:hideMark/>
          </w:tcPr>
          <w:p w14:paraId="69E10CC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-0,22</w:t>
            </w:r>
          </w:p>
        </w:tc>
        <w:tc>
          <w:tcPr>
            <w:tcW w:w="1191" w:type="dxa"/>
            <w:tcBorders>
              <w:top w:val="nil"/>
              <w:left w:val="nil"/>
              <w:bottom w:val="single" w:sz="4" w:space="0" w:color="auto"/>
              <w:right w:val="single" w:sz="4" w:space="0" w:color="auto"/>
            </w:tcBorders>
            <w:shd w:val="clear" w:color="auto" w:fill="auto"/>
            <w:noWrap/>
            <w:vAlign w:val="bottom"/>
            <w:hideMark/>
          </w:tcPr>
          <w:p w14:paraId="79B5564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-3,28</w:t>
            </w:r>
          </w:p>
        </w:tc>
        <w:tc>
          <w:tcPr>
            <w:tcW w:w="1276" w:type="dxa"/>
            <w:tcBorders>
              <w:top w:val="nil"/>
              <w:left w:val="nil"/>
              <w:bottom w:val="single" w:sz="4" w:space="0" w:color="auto"/>
              <w:right w:val="single" w:sz="4" w:space="0" w:color="auto"/>
            </w:tcBorders>
            <w:shd w:val="clear" w:color="auto" w:fill="auto"/>
            <w:noWrap/>
            <w:vAlign w:val="bottom"/>
            <w:hideMark/>
          </w:tcPr>
          <w:p w14:paraId="3CBD113B"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4,80</w:t>
            </w:r>
          </w:p>
        </w:tc>
      </w:tr>
      <w:tr w:rsidR="003417A8" w:rsidRPr="003417A8" w14:paraId="726895E1" w14:textId="77777777" w:rsidTr="003417A8">
        <w:trPr>
          <w:trHeight w:val="288"/>
          <w:jc w:val="center"/>
        </w:trPr>
        <w:tc>
          <w:tcPr>
            <w:tcW w:w="1829" w:type="dxa"/>
            <w:tcBorders>
              <w:top w:val="nil"/>
              <w:left w:val="single" w:sz="4" w:space="0" w:color="auto"/>
              <w:bottom w:val="single" w:sz="4" w:space="0" w:color="auto"/>
              <w:right w:val="single" w:sz="4" w:space="0" w:color="auto"/>
            </w:tcBorders>
            <w:shd w:val="clear" w:color="auto" w:fill="auto"/>
            <w:noWrap/>
            <w:vAlign w:val="bottom"/>
            <w:hideMark/>
          </w:tcPr>
          <w:p w14:paraId="1E9CFC59"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c_YouthUnempl</w:t>
            </w:r>
          </w:p>
        </w:tc>
        <w:tc>
          <w:tcPr>
            <w:tcW w:w="829" w:type="dxa"/>
            <w:vMerge/>
            <w:tcBorders>
              <w:top w:val="nil"/>
              <w:left w:val="single" w:sz="4" w:space="0" w:color="auto"/>
              <w:bottom w:val="single" w:sz="4" w:space="0" w:color="auto"/>
              <w:right w:val="single" w:sz="4" w:space="0" w:color="auto"/>
            </w:tcBorders>
            <w:vAlign w:val="center"/>
            <w:hideMark/>
          </w:tcPr>
          <w:p w14:paraId="078995F6" w14:textId="77777777" w:rsidR="003417A8" w:rsidRPr="003417A8" w:rsidRDefault="003417A8" w:rsidP="003417A8">
            <w:pPr>
              <w:rPr>
                <w:rFonts w:ascii="Times New Roman" w:eastAsia="Times New Roman" w:hAnsi="Times New Roman" w:cs="Times New Roman"/>
                <w:color w:val="000000"/>
                <w:kern w:val="0"/>
                <w:sz w:val="22"/>
                <w:szCs w:val="22"/>
                <w14:ligatures w14:val="none"/>
              </w:rPr>
            </w:pPr>
          </w:p>
        </w:tc>
        <w:tc>
          <w:tcPr>
            <w:tcW w:w="1460" w:type="dxa"/>
            <w:tcBorders>
              <w:top w:val="nil"/>
              <w:left w:val="nil"/>
              <w:bottom w:val="single" w:sz="4" w:space="0" w:color="auto"/>
              <w:right w:val="single" w:sz="4" w:space="0" w:color="auto"/>
            </w:tcBorders>
            <w:shd w:val="clear" w:color="auto" w:fill="auto"/>
            <w:noWrap/>
            <w:vAlign w:val="bottom"/>
            <w:hideMark/>
          </w:tcPr>
          <w:p w14:paraId="444AB79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0,00</w:t>
            </w:r>
          </w:p>
        </w:tc>
        <w:tc>
          <w:tcPr>
            <w:tcW w:w="1206" w:type="dxa"/>
            <w:tcBorders>
              <w:top w:val="nil"/>
              <w:left w:val="nil"/>
              <w:bottom w:val="single" w:sz="4" w:space="0" w:color="auto"/>
              <w:right w:val="single" w:sz="4" w:space="0" w:color="auto"/>
            </w:tcBorders>
            <w:shd w:val="clear" w:color="auto" w:fill="auto"/>
            <w:noWrap/>
            <w:vAlign w:val="bottom"/>
            <w:hideMark/>
          </w:tcPr>
          <w:p w14:paraId="0172D330"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8,43</w:t>
            </w:r>
          </w:p>
        </w:tc>
        <w:tc>
          <w:tcPr>
            <w:tcW w:w="1418" w:type="dxa"/>
            <w:tcBorders>
              <w:top w:val="nil"/>
              <w:left w:val="nil"/>
              <w:bottom w:val="single" w:sz="4" w:space="0" w:color="auto"/>
              <w:right w:val="single" w:sz="4" w:space="0" w:color="auto"/>
            </w:tcBorders>
            <w:shd w:val="clear" w:color="auto" w:fill="auto"/>
            <w:noWrap/>
            <w:vAlign w:val="bottom"/>
            <w:hideMark/>
          </w:tcPr>
          <w:p w14:paraId="2D1C810D"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-1,75</w:t>
            </w:r>
          </w:p>
        </w:tc>
        <w:tc>
          <w:tcPr>
            <w:tcW w:w="1191" w:type="dxa"/>
            <w:tcBorders>
              <w:top w:val="nil"/>
              <w:left w:val="nil"/>
              <w:bottom w:val="single" w:sz="4" w:space="0" w:color="auto"/>
              <w:right w:val="single" w:sz="4" w:space="0" w:color="auto"/>
            </w:tcBorders>
            <w:shd w:val="clear" w:color="auto" w:fill="auto"/>
            <w:noWrap/>
            <w:vAlign w:val="bottom"/>
            <w:hideMark/>
          </w:tcPr>
          <w:p w14:paraId="398F946F"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-15,02</w:t>
            </w:r>
          </w:p>
        </w:tc>
        <w:tc>
          <w:tcPr>
            <w:tcW w:w="1276" w:type="dxa"/>
            <w:tcBorders>
              <w:top w:val="nil"/>
              <w:left w:val="nil"/>
              <w:bottom w:val="single" w:sz="4" w:space="0" w:color="auto"/>
              <w:right w:val="single" w:sz="4" w:space="0" w:color="auto"/>
            </w:tcBorders>
            <w:shd w:val="clear" w:color="auto" w:fill="auto"/>
            <w:noWrap/>
            <w:vAlign w:val="bottom"/>
            <w:hideMark/>
          </w:tcPr>
          <w:p w14:paraId="543E3AF4" w14:textId="77777777" w:rsidR="003417A8" w:rsidRPr="003417A8" w:rsidRDefault="003417A8" w:rsidP="003417A8">
            <w:pPr>
              <w:jc w:val="right"/>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31,91</w:t>
            </w:r>
          </w:p>
        </w:tc>
      </w:tr>
    </w:tbl>
    <w:p w14:paraId="65808604" w14:textId="049CB91E" w:rsidR="003952E9" w:rsidRDefault="003952E9" w:rsidP="00E25058">
      <w:pPr>
        <w:pStyle w:val="NormalWeb"/>
        <w:spacing w:before="0" w:beforeAutospacing="0" w:after="0" w:afterAutospacing="0" w:line="360" w:lineRule="auto"/>
      </w:pPr>
    </w:p>
    <w:p w14:paraId="2F787135" w14:textId="253A1E6E" w:rsidR="00933BBD" w:rsidRPr="00C363D1" w:rsidRDefault="00933BBD" w:rsidP="00CA5CDE">
      <w:pPr>
        <w:pStyle w:val="NormalWeb"/>
        <w:spacing w:before="0" w:beforeAutospacing="0" w:after="0" w:afterAutospacing="0" w:line="360" w:lineRule="auto"/>
        <w:rPr>
          <w:iCs/>
        </w:rPr>
      </w:pPr>
      <w:r>
        <w:lastRenderedPageBreak/>
        <w:t>Country-specific average wages </w:t>
      </w:r>
      <w:r>
        <w:rPr>
          <w:i/>
        </w:rPr>
        <w:t>w</w:t>
      </w:r>
      <w:r>
        <w:rPr>
          <w:i/>
          <w:vertAlign w:val="subscript"/>
        </w:rPr>
        <w:t>j</w:t>
      </w:r>
      <w:r>
        <w:t xml:space="preserve"> are taken from Eurostat's </w:t>
      </w:r>
      <w:r>
        <w:rPr>
          <w:i/>
        </w:rPr>
        <w:t>Average full-time adjusted salary per employee</w:t>
      </w:r>
      <w:r>
        <w:t xml:space="preserve"> indicator (</w:t>
      </w:r>
      <w:r>
        <w:rPr>
          <w:i/>
        </w:rPr>
        <w:t>nama_10_fte</w:t>
      </w:r>
      <w:r>
        <w:t>) for 2024 (Eurostat, 2025). The series reports gross annual salaries in current euros, harmonized across Member States by adjusting national-accounts wages with a full-time equivalent ratio from the EU Labour Force Survey. This wage enters the loan present-value calculation </w:t>
      </w:r>
      <w:r>
        <w:rPr>
          <w:i/>
        </w:rPr>
        <w:t>PV</w:t>
      </w:r>
      <w:r>
        <w:rPr>
          <w:i/>
          <w:vertAlign w:val="subscript"/>
        </w:rPr>
        <w:t>loan</w:t>
      </w:r>
      <w:r>
        <w:rPr>
          <w:i/>
        </w:rPr>
        <w:t>(w</w:t>
      </w:r>
      <w:r>
        <w:rPr>
          <w:i/>
          <w:vertAlign w:val="subscript"/>
        </w:rPr>
        <w:t>j</w:t>
      </w:r>
      <w:r>
        <w:rPr>
          <w:i/>
        </w:rPr>
        <w:t>)</w:t>
      </w:r>
      <w:r>
        <w:t xml:space="preserve"> and determines the country-specific effective price shock </w:t>
      </w:r>
      <w:r>
        <w:rPr>
          <w:i/>
        </w:rPr>
        <w:t>k</w:t>
      </w:r>
      <w:r>
        <w:rPr>
          <w:i/>
          <w:vertAlign w:val="subscript"/>
        </w:rPr>
        <w:t>j</w:t>
      </w:r>
      <w:r>
        <w:rPr>
          <w:i/>
          <w:iCs/>
        </w:rPr>
        <w:t>.</w:t>
      </w:r>
      <w:r>
        <w:t xml:space="preserve"> </w:t>
      </w:r>
      <w:r>
        <w:rPr>
          <w:iCs/>
        </w:rPr>
        <w:t>We use the 2024 wage because a student enrolling in 2021 would complete a standard three-year undergraduate cycle in 2024. The 2024 wage is therefore treated as the first post-graduation wage, and the simulated repayment schedule begins from that year.</w:t>
      </w:r>
    </w:p>
    <w:p w14:paraId="66710BAE" w14:textId="6714684E" w:rsidR="007C1947" w:rsidRDefault="007C1947" w:rsidP="007C1947">
      <w:pPr>
        <w:pStyle w:val="NormalWeb"/>
        <w:spacing w:before="0" w:beforeAutospacing="0" w:after="0" w:afterAutospacing="0" w:line="360" w:lineRule="auto"/>
        <w:ind w:firstLine="360"/>
      </w:pPr>
      <w:r>
        <w:t xml:space="preserve">Macroeconomic controls are drawn from the World Bank's World Development Indicators, accessed via the WDI R package (Arel-Bundock, 2022): GDP per capita in purchasing power parity terms, constant international dollars (NY.GDP.PCAP.PP.KD), working-age population aged 15–64 (SP.POP.1564.TO), and youth unemployment for ages 15–24 (SL.UEM.1524.ZS). Country codes were harmonised to ISO3 using the countrycode package (Arel-Bundock et al., 2018), and the series were merged with the UCAS panel on country–year. World Bank data are available through 2024 (World Bank, 2025). Since Lebanon was missing GDP per capita and  “youth unemployment for ages 15–24” for 2024 we decided to use the arithmetic average from the previous two years to fill in those two values so the panel can be completely balanced. </w:t>
      </w:r>
    </w:p>
    <w:p w14:paraId="7449C253" w14:textId="768034D9" w:rsidR="00CA5CDE" w:rsidRDefault="00E25058" w:rsidP="007C1947">
      <w:pPr>
        <w:pStyle w:val="NormalWeb"/>
        <w:spacing w:before="0" w:beforeAutospacing="0" w:after="0" w:afterAutospacing="0" w:line="360" w:lineRule="auto"/>
        <w:ind w:firstLine="360"/>
      </w:pPr>
      <w:r>
        <w:t xml:space="preserve">It is also important to note that we use country-level data and not university-specific data (as in Sá (2014) or </w:t>
      </w:r>
      <w:r>
        <w:rPr>
          <w:bCs/>
        </w:rPr>
        <w:t>Clifton-Sprigg et al.</w:t>
      </w:r>
      <w:r>
        <w:t xml:space="preserve"> (2025), for example) because of an internal limitation of the UCAS data itself. Once a student creates a registration in the UCAS web portal, they can choose up to 5 universities at once. Furthermore, the student can be accepted to all five of them. This results in double, and sometimes triple, counting of the same applicant. This internal limitation is absent when the series is country-level aggregated, because in this design, each applicant is counted only once per country. </w:t>
      </w:r>
    </w:p>
    <w:p w14:paraId="3A9FB0DB" w14:textId="77777777" w:rsidR="00CA5CDE" w:rsidRDefault="00CA5CDE" w:rsidP="00CA5CDE">
      <w:pPr>
        <w:pStyle w:val="NormalWeb"/>
        <w:spacing w:before="0" w:beforeAutospacing="0" w:after="0" w:afterAutospacing="0" w:line="360" w:lineRule="auto"/>
        <w:rPr>
          <w:b/>
          <w:i/>
          <w:iCs/>
          <w:sz w:val="28"/>
        </w:rPr>
      </w:pPr>
    </w:p>
    <w:p w14:paraId="6982BD80" w14:textId="4CB0EDCD" w:rsidR="008779CA" w:rsidRPr="002351B9" w:rsidRDefault="00263202" w:rsidP="00CA5CDE">
      <w:pPr>
        <w:pStyle w:val="NormalWeb"/>
        <w:numPr>
          <w:ilvl w:val="0"/>
          <w:numId w:val="35"/>
        </w:numPr>
        <w:spacing w:before="0" w:beforeAutospacing="0" w:after="0" w:afterAutospacing="0" w:line="360" w:lineRule="auto"/>
        <w:rPr>
          <w:b/>
          <w:i/>
          <w:iCs/>
          <w:sz w:val="28"/>
        </w:rPr>
      </w:pPr>
      <w:r>
        <w:rPr>
          <w:b/>
          <w:i/>
          <w:iCs/>
          <w:sz w:val="28"/>
        </w:rPr>
        <w:t>Empirical strategy</w:t>
      </w:r>
    </w:p>
    <w:p w14:paraId="199683E7" w14:textId="0C66F33A" w:rsidR="00263202" w:rsidRDefault="00263202" w:rsidP="00E25058">
      <w:pPr>
        <w:pStyle w:val="NormalWeb"/>
        <w:numPr>
          <w:ilvl w:val="1"/>
          <w:numId w:val="35"/>
        </w:numPr>
        <w:spacing w:before="240" w:beforeAutospacing="0" w:after="240" w:afterAutospacing="0" w:line="360" w:lineRule="auto"/>
        <w:rPr>
          <w:b/>
          <w:i/>
          <w:iCs/>
        </w:rPr>
      </w:pPr>
      <w:bookmarkStart w:id="1" w:name="_Hlk225078139"/>
      <w:r>
        <w:rPr>
          <w:b/>
          <w:i/>
          <w:iCs/>
        </w:rPr>
        <w:t>Constructing the counterfactual European Union</w:t>
      </w:r>
    </w:p>
    <w:p w14:paraId="436E3806" w14:textId="6321D813" w:rsidR="003736C3" w:rsidRPr="003736C3" w:rsidRDefault="003736C3" w:rsidP="003736C3">
      <w:pPr>
        <w:pStyle w:val="NormalWeb"/>
        <w:spacing w:before="240" w:after="240" w:line="360" w:lineRule="auto"/>
        <w:rPr>
          <w:iCs/>
        </w:rPr>
      </w:pPr>
      <w:r>
        <w:rPr>
          <w:iCs/>
        </w:rPr>
        <w:t xml:space="preserve">The control group is constructed in two stages, with the full derivation reported in Online Appendix I. First, each origin country’s pre-treatment application path is converted into a standardized log-applicant trajectory for the years from 2014 to 2020. This data restriction </w:t>
      </w:r>
      <w:r>
        <w:rPr>
          <w:iCs/>
        </w:rPr>
        <w:lastRenderedPageBreak/>
        <w:t xml:space="preserve">was selected because Croatia joined the EU (becoming a treated country) in 2013. Therefore, in order to avoid contaminating the general pre-treatment trajectories we limited the entire sample only to the 2014 – 2020 window. We also limit the analytical sample to only those countries that maintain a consistent flow of at least 100 applications per annum. For every treated EU country, the three closest non-EU donor countries are then selected using Euclidean distance between standardized pre-treatment paths, so donor choice is based on trajectory shape and independent of market size.  </w:t>
      </w:r>
    </w:p>
    <w:p w14:paraId="648DA925" w14:textId="752CCE5C" w:rsidR="003736C3" w:rsidRPr="003736C3" w:rsidRDefault="003736C3" w:rsidP="003736C3">
      <w:pPr>
        <w:pStyle w:val="NormalWeb"/>
        <w:spacing w:before="240" w:beforeAutospacing="0" w:after="240" w:afterAutospacing="0" w:line="360" w:lineRule="auto"/>
        <w:ind w:firstLine="720"/>
        <w:rPr>
          <w:iCs/>
        </w:rPr>
      </w:pPr>
      <w:r>
        <w:rPr>
          <w:iCs/>
        </w:rPr>
        <w:t>Second, synthetic-control weights are estimated separately for each treated country over the pre-treatment period and then collapsed into a single global donor-weight vector used in the saturated DiD regressions. Treated observations receive unit weight, while donor weights are scaled so that the aggregate control mass equals the aggregate treated mass. This keeps the outcome in logged levels while using the donor pool only to construct a comparable weighted counterfactual. The full list of the “counterfactual” European Union, including the regression weights is presented on Table 2 below.</w:t>
      </w:r>
    </w:p>
    <w:p w14:paraId="1A2B3C05" w14:textId="1A2B3C05" w:rsidR="00AF4D52" w:rsidRDefault="00AF4D52">
      <w:pPr>
        <w:pStyle w:val="Caption"/>
        <w:keepNext/>
        <w:spacing w:after="0" w:line="360" w:lineRule="auto"/>
        <w:rPr>
          <w:rFonts w:ascii="Times New Roman" w:hAnsi="Times New Roman" w:cs="Times New Roman"/>
        </w:rPr>
      </w:pPr>
      <w:r>
        <w:rPr>
          <w:rFonts w:ascii="Times New Roman" w:hAnsi="Times New Roman" w:cs="Times New Roman"/>
          <w:b/>
        </w:rPr>
        <w:t>Table 2.</w:t>
      </w:r>
      <w:r>
        <w:rPr>
          <w:rFonts w:ascii="Times New Roman" w:hAnsi="Times New Roman" w:cs="Times New Roman"/>
        </w:rPr>
        <w:t xml:space="preserve"> Donor countries used to construct the synthetic counterfactual European Union, with global and regression weights.</w:t>
      </w:r>
    </w:p>
    <w:tbl>
      <w:tblPr>
        <w:tblStyle w:val="TableGrid"/>
        <w:tblW w:w="0" w:type="auto"/>
        <w:jc w:val="center"/>
        <w:tblLook w:val="04A0" w:firstRow="1" w:lastRow="0" w:firstColumn="1" w:lastColumn="0" w:noHBand="0" w:noVBand="1"/>
      </w:tblPr>
      <w:tblGrid>
        <w:gridCol w:w="3583"/>
        <w:gridCol w:w="1603"/>
        <w:gridCol w:w="2322"/>
      </w:tblGrid>
      <w:tr w:rsidR="003736C3" w:rsidRPr="003736C3" w14:paraId="6C0FCE9D" w14:textId="77777777" w:rsidTr="003736C3">
        <w:trPr>
          <w:trHeight w:val="303"/>
          <w:jc w:val="center"/>
        </w:trPr>
        <w:tc>
          <w:tcPr>
            <w:tcW w:w="3583" w:type="dxa"/>
            <w:vAlign w:val="center"/>
            <w:hideMark/>
          </w:tcPr>
          <w:p w14:paraId="06C3D360" w14:textId="082DE328" w:rsidR="003736C3" w:rsidRPr="003736C3" w:rsidRDefault="003736C3" w:rsidP="00AF4D52">
            <w:pPr>
              <w:pStyle w:val="NormalWeb"/>
              <w:spacing w:before="240" w:after="240"/>
              <w:rPr>
                <w:b/>
                <w:bCs/>
                <w:iCs/>
              </w:rPr>
            </w:pPr>
            <w:r>
              <w:rPr>
                <w:b/>
                <w:bCs/>
                <w:iCs/>
              </w:rPr>
              <w:t>Donor country</w:t>
            </w:r>
          </w:p>
        </w:tc>
        <w:tc>
          <w:tcPr>
            <w:tcW w:w="1603" w:type="dxa"/>
            <w:vAlign w:val="center"/>
            <w:hideMark/>
          </w:tcPr>
          <w:p w14:paraId="2190CF30" w14:textId="5D633B62" w:rsidR="003736C3" w:rsidRPr="003736C3" w:rsidRDefault="003736C3" w:rsidP="003736C3">
            <w:pPr>
              <w:pStyle w:val="NormalWeb"/>
              <w:spacing w:before="240" w:after="240"/>
              <w:jc w:val="center"/>
              <w:rPr>
                <w:b/>
                <w:bCs/>
                <w:iCs/>
              </w:rPr>
            </w:pPr>
            <w:r>
              <w:rPr>
                <w:b/>
                <w:bCs/>
                <w:iCs/>
              </w:rPr>
              <w:t>Global weight</w:t>
            </w:r>
          </w:p>
        </w:tc>
        <w:tc>
          <w:tcPr>
            <w:tcW w:w="2322" w:type="dxa"/>
            <w:vAlign w:val="center"/>
            <w:hideMark/>
          </w:tcPr>
          <w:p w14:paraId="19E11C85" w14:textId="7EA05024" w:rsidR="003736C3" w:rsidRPr="003736C3" w:rsidRDefault="003736C3" w:rsidP="003736C3">
            <w:pPr>
              <w:pStyle w:val="NormalWeb"/>
              <w:spacing w:before="240" w:after="240"/>
              <w:jc w:val="center"/>
              <w:rPr>
                <w:b/>
                <w:bCs/>
                <w:iCs/>
                <w:lang w:val="bg-BG"/>
              </w:rPr>
            </w:pPr>
            <w:r>
              <w:rPr>
                <w:b/>
                <w:bCs/>
                <w:iCs/>
              </w:rPr>
              <w:t xml:space="preserve">Weight in the regression </w:t>
            </w:r>
            <m:oMath>
              <m:r>
                <m:rPr>
                  <m:sty m:val="b"/>
                </m:rPr>
                <w:rPr>
                  <w:rFonts w:ascii="Cambria Math" w:hAnsi="Cambria Math"/>
                </w:rPr>
                <m:t>(2)×26</m:t>
              </m:r>
            </m:oMath>
          </w:p>
        </w:tc>
      </w:tr>
      <w:tr w:rsidR="003736C3" w:rsidRPr="003736C3" w14:paraId="0DC9BE1D" w14:textId="77777777" w:rsidTr="003736C3">
        <w:trPr>
          <w:trHeight w:val="288"/>
          <w:jc w:val="center"/>
        </w:trPr>
        <w:tc>
          <w:tcPr>
            <w:tcW w:w="3583" w:type="dxa"/>
            <w:noWrap/>
            <w:hideMark/>
          </w:tcPr>
          <w:p w14:paraId="357654FF" w14:textId="77777777" w:rsidR="003736C3" w:rsidRPr="003736C3" w:rsidRDefault="003736C3" w:rsidP="00AF4D52">
            <w:pPr>
              <w:pStyle w:val="NormalWeb"/>
              <w:spacing w:before="240" w:after="240"/>
              <w:rPr>
                <w:b/>
                <w:i/>
                <w:iCs/>
              </w:rPr>
            </w:pPr>
            <w:r>
              <w:rPr>
                <w:b/>
                <w:i/>
                <w:iCs/>
              </w:rPr>
              <w:t>Korea, Republic of</w:t>
            </w:r>
          </w:p>
        </w:tc>
        <w:tc>
          <w:tcPr>
            <w:tcW w:w="1603" w:type="dxa"/>
            <w:noWrap/>
            <w:hideMark/>
          </w:tcPr>
          <w:p w14:paraId="17A78D23" w14:textId="77777777" w:rsidR="003736C3" w:rsidRPr="003736C3" w:rsidRDefault="003736C3" w:rsidP="003736C3">
            <w:pPr>
              <w:pStyle w:val="NormalWeb"/>
              <w:spacing w:before="240" w:after="240"/>
              <w:jc w:val="center"/>
              <w:rPr>
                <w:i/>
                <w:iCs/>
              </w:rPr>
            </w:pPr>
            <w:r>
              <w:rPr>
                <w:i/>
                <w:iCs/>
              </w:rPr>
              <w:t>0.16</w:t>
            </w:r>
          </w:p>
        </w:tc>
        <w:tc>
          <w:tcPr>
            <w:tcW w:w="2322" w:type="dxa"/>
            <w:noWrap/>
            <w:hideMark/>
          </w:tcPr>
          <w:p w14:paraId="1317A962" w14:textId="77777777" w:rsidR="003736C3" w:rsidRPr="003736C3" w:rsidRDefault="003736C3" w:rsidP="003736C3">
            <w:pPr>
              <w:pStyle w:val="NormalWeb"/>
              <w:spacing w:before="240" w:after="240"/>
              <w:jc w:val="center"/>
              <w:rPr>
                <w:i/>
                <w:iCs/>
              </w:rPr>
            </w:pPr>
            <w:r>
              <w:rPr>
                <w:i/>
                <w:iCs/>
              </w:rPr>
              <w:t>4.18</w:t>
            </w:r>
          </w:p>
        </w:tc>
      </w:tr>
      <w:tr w:rsidR="003736C3" w:rsidRPr="003736C3" w14:paraId="449033F7" w14:textId="77777777" w:rsidTr="003736C3">
        <w:trPr>
          <w:trHeight w:val="288"/>
          <w:jc w:val="center"/>
        </w:trPr>
        <w:tc>
          <w:tcPr>
            <w:tcW w:w="3583" w:type="dxa"/>
            <w:noWrap/>
            <w:hideMark/>
          </w:tcPr>
          <w:p w14:paraId="0F8F2A24" w14:textId="77777777" w:rsidR="003736C3" w:rsidRPr="003736C3" w:rsidRDefault="003736C3" w:rsidP="00AF4D52">
            <w:pPr>
              <w:pStyle w:val="NormalWeb"/>
              <w:spacing w:before="240" w:after="240"/>
              <w:rPr>
                <w:b/>
                <w:i/>
                <w:iCs/>
              </w:rPr>
            </w:pPr>
            <w:r>
              <w:rPr>
                <w:b/>
                <w:i/>
                <w:iCs/>
              </w:rPr>
              <w:t>Trinidad and Tobago</w:t>
            </w:r>
          </w:p>
        </w:tc>
        <w:tc>
          <w:tcPr>
            <w:tcW w:w="1603" w:type="dxa"/>
            <w:noWrap/>
            <w:hideMark/>
          </w:tcPr>
          <w:p w14:paraId="0250651F" w14:textId="77777777" w:rsidR="003736C3" w:rsidRPr="003736C3" w:rsidRDefault="003736C3" w:rsidP="003736C3">
            <w:pPr>
              <w:pStyle w:val="NormalWeb"/>
              <w:spacing w:before="240" w:after="240"/>
              <w:jc w:val="center"/>
              <w:rPr>
                <w:i/>
                <w:iCs/>
              </w:rPr>
            </w:pPr>
            <w:r>
              <w:rPr>
                <w:i/>
                <w:iCs/>
              </w:rPr>
              <w:t>0.12</w:t>
            </w:r>
          </w:p>
        </w:tc>
        <w:tc>
          <w:tcPr>
            <w:tcW w:w="2322" w:type="dxa"/>
            <w:noWrap/>
            <w:hideMark/>
          </w:tcPr>
          <w:p w14:paraId="0C80CEF5" w14:textId="77777777" w:rsidR="003736C3" w:rsidRPr="003736C3" w:rsidRDefault="003736C3" w:rsidP="003736C3">
            <w:pPr>
              <w:pStyle w:val="NormalWeb"/>
              <w:spacing w:before="240" w:after="240"/>
              <w:jc w:val="center"/>
              <w:rPr>
                <w:i/>
                <w:iCs/>
              </w:rPr>
            </w:pPr>
            <w:r>
              <w:rPr>
                <w:i/>
                <w:iCs/>
              </w:rPr>
              <w:t>3.08</w:t>
            </w:r>
          </w:p>
        </w:tc>
      </w:tr>
      <w:tr w:rsidR="003736C3" w:rsidRPr="003736C3" w14:paraId="76B32947" w14:textId="77777777" w:rsidTr="003736C3">
        <w:trPr>
          <w:trHeight w:val="288"/>
          <w:jc w:val="center"/>
        </w:trPr>
        <w:tc>
          <w:tcPr>
            <w:tcW w:w="3583" w:type="dxa"/>
            <w:noWrap/>
            <w:hideMark/>
          </w:tcPr>
          <w:p w14:paraId="6B2675F3" w14:textId="77777777" w:rsidR="003736C3" w:rsidRPr="003736C3" w:rsidRDefault="003736C3" w:rsidP="00AF4D52">
            <w:pPr>
              <w:pStyle w:val="NormalWeb"/>
              <w:spacing w:before="240" w:after="240"/>
              <w:rPr>
                <w:b/>
                <w:i/>
                <w:iCs/>
              </w:rPr>
            </w:pPr>
            <w:r>
              <w:rPr>
                <w:b/>
                <w:i/>
                <w:iCs/>
              </w:rPr>
              <w:t>Russian Federation</w:t>
            </w:r>
          </w:p>
        </w:tc>
        <w:tc>
          <w:tcPr>
            <w:tcW w:w="1603" w:type="dxa"/>
            <w:noWrap/>
            <w:hideMark/>
          </w:tcPr>
          <w:p w14:paraId="3D87E8B5" w14:textId="77777777" w:rsidR="003736C3" w:rsidRPr="003736C3" w:rsidRDefault="003736C3" w:rsidP="003736C3">
            <w:pPr>
              <w:pStyle w:val="NormalWeb"/>
              <w:spacing w:before="240" w:after="240"/>
              <w:jc w:val="center"/>
              <w:rPr>
                <w:i/>
                <w:iCs/>
              </w:rPr>
            </w:pPr>
            <w:r>
              <w:rPr>
                <w:i/>
                <w:iCs/>
              </w:rPr>
              <w:t>0.11</w:t>
            </w:r>
          </w:p>
        </w:tc>
        <w:tc>
          <w:tcPr>
            <w:tcW w:w="2322" w:type="dxa"/>
            <w:noWrap/>
            <w:hideMark/>
          </w:tcPr>
          <w:p w14:paraId="2603B13D" w14:textId="77777777" w:rsidR="003736C3" w:rsidRPr="003736C3" w:rsidRDefault="003736C3" w:rsidP="003736C3">
            <w:pPr>
              <w:pStyle w:val="NormalWeb"/>
              <w:spacing w:before="240" w:after="240"/>
              <w:jc w:val="center"/>
              <w:rPr>
                <w:i/>
                <w:iCs/>
              </w:rPr>
            </w:pPr>
            <w:r>
              <w:rPr>
                <w:i/>
                <w:iCs/>
              </w:rPr>
              <w:t>2.80</w:t>
            </w:r>
          </w:p>
        </w:tc>
      </w:tr>
      <w:tr w:rsidR="003736C3" w:rsidRPr="003736C3" w14:paraId="22AAC81C" w14:textId="77777777" w:rsidTr="003736C3">
        <w:trPr>
          <w:trHeight w:val="288"/>
          <w:jc w:val="center"/>
        </w:trPr>
        <w:tc>
          <w:tcPr>
            <w:tcW w:w="3583" w:type="dxa"/>
            <w:noWrap/>
            <w:hideMark/>
          </w:tcPr>
          <w:p w14:paraId="52438ADE" w14:textId="77777777" w:rsidR="003736C3" w:rsidRPr="003736C3" w:rsidRDefault="003736C3" w:rsidP="00AF4D52">
            <w:pPr>
              <w:pStyle w:val="NormalWeb"/>
              <w:spacing w:before="240" w:after="240"/>
              <w:rPr>
                <w:b/>
                <w:i/>
                <w:iCs/>
              </w:rPr>
            </w:pPr>
            <w:r>
              <w:rPr>
                <w:b/>
                <w:i/>
                <w:iCs/>
              </w:rPr>
              <w:t>Malaysia</w:t>
            </w:r>
          </w:p>
        </w:tc>
        <w:tc>
          <w:tcPr>
            <w:tcW w:w="1603" w:type="dxa"/>
            <w:noWrap/>
            <w:hideMark/>
          </w:tcPr>
          <w:p w14:paraId="04334D14" w14:textId="77777777" w:rsidR="003736C3" w:rsidRPr="003736C3" w:rsidRDefault="003736C3" w:rsidP="003736C3">
            <w:pPr>
              <w:pStyle w:val="NormalWeb"/>
              <w:spacing w:before="240" w:after="240"/>
              <w:jc w:val="center"/>
              <w:rPr>
                <w:i/>
                <w:iCs/>
              </w:rPr>
            </w:pPr>
            <w:r>
              <w:rPr>
                <w:i/>
                <w:iCs/>
              </w:rPr>
              <w:t>0.10</w:t>
            </w:r>
          </w:p>
        </w:tc>
        <w:tc>
          <w:tcPr>
            <w:tcW w:w="2322" w:type="dxa"/>
            <w:noWrap/>
            <w:hideMark/>
          </w:tcPr>
          <w:p w14:paraId="6526F5A6" w14:textId="77777777" w:rsidR="003736C3" w:rsidRPr="003736C3" w:rsidRDefault="003736C3" w:rsidP="003736C3">
            <w:pPr>
              <w:pStyle w:val="NormalWeb"/>
              <w:spacing w:before="240" w:after="240"/>
              <w:jc w:val="center"/>
              <w:rPr>
                <w:i/>
                <w:iCs/>
              </w:rPr>
            </w:pPr>
            <w:r>
              <w:rPr>
                <w:i/>
                <w:iCs/>
              </w:rPr>
              <w:t>2.53</w:t>
            </w:r>
          </w:p>
        </w:tc>
      </w:tr>
      <w:tr w:rsidR="003736C3" w:rsidRPr="003736C3" w14:paraId="5C1E78F1" w14:textId="77777777" w:rsidTr="003736C3">
        <w:trPr>
          <w:trHeight w:val="288"/>
          <w:jc w:val="center"/>
        </w:trPr>
        <w:tc>
          <w:tcPr>
            <w:tcW w:w="3583" w:type="dxa"/>
            <w:noWrap/>
            <w:hideMark/>
          </w:tcPr>
          <w:p w14:paraId="0CCB95BE" w14:textId="77777777" w:rsidR="003736C3" w:rsidRPr="003736C3" w:rsidRDefault="003736C3" w:rsidP="00AF4D52">
            <w:pPr>
              <w:pStyle w:val="NormalWeb"/>
              <w:spacing w:before="240" w:after="240"/>
              <w:rPr>
                <w:b/>
                <w:i/>
                <w:iCs/>
              </w:rPr>
            </w:pPr>
            <w:r>
              <w:rPr>
                <w:b/>
                <w:i/>
                <w:iCs/>
              </w:rPr>
              <w:t>Mauritius</w:t>
            </w:r>
          </w:p>
        </w:tc>
        <w:tc>
          <w:tcPr>
            <w:tcW w:w="1603" w:type="dxa"/>
            <w:noWrap/>
            <w:hideMark/>
          </w:tcPr>
          <w:p w14:paraId="793C5D02" w14:textId="77777777" w:rsidR="003736C3" w:rsidRPr="003736C3" w:rsidRDefault="003736C3" w:rsidP="003736C3">
            <w:pPr>
              <w:pStyle w:val="NormalWeb"/>
              <w:spacing w:before="240" w:after="240"/>
              <w:jc w:val="center"/>
              <w:rPr>
                <w:i/>
                <w:iCs/>
              </w:rPr>
            </w:pPr>
            <w:r>
              <w:rPr>
                <w:i/>
                <w:iCs/>
              </w:rPr>
              <w:t>0.08</w:t>
            </w:r>
          </w:p>
        </w:tc>
        <w:tc>
          <w:tcPr>
            <w:tcW w:w="2322" w:type="dxa"/>
            <w:noWrap/>
            <w:hideMark/>
          </w:tcPr>
          <w:p w14:paraId="08D485D2" w14:textId="77777777" w:rsidR="003736C3" w:rsidRPr="003736C3" w:rsidRDefault="003736C3" w:rsidP="003736C3">
            <w:pPr>
              <w:pStyle w:val="NormalWeb"/>
              <w:spacing w:before="240" w:after="240"/>
              <w:jc w:val="center"/>
              <w:rPr>
                <w:i/>
                <w:iCs/>
              </w:rPr>
            </w:pPr>
            <w:r>
              <w:rPr>
                <w:i/>
                <w:iCs/>
              </w:rPr>
              <w:t>2.07</w:t>
            </w:r>
          </w:p>
        </w:tc>
      </w:tr>
      <w:tr w:rsidR="003736C3" w:rsidRPr="003736C3" w14:paraId="2E0E123B" w14:textId="77777777" w:rsidTr="003736C3">
        <w:trPr>
          <w:trHeight w:val="288"/>
          <w:jc w:val="center"/>
        </w:trPr>
        <w:tc>
          <w:tcPr>
            <w:tcW w:w="3583" w:type="dxa"/>
            <w:noWrap/>
            <w:hideMark/>
          </w:tcPr>
          <w:p w14:paraId="1812A379" w14:textId="77777777" w:rsidR="003736C3" w:rsidRPr="003736C3" w:rsidRDefault="003736C3" w:rsidP="00AF4D52">
            <w:pPr>
              <w:pStyle w:val="NormalWeb"/>
              <w:spacing w:before="240" w:after="240"/>
              <w:rPr>
                <w:b/>
                <w:i/>
                <w:iCs/>
              </w:rPr>
            </w:pPr>
            <w:r>
              <w:rPr>
                <w:b/>
                <w:i/>
                <w:iCs/>
              </w:rPr>
              <w:t>Egypt</w:t>
            </w:r>
          </w:p>
        </w:tc>
        <w:tc>
          <w:tcPr>
            <w:tcW w:w="1603" w:type="dxa"/>
            <w:noWrap/>
            <w:hideMark/>
          </w:tcPr>
          <w:p w14:paraId="1E161E58" w14:textId="77777777" w:rsidR="003736C3" w:rsidRPr="003736C3" w:rsidRDefault="003736C3" w:rsidP="003736C3">
            <w:pPr>
              <w:pStyle w:val="NormalWeb"/>
              <w:spacing w:before="240" w:after="240"/>
              <w:jc w:val="center"/>
              <w:rPr>
                <w:i/>
                <w:iCs/>
              </w:rPr>
            </w:pPr>
            <w:r>
              <w:rPr>
                <w:i/>
                <w:iCs/>
              </w:rPr>
              <w:t>0.07</w:t>
            </w:r>
          </w:p>
        </w:tc>
        <w:tc>
          <w:tcPr>
            <w:tcW w:w="2322" w:type="dxa"/>
            <w:noWrap/>
            <w:hideMark/>
          </w:tcPr>
          <w:p w14:paraId="21E01EE6" w14:textId="77777777" w:rsidR="003736C3" w:rsidRPr="003736C3" w:rsidRDefault="003736C3" w:rsidP="003736C3">
            <w:pPr>
              <w:pStyle w:val="NormalWeb"/>
              <w:spacing w:before="240" w:after="240"/>
              <w:jc w:val="center"/>
              <w:rPr>
                <w:i/>
                <w:iCs/>
              </w:rPr>
            </w:pPr>
            <w:r>
              <w:rPr>
                <w:i/>
                <w:iCs/>
              </w:rPr>
              <w:t>1.85</w:t>
            </w:r>
          </w:p>
        </w:tc>
      </w:tr>
      <w:tr w:rsidR="003736C3" w:rsidRPr="003736C3" w14:paraId="64FE31CD" w14:textId="77777777" w:rsidTr="003736C3">
        <w:trPr>
          <w:trHeight w:val="288"/>
          <w:jc w:val="center"/>
        </w:trPr>
        <w:tc>
          <w:tcPr>
            <w:tcW w:w="3583" w:type="dxa"/>
            <w:noWrap/>
            <w:hideMark/>
          </w:tcPr>
          <w:p w14:paraId="6CDE2F82" w14:textId="77777777" w:rsidR="003736C3" w:rsidRPr="003736C3" w:rsidRDefault="003736C3" w:rsidP="00AF4D52">
            <w:pPr>
              <w:pStyle w:val="NormalWeb"/>
              <w:spacing w:before="240" w:after="240"/>
              <w:rPr>
                <w:b/>
                <w:i/>
                <w:iCs/>
              </w:rPr>
            </w:pPr>
            <w:r>
              <w:rPr>
                <w:b/>
                <w:i/>
                <w:iCs/>
              </w:rPr>
              <w:t>New Zealand</w:t>
            </w:r>
          </w:p>
        </w:tc>
        <w:tc>
          <w:tcPr>
            <w:tcW w:w="1603" w:type="dxa"/>
            <w:noWrap/>
            <w:hideMark/>
          </w:tcPr>
          <w:p w14:paraId="22D17268"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BAC401" w14:textId="77777777" w:rsidR="003736C3" w:rsidRPr="003736C3" w:rsidRDefault="003736C3" w:rsidP="003736C3">
            <w:pPr>
              <w:pStyle w:val="NormalWeb"/>
              <w:spacing w:before="240" w:after="240"/>
              <w:jc w:val="center"/>
              <w:rPr>
                <w:i/>
                <w:iCs/>
              </w:rPr>
            </w:pPr>
            <w:r>
              <w:rPr>
                <w:i/>
                <w:iCs/>
              </w:rPr>
              <w:t>1.11</w:t>
            </w:r>
          </w:p>
        </w:tc>
      </w:tr>
      <w:tr w:rsidR="003736C3" w:rsidRPr="003736C3" w14:paraId="2D981C37" w14:textId="77777777" w:rsidTr="003736C3">
        <w:trPr>
          <w:trHeight w:val="288"/>
          <w:jc w:val="center"/>
        </w:trPr>
        <w:tc>
          <w:tcPr>
            <w:tcW w:w="3583" w:type="dxa"/>
            <w:noWrap/>
            <w:hideMark/>
          </w:tcPr>
          <w:p w14:paraId="06C984B4" w14:textId="77777777" w:rsidR="003736C3" w:rsidRPr="003736C3" w:rsidRDefault="003736C3" w:rsidP="00AF4D52">
            <w:pPr>
              <w:pStyle w:val="NormalWeb"/>
              <w:spacing w:before="240" w:after="240"/>
              <w:rPr>
                <w:b/>
                <w:i/>
                <w:iCs/>
              </w:rPr>
            </w:pPr>
            <w:r>
              <w:rPr>
                <w:b/>
                <w:i/>
                <w:iCs/>
              </w:rPr>
              <w:t>United States of America</w:t>
            </w:r>
          </w:p>
        </w:tc>
        <w:tc>
          <w:tcPr>
            <w:tcW w:w="1603" w:type="dxa"/>
            <w:noWrap/>
            <w:hideMark/>
          </w:tcPr>
          <w:p w14:paraId="7BF4B133"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0742ED59" w14:textId="77777777" w:rsidR="003736C3" w:rsidRPr="003736C3" w:rsidRDefault="003736C3" w:rsidP="003736C3">
            <w:pPr>
              <w:pStyle w:val="NormalWeb"/>
              <w:spacing w:before="240" w:after="240"/>
              <w:jc w:val="center"/>
              <w:rPr>
                <w:i/>
                <w:iCs/>
              </w:rPr>
            </w:pPr>
            <w:r>
              <w:rPr>
                <w:i/>
                <w:iCs/>
              </w:rPr>
              <w:t>1.10</w:t>
            </w:r>
          </w:p>
        </w:tc>
      </w:tr>
      <w:tr w:rsidR="003736C3" w:rsidRPr="003736C3" w14:paraId="214F32E0" w14:textId="77777777" w:rsidTr="003736C3">
        <w:trPr>
          <w:trHeight w:val="288"/>
          <w:jc w:val="center"/>
        </w:trPr>
        <w:tc>
          <w:tcPr>
            <w:tcW w:w="3583" w:type="dxa"/>
            <w:noWrap/>
            <w:hideMark/>
          </w:tcPr>
          <w:p w14:paraId="3F7F3C41" w14:textId="77777777" w:rsidR="003736C3" w:rsidRPr="003736C3" w:rsidRDefault="003736C3" w:rsidP="00AF4D52">
            <w:pPr>
              <w:pStyle w:val="NormalWeb"/>
              <w:spacing w:before="240" w:after="240"/>
              <w:rPr>
                <w:b/>
                <w:i/>
                <w:iCs/>
              </w:rPr>
            </w:pPr>
            <w:r>
              <w:rPr>
                <w:b/>
                <w:i/>
                <w:iCs/>
              </w:rPr>
              <w:t>Qatar</w:t>
            </w:r>
          </w:p>
        </w:tc>
        <w:tc>
          <w:tcPr>
            <w:tcW w:w="1603" w:type="dxa"/>
            <w:noWrap/>
            <w:hideMark/>
          </w:tcPr>
          <w:p w14:paraId="0F374E07"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719FFA38" w14:textId="77777777" w:rsidR="003736C3" w:rsidRPr="003736C3" w:rsidRDefault="003736C3" w:rsidP="003736C3">
            <w:pPr>
              <w:pStyle w:val="NormalWeb"/>
              <w:spacing w:before="240" w:after="240"/>
              <w:jc w:val="center"/>
              <w:rPr>
                <w:i/>
                <w:iCs/>
              </w:rPr>
            </w:pPr>
            <w:r>
              <w:rPr>
                <w:i/>
                <w:iCs/>
              </w:rPr>
              <w:t>1.00</w:t>
            </w:r>
          </w:p>
        </w:tc>
      </w:tr>
      <w:tr w:rsidR="003736C3" w:rsidRPr="003736C3" w14:paraId="0D23F8B9" w14:textId="77777777" w:rsidTr="003736C3">
        <w:trPr>
          <w:trHeight w:val="288"/>
          <w:jc w:val="center"/>
        </w:trPr>
        <w:tc>
          <w:tcPr>
            <w:tcW w:w="3583" w:type="dxa"/>
            <w:noWrap/>
            <w:hideMark/>
          </w:tcPr>
          <w:p w14:paraId="765F9104" w14:textId="77777777" w:rsidR="003736C3" w:rsidRPr="003736C3" w:rsidRDefault="003736C3" w:rsidP="00AF4D52">
            <w:pPr>
              <w:pStyle w:val="NormalWeb"/>
              <w:spacing w:before="240" w:after="240"/>
              <w:rPr>
                <w:b/>
                <w:i/>
                <w:iCs/>
              </w:rPr>
            </w:pPr>
            <w:r>
              <w:rPr>
                <w:b/>
                <w:i/>
                <w:iCs/>
              </w:rPr>
              <w:t>Israel</w:t>
            </w:r>
          </w:p>
        </w:tc>
        <w:tc>
          <w:tcPr>
            <w:tcW w:w="1603" w:type="dxa"/>
            <w:noWrap/>
            <w:hideMark/>
          </w:tcPr>
          <w:p w14:paraId="4B4B37E5"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A475210" w14:textId="77777777" w:rsidR="003736C3" w:rsidRPr="003736C3" w:rsidRDefault="003736C3" w:rsidP="003736C3">
            <w:pPr>
              <w:pStyle w:val="NormalWeb"/>
              <w:spacing w:before="240" w:after="240"/>
              <w:jc w:val="center"/>
              <w:rPr>
                <w:i/>
                <w:iCs/>
              </w:rPr>
            </w:pPr>
            <w:r>
              <w:rPr>
                <w:i/>
                <w:iCs/>
              </w:rPr>
              <w:t>1.00</w:t>
            </w:r>
          </w:p>
        </w:tc>
      </w:tr>
      <w:tr w:rsidR="003736C3" w:rsidRPr="003736C3" w14:paraId="0B0A77C2" w14:textId="77777777" w:rsidTr="003736C3">
        <w:trPr>
          <w:trHeight w:val="288"/>
          <w:jc w:val="center"/>
        </w:trPr>
        <w:tc>
          <w:tcPr>
            <w:tcW w:w="3583" w:type="dxa"/>
            <w:noWrap/>
            <w:hideMark/>
          </w:tcPr>
          <w:p w14:paraId="38097A91" w14:textId="77777777" w:rsidR="003736C3" w:rsidRPr="003736C3" w:rsidRDefault="003736C3" w:rsidP="00AF4D52">
            <w:pPr>
              <w:pStyle w:val="NormalWeb"/>
              <w:spacing w:before="240" w:after="240"/>
              <w:rPr>
                <w:b/>
                <w:i/>
                <w:iCs/>
              </w:rPr>
            </w:pPr>
            <w:r>
              <w:rPr>
                <w:b/>
                <w:i/>
                <w:iCs/>
              </w:rPr>
              <w:t>Zimbabwe</w:t>
            </w:r>
          </w:p>
        </w:tc>
        <w:tc>
          <w:tcPr>
            <w:tcW w:w="1603" w:type="dxa"/>
            <w:noWrap/>
            <w:hideMark/>
          </w:tcPr>
          <w:p w14:paraId="5EAFF0B4"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31043FA5" w14:textId="77777777" w:rsidR="003736C3" w:rsidRPr="003736C3" w:rsidRDefault="003736C3" w:rsidP="003736C3">
            <w:pPr>
              <w:pStyle w:val="NormalWeb"/>
              <w:spacing w:before="240" w:after="240"/>
              <w:jc w:val="center"/>
              <w:rPr>
                <w:i/>
                <w:iCs/>
              </w:rPr>
            </w:pPr>
            <w:r>
              <w:rPr>
                <w:i/>
                <w:iCs/>
              </w:rPr>
              <w:t>0.96</w:t>
            </w:r>
          </w:p>
        </w:tc>
      </w:tr>
      <w:tr w:rsidR="003736C3" w:rsidRPr="003736C3" w14:paraId="766831F1" w14:textId="77777777" w:rsidTr="003736C3">
        <w:trPr>
          <w:trHeight w:val="288"/>
          <w:jc w:val="center"/>
        </w:trPr>
        <w:tc>
          <w:tcPr>
            <w:tcW w:w="3583" w:type="dxa"/>
            <w:noWrap/>
            <w:hideMark/>
          </w:tcPr>
          <w:p w14:paraId="2BA106A6" w14:textId="77777777" w:rsidR="003736C3" w:rsidRPr="003736C3" w:rsidRDefault="003736C3" w:rsidP="00AF4D52">
            <w:pPr>
              <w:pStyle w:val="NormalWeb"/>
              <w:spacing w:before="240" w:after="240"/>
              <w:rPr>
                <w:b/>
                <w:i/>
                <w:iCs/>
              </w:rPr>
            </w:pPr>
            <w:r>
              <w:rPr>
                <w:b/>
                <w:i/>
                <w:iCs/>
              </w:rPr>
              <w:t>United Arab Emirates</w:t>
            </w:r>
          </w:p>
        </w:tc>
        <w:tc>
          <w:tcPr>
            <w:tcW w:w="1603" w:type="dxa"/>
            <w:noWrap/>
            <w:hideMark/>
          </w:tcPr>
          <w:p w14:paraId="5B88D87B" w14:textId="77777777" w:rsidR="003736C3" w:rsidRPr="003736C3" w:rsidRDefault="003736C3" w:rsidP="003736C3">
            <w:pPr>
              <w:pStyle w:val="NormalWeb"/>
              <w:spacing w:before="240" w:after="240"/>
              <w:jc w:val="center"/>
              <w:rPr>
                <w:i/>
                <w:iCs/>
              </w:rPr>
            </w:pPr>
            <w:r>
              <w:rPr>
                <w:i/>
                <w:iCs/>
              </w:rPr>
              <w:t>0.04</w:t>
            </w:r>
          </w:p>
        </w:tc>
        <w:tc>
          <w:tcPr>
            <w:tcW w:w="2322" w:type="dxa"/>
            <w:noWrap/>
            <w:hideMark/>
          </w:tcPr>
          <w:p w14:paraId="2CD4AFC7" w14:textId="77777777" w:rsidR="003736C3" w:rsidRPr="003736C3" w:rsidRDefault="003736C3" w:rsidP="003736C3">
            <w:pPr>
              <w:pStyle w:val="NormalWeb"/>
              <w:spacing w:before="240" w:after="240"/>
              <w:jc w:val="center"/>
              <w:rPr>
                <w:i/>
                <w:iCs/>
              </w:rPr>
            </w:pPr>
            <w:r>
              <w:rPr>
                <w:i/>
                <w:iCs/>
              </w:rPr>
              <w:t>0.92</w:t>
            </w:r>
          </w:p>
        </w:tc>
      </w:tr>
      <w:tr w:rsidR="003736C3" w:rsidRPr="003736C3" w14:paraId="55A2006D" w14:textId="77777777" w:rsidTr="003736C3">
        <w:trPr>
          <w:trHeight w:val="288"/>
          <w:jc w:val="center"/>
        </w:trPr>
        <w:tc>
          <w:tcPr>
            <w:tcW w:w="3583" w:type="dxa"/>
            <w:noWrap/>
            <w:hideMark/>
          </w:tcPr>
          <w:p w14:paraId="1650E3CA" w14:textId="77777777" w:rsidR="003736C3" w:rsidRPr="003736C3" w:rsidRDefault="003736C3" w:rsidP="00AF4D52">
            <w:pPr>
              <w:pStyle w:val="NormalWeb"/>
              <w:spacing w:before="240" w:after="240"/>
              <w:rPr>
                <w:b/>
                <w:i/>
                <w:iCs/>
              </w:rPr>
            </w:pPr>
            <w:r>
              <w:rPr>
                <w:b/>
                <w:i/>
                <w:iCs/>
              </w:rPr>
              <w:t>Indonesia</w:t>
            </w:r>
          </w:p>
        </w:tc>
        <w:tc>
          <w:tcPr>
            <w:tcW w:w="1603" w:type="dxa"/>
            <w:noWrap/>
            <w:hideMark/>
          </w:tcPr>
          <w:p w14:paraId="383F6BF7" w14:textId="77777777" w:rsidR="003736C3" w:rsidRPr="003736C3" w:rsidRDefault="003736C3" w:rsidP="003736C3">
            <w:pPr>
              <w:pStyle w:val="NormalWeb"/>
              <w:spacing w:before="240" w:after="240"/>
              <w:jc w:val="center"/>
              <w:rPr>
                <w:i/>
                <w:iCs/>
              </w:rPr>
            </w:pPr>
            <w:r>
              <w:rPr>
                <w:i/>
                <w:iCs/>
              </w:rPr>
              <w:t>0.03</w:t>
            </w:r>
          </w:p>
        </w:tc>
        <w:tc>
          <w:tcPr>
            <w:tcW w:w="2322" w:type="dxa"/>
            <w:noWrap/>
            <w:hideMark/>
          </w:tcPr>
          <w:p w14:paraId="300F4A4C" w14:textId="77777777" w:rsidR="003736C3" w:rsidRPr="003736C3" w:rsidRDefault="003736C3" w:rsidP="003736C3">
            <w:pPr>
              <w:pStyle w:val="NormalWeb"/>
              <w:spacing w:before="240" w:after="240"/>
              <w:jc w:val="center"/>
              <w:rPr>
                <w:i/>
                <w:iCs/>
              </w:rPr>
            </w:pPr>
            <w:r>
              <w:rPr>
                <w:i/>
                <w:iCs/>
              </w:rPr>
              <w:t>0.80</w:t>
            </w:r>
          </w:p>
        </w:tc>
      </w:tr>
      <w:tr w:rsidR="003736C3" w:rsidRPr="003736C3" w14:paraId="31555334" w14:textId="77777777" w:rsidTr="003736C3">
        <w:trPr>
          <w:trHeight w:val="288"/>
          <w:jc w:val="center"/>
        </w:trPr>
        <w:tc>
          <w:tcPr>
            <w:tcW w:w="3583" w:type="dxa"/>
            <w:noWrap/>
            <w:hideMark/>
          </w:tcPr>
          <w:p w14:paraId="42F745FE" w14:textId="77777777" w:rsidR="003736C3" w:rsidRPr="003736C3" w:rsidRDefault="003736C3" w:rsidP="00AF4D52">
            <w:pPr>
              <w:pStyle w:val="NormalWeb"/>
              <w:spacing w:before="240" w:after="240"/>
              <w:rPr>
                <w:b/>
                <w:i/>
                <w:iCs/>
              </w:rPr>
            </w:pPr>
            <w:r>
              <w:rPr>
                <w:b/>
                <w:i/>
                <w:iCs/>
              </w:rPr>
              <w:t>Mexico</w:t>
            </w:r>
          </w:p>
        </w:tc>
        <w:tc>
          <w:tcPr>
            <w:tcW w:w="1603" w:type="dxa"/>
            <w:noWrap/>
            <w:hideMark/>
          </w:tcPr>
          <w:p w14:paraId="2344E66F"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7C1AF5D1" w14:textId="77777777" w:rsidR="003736C3" w:rsidRPr="003736C3" w:rsidRDefault="003736C3" w:rsidP="003736C3">
            <w:pPr>
              <w:pStyle w:val="NormalWeb"/>
              <w:spacing w:before="240" w:after="240"/>
              <w:jc w:val="center"/>
              <w:rPr>
                <w:i/>
                <w:iCs/>
              </w:rPr>
            </w:pPr>
            <w:r>
              <w:rPr>
                <w:i/>
                <w:iCs/>
              </w:rPr>
              <w:t>0.62</w:t>
            </w:r>
          </w:p>
        </w:tc>
      </w:tr>
      <w:tr w:rsidR="003736C3" w:rsidRPr="003736C3" w14:paraId="5C3A6976" w14:textId="77777777" w:rsidTr="003736C3">
        <w:trPr>
          <w:trHeight w:val="288"/>
          <w:jc w:val="center"/>
        </w:trPr>
        <w:tc>
          <w:tcPr>
            <w:tcW w:w="3583" w:type="dxa"/>
            <w:noWrap/>
            <w:hideMark/>
          </w:tcPr>
          <w:p w14:paraId="3165CA88" w14:textId="77777777" w:rsidR="003736C3" w:rsidRPr="003736C3" w:rsidRDefault="003736C3" w:rsidP="00AF4D52">
            <w:pPr>
              <w:pStyle w:val="NormalWeb"/>
              <w:spacing w:before="240" w:after="240"/>
              <w:rPr>
                <w:b/>
                <w:i/>
                <w:iCs/>
              </w:rPr>
            </w:pPr>
            <w:r>
              <w:rPr>
                <w:b/>
                <w:i/>
                <w:iCs/>
              </w:rPr>
              <w:t>Australia</w:t>
            </w:r>
          </w:p>
        </w:tc>
        <w:tc>
          <w:tcPr>
            <w:tcW w:w="1603" w:type="dxa"/>
            <w:noWrap/>
            <w:hideMark/>
          </w:tcPr>
          <w:p w14:paraId="291798AD"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4EB04B02" w14:textId="77777777" w:rsidR="003736C3" w:rsidRPr="003736C3" w:rsidRDefault="003736C3" w:rsidP="003736C3">
            <w:pPr>
              <w:pStyle w:val="NormalWeb"/>
              <w:spacing w:before="240" w:after="240"/>
              <w:jc w:val="center"/>
              <w:rPr>
                <w:i/>
                <w:iCs/>
              </w:rPr>
            </w:pPr>
            <w:r>
              <w:rPr>
                <w:i/>
                <w:iCs/>
              </w:rPr>
              <w:t>0.44</w:t>
            </w:r>
          </w:p>
        </w:tc>
      </w:tr>
      <w:tr w:rsidR="003736C3" w:rsidRPr="003736C3" w14:paraId="30560F74" w14:textId="77777777" w:rsidTr="003736C3">
        <w:trPr>
          <w:trHeight w:val="288"/>
          <w:jc w:val="center"/>
        </w:trPr>
        <w:tc>
          <w:tcPr>
            <w:tcW w:w="3583" w:type="dxa"/>
            <w:noWrap/>
            <w:hideMark/>
          </w:tcPr>
          <w:p w14:paraId="47ECB69F" w14:textId="77777777" w:rsidR="003736C3" w:rsidRPr="003736C3" w:rsidRDefault="003736C3" w:rsidP="00AF4D52">
            <w:pPr>
              <w:pStyle w:val="NormalWeb"/>
              <w:spacing w:before="240" w:after="240"/>
              <w:rPr>
                <w:b/>
                <w:i/>
                <w:iCs/>
              </w:rPr>
            </w:pPr>
            <w:r>
              <w:rPr>
                <w:b/>
                <w:i/>
                <w:iCs/>
              </w:rPr>
              <w:t>Tanzania, United Republic of</w:t>
            </w:r>
          </w:p>
        </w:tc>
        <w:tc>
          <w:tcPr>
            <w:tcW w:w="1603" w:type="dxa"/>
            <w:noWrap/>
            <w:hideMark/>
          </w:tcPr>
          <w:p w14:paraId="5F26DB09" w14:textId="77777777" w:rsidR="003736C3" w:rsidRPr="003736C3" w:rsidRDefault="003736C3" w:rsidP="003736C3">
            <w:pPr>
              <w:pStyle w:val="NormalWeb"/>
              <w:spacing w:before="240" w:after="240"/>
              <w:jc w:val="center"/>
              <w:rPr>
                <w:i/>
                <w:iCs/>
              </w:rPr>
            </w:pPr>
            <w:r>
              <w:rPr>
                <w:i/>
                <w:iCs/>
              </w:rPr>
              <w:t>0.02</w:t>
            </w:r>
          </w:p>
        </w:tc>
        <w:tc>
          <w:tcPr>
            <w:tcW w:w="2322" w:type="dxa"/>
            <w:noWrap/>
            <w:hideMark/>
          </w:tcPr>
          <w:p w14:paraId="562A5043" w14:textId="77777777" w:rsidR="003736C3" w:rsidRPr="003736C3" w:rsidRDefault="003736C3" w:rsidP="003736C3">
            <w:pPr>
              <w:pStyle w:val="NormalWeb"/>
              <w:spacing w:before="240" w:after="240"/>
              <w:jc w:val="center"/>
              <w:rPr>
                <w:i/>
                <w:iCs/>
              </w:rPr>
            </w:pPr>
            <w:r>
              <w:rPr>
                <w:i/>
                <w:iCs/>
              </w:rPr>
              <w:t>0.43</w:t>
            </w:r>
          </w:p>
        </w:tc>
      </w:tr>
      <w:tr w:rsidR="003736C3" w:rsidRPr="003736C3" w14:paraId="4132576D" w14:textId="77777777" w:rsidTr="003736C3">
        <w:trPr>
          <w:trHeight w:val="288"/>
          <w:jc w:val="center"/>
        </w:trPr>
        <w:tc>
          <w:tcPr>
            <w:tcW w:w="3583" w:type="dxa"/>
            <w:noWrap/>
            <w:hideMark/>
          </w:tcPr>
          <w:p w14:paraId="709BAB4E" w14:textId="77777777" w:rsidR="003736C3" w:rsidRPr="003736C3" w:rsidRDefault="003736C3" w:rsidP="00AF4D52">
            <w:pPr>
              <w:pStyle w:val="NormalWeb"/>
              <w:spacing w:before="240" w:after="240"/>
              <w:rPr>
                <w:b/>
                <w:i/>
                <w:iCs/>
              </w:rPr>
            </w:pPr>
            <w:r>
              <w:rPr>
                <w:b/>
                <w:i/>
                <w:iCs/>
              </w:rPr>
              <w:t>China</w:t>
            </w:r>
          </w:p>
        </w:tc>
        <w:tc>
          <w:tcPr>
            <w:tcW w:w="1603" w:type="dxa"/>
            <w:noWrap/>
            <w:hideMark/>
          </w:tcPr>
          <w:p w14:paraId="1F07CB32"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05344471" w14:textId="77777777" w:rsidR="003736C3" w:rsidRPr="003736C3" w:rsidRDefault="003736C3" w:rsidP="003736C3">
            <w:pPr>
              <w:pStyle w:val="NormalWeb"/>
              <w:spacing w:before="240" w:after="240"/>
              <w:jc w:val="center"/>
              <w:rPr>
                <w:i/>
                <w:iCs/>
              </w:rPr>
            </w:pPr>
            <w:r>
              <w:rPr>
                <w:i/>
                <w:iCs/>
              </w:rPr>
              <w:t>0.33</w:t>
            </w:r>
          </w:p>
        </w:tc>
      </w:tr>
      <w:tr w:rsidR="003736C3" w:rsidRPr="003736C3" w14:paraId="2C0E56DD" w14:textId="77777777" w:rsidTr="003736C3">
        <w:trPr>
          <w:trHeight w:val="288"/>
          <w:jc w:val="center"/>
        </w:trPr>
        <w:tc>
          <w:tcPr>
            <w:tcW w:w="3583" w:type="dxa"/>
            <w:noWrap/>
            <w:hideMark/>
          </w:tcPr>
          <w:p w14:paraId="4350C92A" w14:textId="77777777" w:rsidR="003736C3" w:rsidRPr="003736C3" w:rsidRDefault="003736C3" w:rsidP="00AF4D52">
            <w:pPr>
              <w:pStyle w:val="NormalWeb"/>
              <w:spacing w:before="240" w:after="240"/>
              <w:rPr>
                <w:b/>
                <w:i/>
                <w:iCs/>
              </w:rPr>
            </w:pPr>
            <w:r>
              <w:rPr>
                <w:b/>
                <w:i/>
                <w:iCs/>
              </w:rPr>
              <w:t>Norway</w:t>
            </w:r>
          </w:p>
        </w:tc>
        <w:tc>
          <w:tcPr>
            <w:tcW w:w="1603" w:type="dxa"/>
            <w:noWrap/>
            <w:hideMark/>
          </w:tcPr>
          <w:p w14:paraId="0D421E90"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27275C58" w14:textId="77777777" w:rsidR="003736C3" w:rsidRPr="003736C3" w:rsidRDefault="003736C3" w:rsidP="003736C3">
            <w:pPr>
              <w:pStyle w:val="NormalWeb"/>
              <w:spacing w:before="240" w:after="240"/>
              <w:jc w:val="center"/>
              <w:rPr>
                <w:i/>
                <w:iCs/>
              </w:rPr>
            </w:pPr>
            <w:r>
              <w:rPr>
                <w:i/>
                <w:iCs/>
              </w:rPr>
              <w:t>0.33</w:t>
            </w:r>
          </w:p>
        </w:tc>
      </w:tr>
      <w:tr w:rsidR="003736C3" w:rsidRPr="003736C3" w14:paraId="19FB196F" w14:textId="77777777" w:rsidTr="003736C3">
        <w:trPr>
          <w:trHeight w:val="288"/>
          <w:jc w:val="center"/>
        </w:trPr>
        <w:tc>
          <w:tcPr>
            <w:tcW w:w="3583" w:type="dxa"/>
            <w:noWrap/>
            <w:hideMark/>
          </w:tcPr>
          <w:p w14:paraId="3D272D48" w14:textId="77777777" w:rsidR="003736C3" w:rsidRPr="003736C3" w:rsidRDefault="003736C3" w:rsidP="00AF4D52">
            <w:pPr>
              <w:pStyle w:val="NormalWeb"/>
              <w:spacing w:before="240" w:after="240"/>
              <w:rPr>
                <w:b/>
                <w:i/>
                <w:iCs/>
              </w:rPr>
            </w:pPr>
            <w:r>
              <w:rPr>
                <w:b/>
                <w:i/>
                <w:iCs/>
              </w:rPr>
              <w:t>Lebanon</w:t>
            </w:r>
          </w:p>
        </w:tc>
        <w:tc>
          <w:tcPr>
            <w:tcW w:w="1603" w:type="dxa"/>
            <w:noWrap/>
            <w:hideMark/>
          </w:tcPr>
          <w:p w14:paraId="23010A8F"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416D524D" w14:textId="77777777" w:rsidR="003736C3" w:rsidRPr="003736C3" w:rsidRDefault="003736C3" w:rsidP="003736C3">
            <w:pPr>
              <w:pStyle w:val="NormalWeb"/>
              <w:spacing w:before="240" w:after="240"/>
              <w:jc w:val="center"/>
              <w:rPr>
                <w:i/>
                <w:iCs/>
              </w:rPr>
            </w:pPr>
            <w:r>
              <w:rPr>
                <w:i/>
                <w:iCs/>
              </w:rPr>
              <w:t>0.27</w:t>
            </w:r>
          </w:p>
        </w:tc>
      </w:tr>
      <w:tr w:rsidR="003736C3" w:rsidRPr="003736C3" w14:paraId="67430803" w14:textId="77777777" w:rsidTr="003736C3">
        <w:trPr>
          <w:trHeight w:val="288"/>
          <w:jc w:val="center"/>
        </w:trPr>
        <w:tc>
          <w:tcPr>
            <w:tcW w:w="3583" w:type="dxa"/>
            <w:noWrap/>
            <w:hideMark/>
          </w:tcPr>
          <w:p w14:paraId="510B7969" w14:textId="77777777" w:rsidR="003736C3" w:rsidRPr="003736C3" w:rsidRDefault="003736C3" w:rsidP="00AF4D52">
            <w:pPr>
              <w:pStyle w:val="NormalWeb"/>
              <w:spacing w:before="240" w:after="240"/>
              <w:rPr>
                <w:b/>
                <w:i/>
                <w:iCs/>
              </w:rPr>
            </w:pPr>
            <w:r>
              <w:rPr>
                <w:b/>
                <w:i/>
                <w:iCs/>
              </w:rPr>
              <w:t>Ireland</w:t>
            </w:r>
          </w:p>
        </w:tc>
        <w:tc>
          <w:tcPr>
            <w:tcW w:w="1603" w:type="dxa"/>
            <w:noWrap/>
            <w:hideMark/>
          </w:tcPr>
          <w:p w14:paraId="403D92ED" w14:textId="77777777" w:rsidR="003736C3" w:rsidRPr="003736C3" w:rsidRDefault="003736C3" w:rsidP="003736C3">
            <w:pPr>
              <w:pStyle w:val="NormalWeb"/>
              <w:spacing w:before="240" w:after="240"/>
              <w:jc w:val="center"/>
              <w:rPr>
                <w:i/>
                <w:iCs/>
              </w:rPr>
            </w:pPr>
            <w:r>
              <w:rPr>
                <w:i/>
                <w:iCs/>
              </w:rPr>
              <w:t>0.01</w:t>
            </w:r>
          </w:p>
        </w:tc>
        <w:tc>
          <w:tcPr>
            <w:tcW w:w="2322" w:type="dxa"/>
            <w:noWrap/>
            <w:hideMark/>
          </w:tcPr>
          <w:p w14:paraId="7CEE9124" w14:textId="77777777" w:rsidR="003736C3" w:rsidRPr="003736C3" w:rsidRDefault="003736C3" w:rsidP="003736C3">
            <w:pPr>
              <w:pStyle w:val="NormalWeb"/>
              <w:spacing w:before="240" w:after="240"/>
              <w:jc w:val="center"/>
              <w:rPr>
                <w:i/>
                <w:iCs/>
              </w:rPr>
            </w:pPr>
            <w:r>
              <w:rPr>
                <w:i/>
                <w:iCs/>
              </w:rPr>
              <w:t>0.20</w:t>
            </w:r>
          </w:p>
        </w:tc>
      </w:tr>
      <w:tr w:rsidR="003736C3" w:rsidRPr="003736C3" w14:paraId="3B5B8216" w14:textId="77777777" w:rsidTr="003736C3">
        <w:trPr>
          <w:trHeight w:val="288"/>
          <w:jc w:val="center"/>
        </w:trPr>
        <w:tc>
          <w:tcPr>
            <w:tcW w:w="3583" w:type="dxa"/>
            <w:noWrap/>
            <w:hideMark/>
          </w:tcPr>
          <w:p w14:paraId="119757B3" w14:textId="77777777" w:rsidR="003736C3" w:rsidRPr="003736C3" w:rsidRDefault="003736C3" w:rsidP="00AF4D52">
            <w:pPr>
              <w:pStyle w:val="NormalWeb"/>
              <w:spacing w:before="240" w:after="240"/>
              <w:rPr>
                <w:b/>
                <w:i/>
                <w:iCs/>
              </w:rPr>
            </w:pPr>
            <w:r>
              <w:rPr>
                <w:b/>
                <w:i/>
                <w:iCs/>
              </w:rPr>
              <w:t>Switzerland</w:t>
            </w:r>
          </w:p>
        </w:tc>
        <w:tc>
          <w:tcPr>
            <w:tcW w:w="1603" w:type="dxa"/>
            <w:noWrap/>
            <w:hideMark/>
          </w:tcPr>
          <w:p w14:paraId="760C241F"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1F69269" w14:textId="45572887" w:rsidR="003736C3" w:rsidRPr="003736C3" w:rsidRDefault="003736C3" w:rsidP="003736C3">
            <w:pPr>
              <w:pStyle w:val="NormalWeb"/>
              <w:spacing w:before="240" w:after="240"/>
              <w:jc w:val="center"/>
              <w:rPr>
                <w:i/>
                <w:iCs/>
              </w:rPr>
            </w:pPr>
            <w:r>
              <w:rPr>
                <w:i/>
                <w:iCs/>
              </w:rPr>
              <w:t>&lt;0.01</w:t>
            </w:r>
          </w:p>
        </w:tc>
      </w:tr>
      <w:tr w:rsidR="003736C3" w:rsidRPr="003736C3" w14:paraId="7C94B980" w14:textId="77777777" w:rsidTr="003736C3">
        <w:trPr>
          <w:trHeight w:val="288"/>
          <w:jc w:val="center"/>
        </w:trPr>
        <w:tc>
          <w:tcPr>
            <w:tcW w:w="3583" w:type="dxa"/>
            <w:noWrap/>
            <w:hideMark/>
          </w:tcPr>
          <w:p w14:paraId="409A6BD2" w14:textId="77777777" w:rsidR="003736C3" w:rsidRPr="003736C3" w:rsidRDefault="003736C3" w:rsidP="00AF4D52">
            <w:pPr>
              <w:pStyle w:val="NormalWeb"/>
              <w:spacing w:before="240" w:after="240"/>
              <w:rPr>
                <w:b/>
                <w:i/>
                <w:iCs/>
              </w:rPr>
            </w:pPr>
            <w:r>
              <w:rPr>
                <w:b/>
                <w:i/>
                <w:iCs/>
              </w:rPr>
              <w:lastRenderedPageBreak/>
              <w:t>Turkey</w:t>
            </w:r>
          </w:p>
        </w:tc>
        <w:tc>
          <w:tcPr>
            <w:tcW w:w="1603" w:type="dxa"/>
            <w:noWrap/>
            <w:hideMark/>
          </w:tcPr>
          <w:p w14:paraId="7F272B5B"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3C50A347" w14:textId="3AD329E3" w:rsidR="003736C3" w:rsidRPr="003736C3" w:rsidRDefault="003736C3" w:rsidP="003736C3">
            <w:pPr>
              <w:pStyle w:val="NormalWeb"/>
              <w:spacing w:before="240" w:after="240"/>
              <w:jc w:val="center"/>
              <w:rPr>
                <w:i/>
                <w:iCs/>
              </w:rPr>
            </w:pPr>
            <w:r>
              <w:rPr>
                <w:i/>
                <w:iCs/>
              </w:rPr>
              <w:t>&lt;0.01</w:t>
            </w:r>
          </w:p>
        </w:tc>
      </w:tr>
      <w:tr w:rsidR="003736C3" w:rsidRPr="003736C3" w14:paraId="2353DDFF" w14:textId="77777777" w:rsidTr="003736C3">
        <w:trPr>
          <w:trHeight w:val="288"/>
          <w:jc w:val="center"/>
        </w:trPr>
        <w:tc>
          <w:tcPr>
            <w:tcW w:w="3583" w:type="dxa"/>
            <w:noWrap/>
            <w:hideMark/>
          </w:tcPr>
          <w:p w14:paraId="709D541D" w14:textId="77777777" w:rsidR="003736C3" w:rsidRPr="003736C3" w:rsidRDefault="003736C3" w:rsidP="00AF4D52">
            <w:pPr>
              <w:pStyle w:val="NormalWeb"/>
              <w:spacing w:before="240" w:after="240"/>
              <w:rPr>
                <w:b/>
                <w:i/>
                <w:iCs/>
              </w:rPr>
            </w:pPr>
            <w:r>
              <w:rPr>
                <w:b/>
                <w:i/>
                <w:iCs/>
              </w:rPr>
              <w:t>Botswana</w:t>
            </w:r>
          </w:p>
        </w:tc>
        <w:tc>
          <w:tcPr>
            <w:tcW w:w="1603" w:type="dxa"/>
            <w:noWrap/>
            <w:hideMark/>
          </w:tcPr>
          <w:p w14:paraId="5EB0DD09"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5CC8EDB3" w14:textId="197737CA" w:rsidR="003736C3" w:rsidRPr="003736C3" w:rsidRDefault="003736C3" w:rsidP="003736C3">
            <w:pPr>
              <w:pStyle w:val="NormalWeb"/>
              <w:spacing w:before="240" w:after="240"/>
              <w:jc w:val="center"/>
              <w:rPr>
                <w:i/>
                <w:iCs/>
              </w:rPr>
            </w:pPr>
            <w:r>
              <w:rPr>
                <w:i/>
                <w:iCs/>
              </w:rPr>
              <w:t>&lt;0.01</w:t>
            </w:r>
          </w:p>
        </w:tc>
      </w:tr>
      <w:tr w:rsidR="003736C3" w:rsidRPr="003736C3" w14:paraId="02BD5368" w14:textId="77777777" w:rsidTr="003736C3">
        <w:trPr>
          <w:trHeight w:val="288"/>
          <w:jc w:val="center"/>
        </w:trPr>
        <w:tc>
          <w:tcPr>
            <w:tcW w:w="3583" w:type="dxa"/>
            <w:noWrap/>
            <w:hideMark/>
          </w:tcPr>
          <w:p w14:paraId="63783DAD" w14:textId="77777777" w:rsidR="003736C3" w:rsidRPr="003736C3" w:rsidRDefault="003736C3" w:rsidP="00AF4D52">
            <w:pPr>
              <w:pStyle w:val="NormalWeb"/>
              <w:spacing w:before="240" w:after="240"/>
              <w:rPr>
                <w:b/>
                <w:i/>
                <w:iCs/>
              </w:rPr>
            </w:pPr>
            <w:r>
              <w:rPr>
                <w:b/>
                <w:i/>
                <w:iCs/>
              </w:rPr>
              <w:t>Iran, Islamic Republic of</w:t>
            </w:r>
          </w:p>
        </w:tc>
        <w:tc>
          <w:tcPr>
            <w:tcW w:w="1603" w:type="dxa"/>
            <w:noWrap/>
            <w:hideMark/>
          </w:tcPr>
          <w:p w14:paraId="16E2FEFA"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7D640FC1" w14:textId="68FF6BDD" w:rsidR="003736C3" w:rsidRPr="003736C3" w:rsidRDefault="003736C3" w:rsidP="003736C3">
            <w:pPr>
              <w:pStyle w:val="NormalWeb"/>
              <w:spacing w:before="240" w:after="240"/>
              <w:jc w:val="center"/>
              <w:rPr>
                <w:i/>
                <w:iCs/>
              </w:rPr>
            </w:pPr>
            <w:r>
              <w:rPr>
                <w:i/>
                <w:iCs/>
              </w:rPr>
              <w:t>&lt;0.01</w:t>
            </w:r>
          </w:p>
        </w:tc>
      </w:tr>
      <w:tr w:rsidR="003736C3" w:rsidRPr="003736C3" w14:paraId="19A828CE" w14:textId="77777777" w:rsidTr="003736C3">
        <w:trPr>
          <w:trHeight w:val="288"/>
          <w:jc w:val="center"/>
        </w:trPr>
        <w:tc>
          <w:tcPr>
            <w:tcW w:w="3583" w:type="dxa"/>
            <w:noWrap/>
            <w:hideMark/>
          </w:tcPr>
          <w:p w14:paraId="34356CA9" w14:textId="77777777" w:rsidR="003736C3" w:rsidRPr="003736C3" w:rsidRDefault="003736C3" w:rsidP="00AF4D52">
            <w:pPr>
              <w:pStyle w:val="NormalWeb"/>
              <w:spacing w:before="240" w:after="240"/>
              <w:rPr>
                <w:b/>
                <w:i/>
                <w:iCs/>
              </w:rPr>
            </w:pPr>
            <w:r>
              <w:rPr>
                <w:b/>
                <w:i/>
                <w:iCs/>
              </w:rPr>
              <w:t>Uganda</w:t>
            </w:r>
          </w:p>
        </w:tc>
        <w:tc>
          <w:tcPr>
            <w:tcW w:w="1603" w:type="dxa"/>
            <w:noWrap/>
            <w:hideMark/>
          </w:tcPr>
          <w:p w14:paraId="00966BDD"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1E756B75" w14:textId="27E1D87C" w:rsidR="003736C3" w:rsidRPr="003736C3" w:rsidRDefault="003736C3" w:rsidP="003736C3">
            <w:pPr>
              <w:pStyle w:val="NormalWeb"/>
              <w:spacing w:before="240" w:after="240"/>
              <w:jc w:val="center"/>
              <w:rPr>
                <w:i/>
                <w:iCs/>
              </w:rPr>
            </w:pPr>
            <w:r>
              <w:rPr>
                <w:i/>
                <w:iCs/>
              </w:rPr>
              <w:t>&lt;0.01</w:t>
            </w:r>
          </w:p>
        </w:tc>
      </w:tr>
      <w:tr w:rsidR="003736C3" w:rsidRPr="003736C3" w14:paraId="19F746AC" w14:textId="77777777" w:rsidTr="003736C3">
        <w:trPr>
          <w:trHeight w:val="288"/>
          <w:jc w:val="center"/>
        </w:trPr>
        <w:tc>
          <w:tcPr>
            <w:tcW w:w="3583" w:type="dxa"/>
            <w:noWrap/>
            <w:hideMark/>
          </w:tcPr>
          <w:p w14:paraId="633238FE" w14:textId="77777777" w:rsidR="003736C3" w:rsidRPr="003736C3" w:rsidRDefault="003736C3" w:rsidP="00AF4D52">
            <w:pPr>
              <w:pStyle w:val="NormalWeb"/>
              <w:spacing w:before="240" w:after="240"/>
              <w:rPr>
                <w:b/>
                <w:i/>
                <w:iCs/>
              </w:rPr>
            </w:pPr>
            <w:r>
              <w:rPr>
                <w:b/>
                <w:i/>
                <w:iCs/>
              </w:rPr>
              <w:t>Brunei Darussalam</w:t>
            </w:r>
          </w:p>
        </w:tc>
        <w:tc>
          <w:tcPr>
            <w:tcW w:w="1603" w:type="dxa"/>
            <w:noWrap/>
            <w:hideMark/>
          </w:tcPr>
          <w:p w14:paraId="18C15BC7" w14:textId="77777777" w:rsidR="003736C3" w:rsidRPr="003736C3" w:rsidRDefault="003736C3" w:rsidP="003736C3">
            <w:pPr>
              <w:pStyle w:val="NormalWeb"/>
              <w:spacing w:before="240" w:after="240"/>
              <w:jc w:val="center"/>
              <w:rPr>
                <w:i/>
                <w:iCs/>
              </w:rPr>
            </w:pPr>
            <w:r>
              <w:rPr>
                <w:i/>
                <w:iCs/>
              </w:rPr>
              <w:t>0.00</w:t>
            </w:r>
          </w:p>
        </w:tc>
        <w:tc>
          <w:tcPr>
            <w:tcW w:w="2322" w:type="dxa"/>
            <w:noWrap/>
            <w:hideMark/>
          </w:tcPr>
          <w:p w14:paraId="61371A42" w14:textId="5234811B" w:rsidR="003736C3" w:rsidRPr="003736C3" w:rsidRDefault="003736C3" w:rsidP="003736C3">
            <w:pPr>
              <w:pStyle w:val="NormalWeb"/>
              <w:spacing w:before="240" w:after="240"/>
              <w:jc w:val="center"/>
              <w:rPr>
                <w:i/>
                <w:iCs/>
              </w:rPr>
            </w:pPr>
            <w:r>
              <w:rPr>
                <w:i/>
                <w:iCs/>
              </w:rPr>
              <w:t>&lt;0.01</w:t>
            </w:r>
          </w:p>
        </w:tc>
      </w:tr>
    </w:tbl>
    <w:bookmarkEnd w:id="1"/>
    <w:p w14:paraId="1B024FDD" w14:textId="291F070C" w:rsidR="00077AF7" w:rsidRPr="00077AF7" w:rsidRDefault="00077AF7" w:rsidP="00077AF7">
      <w:pPr>
        <w:pStyle w:val="NormalWeb"/>
        <w:spacing w:before="240" w:beforeAutospacing="0" w:after="240" w:afterAutospacing="0" w:line="360" w:lineRule="auto"/>
        <w:rPr>
          <w:b/>
          <w:i/>
          <w:iCs/>
        </w:rPr>
      </w:pPr>
      <w:r w:rsidRPr="00077AF7">
        <w:rPr>
          <w:rFonts w:eastAsiaTheme="minorEastAsia"/>
          <w:noProof/>
        </w:rPr>
        <w:t>An alternative would be to estimate each treated country separately using the synthetic difference-in-differences estimator of Arkhangelsky et al. (2021). We use a common weighting scheme instead, because the country-specific coefficients subsequently enter a second-stage regression on income and on kⱼ, and per-country donor selection would define each coefficient against a different counterfactual. That difference would not be random</w:t>
      </w:r>
      <w:r w:rsidR="004D461D">
        <w:rPr>
          <w:rFonts w:eastAsiaTheme="minorEastAsia"/>
          <w:noProof/>
        </w:rPr>
        <w:t xml:space="preserve"> because d</w:t>
      </w:r>
      <w:r w:rsidRPr="00077AF7">
        <w:rPr>
          <w:rFonts w:eastAsiaTheme="minorEastAsia"/>
          <w:noProof/>
        </w:rPr>
        <w:t xml:space="preserve">onor weights are chosen on pre-treatment fit, pre-treatment applications are themselves income-related, and wealthier EU countries would therefore draw on wealthier donors, so the induced error in the second-stage dependent variable would correlate with the regressor of interest. With five pre-treatment years, per-country weights would in any case be fitted largely to noise (Abadie, 2021). The estimator is nonetheless applied to the full donor pool in </w:t>
      </w:r>
      <w:r>
        <w:rPr>
          <w:rFonts w:eastAsiaTheme="minorEastAsia"/>
          <w:noProof/>
        </w:rPr>
        <w:t>later sections</w:t>
      </w:r>
      <w:r w:rsidRPr="00077AF7">
        <w:rPr>
          <w:rFonts w:eastAsiaTheme="minorEastAsia"/>
          <w:noProof/>
        </w:rPr>
        <w:t xml:space="preserve"> as a robustness check.</w:t>
      </w:r>
    </w:p>
    <w:p w14:paraId="1A6FB096" w14:textId="3FF45233" w:rsidR="00CA5C96" w:rsidRPr="00CA5C96" w:rsidRDefault="001E429C" w:rsidP="00E25058">
      <w:pPr>
        <w:pStyle w:val="NormalWeb"/>
        <w:numPr>
          <w:ilvl w:val="1"/>
          <w:numId w:val="35"/>
        </w:numPr>
        <w:spacing w:before="240" w:beforeAutospacing="0" w:after="240" w:afterAutospacing="0" w:line="360" w:lineRule="auto"/>
        <w:rPr>
          <w:b/>
          <w:i/>
          <w:iCs/>
        </w:rPr>
      </w:pPr>
      <w:r>
        <w:rPr>
          <w:b/>
          <w:i/>
          <w:iCs/>
        </w:rPr>
        <w:t>Identification strategy and parallel trends</w:t>
      </w:r>
    </w:p>
    <w:p w14:paraId="4E5E49E9" w14:textId="265E212A" w:rsidR="00091453" w:rsidRDefault="00091453" w:rsidP="00091453">
      <w:pPr>
        <w:spacing w:line="360" w:lineRule="auto"/>
        <w:ind w:firstLine="720"/>
        <w:rPr>
          <w:rFonts w:ascii="Times New Roman" w:hAnsi="Times New Roman" w:cs="Times New Roman"/>
        </w:rPr>
      </w:pPr>
      <w:r>
        <w:rPr>
          <w:rFonts w:ascii="Times New Roman" w:hAnsi="Times New Roman" w:cs="Times New Roman"/>
        </w:rPr>
        <w:t>In a comparable perspective, the closest design to ours – Sá (2014) – exploits within-country, across-time variation in fees. The treatment in her case is binary and uniform: Scottish students either pay or don't, and English students face one fee level, then another. There is no cross-sectional variation in the size of the price shock. In this paper, however, we exploit cross-country, across-time variation, where the price shock itself, kⱼ, differs across countries because the present value of the foregone loan differs with the average wage. This means the identifying variation has two dimensions simultaneously – whether you are treated (EU vs. non-EU) and how intensely you are treated (which EU country you are from).  This corrects an internal limitation in Sá's (2014) design, which cannot separately identify these because all treated students face the same fee change. This resonates with the fact that Sá's identification still relies on only 2 countries and 1 treatment switch, resulting in fewer effective independent treatment clusters.</w:t>
      </w:r>
    </w:p>
    <w:p w14:paraId="3E3315A6" w14:textId="276201DE" w:rsidR="004D461D" w:rsidRPr="00091453" w:rsidRDefault="004D461D" w:rsidP="004D461D">
      <w:pPr>
        <w:spacing w:line="360" w:lineRule="auto"/>
        <w:ind w:firstLine="720"/>
        <w:rPr>
          <w:rFonts w:ascii="Times New Roman" w:hAnsi="Times New Roman" w:cs="Times New Roman"/>
        </w:rPr>
      </w:pPr>
      <w:r w:rsidRPr="004D461D">
        <w:rPr>
          <w:rFonts w:ascii="Times New Roman" w:hAnsi="Times New Roman" w:cs="Times New Roman"/>
        </w:rPr>
        <w:t xml:space="preserve">A further consideration </w:t>
      </w:r>
      <w:r>
        <w:rPr>
          <w:rFonts w:ascii="Times New Roman" w:hAnsi="Times New Roman" w:cs="Times New Roman"/>
        </w:rPr>
        <w:t>is also worth noting</w:t>
      </w:r>
      <w:r w:rsidRPr="004D461D">
        <w:rPr>
          <w:rFonts w:ascii="Times New Roman" w:hAnsi="Times New Roman" w:cs="Times New Roman"/>
        </w:rPr>
        <w:t xml:space="preserve">. The panel </w:t>
      </w:r>
      <w:r>
        <w:rPr>
          <w:rFonts w:ascii="Times New Roman" w:hAnsi="Times New Roman" w:cs="Times New Roman"/>
        </w:rPr>
        <w:t xml:space="preserve">we use </w:t>
      </w:r>
      <w:r w:rsidRPr="004D461D">
        <w:rPr>
          <w:rFonts w:ascii="Times New Roman" w:hAnsi="Times New Roman" w:cs="Times New Roman"/>
        </w:rPr>
        <w:t xml:space="preserve">begins in 2016 so that no policy change specific to the treated group falls inside the pre-treatment period. This restriction is not innocuous, since designs anchored on the mid-2000s must absorb at least three earlier shocks acting on EU applicants alone. Bulgaria and Romania acceded to the </w:t>
      </w:r>
      <w:r w:rsidRPr="004D461D">
        <w:rPr>
          <w:rFonts w:ascii="Times New Roman" w:hAnsi="Times New Roman" w:cs="Times New Roman"/>
        </w:rPr>
        <w:lastRenderedPageBreak/>
        <w:t>European Union on 1 January 2007 and Croatia on 1 July 2013, and accession confers Home Fee status immediately because higher education carries no transitional restrictions. Clifton-</w:t>
      </w:r>
      <w:proofErr w:type="spellStart"/>
      <w:r w:rsidRPr="004D461D">
        <w:rPr>
          <w:rFonts w:ascii="Times New Roman" w:hAnsi="Times New Roman" w:cs="Times New Roman"/>
        </w:rPr>
        <w:t>Sprigg</w:t>
      </w:r>
      <w:proofErr w:type="spellEnd"/>
      <w:r w:rsidRPr="004D461D">
        <w:rPr>
          <w:rFonts w:ascii="Times New Roman" w:hAnsi="Times New Roman" w:cs="Times New Roman"/>
        </w:rPr>
        <w:t xml:space="preserve"> et al. (2025) estimate that Croatian applications more than tripled upon accession, an increase of roughly 245 percent, which indicates the size of the discontinuity that accession introduces into the treated series. The transitional restrictions on </w:t>
      </w:r>
      <w:proofErr w:type="spellStart"/>
      <w:r w:rsidRPr="004D461D">
        <w:rPr>
          <w:rFonts w:ascii="Times New Roman" w:hAnsi="Times New Roman" w:cs="Times New Roman"/>
        </w:rPr>
        <w:t>labour</w:t>
      </w:r>
      <w:proofErr w:type="spellEnd"/>
      <w:r w:rsidRPr="004D461D">
        <w:rPr>
          <w:rFonts w:ascii="Times New Roman" w:hAnsi="Times New Roman" w:cs="Times New Roman"/>
        </w:rPr>
        <w:t xml:space="preserve"> market access for Bulgarian and Romanian nationals were removed in January 2014, a further change affecting the expected return to a UK degree for two treated countries only. Finally, England raised the undergraduate fee cap from roughly £3,145 to £9,000 in 2012/13, and EU applicants paid that increase precisely because they held Home Fee status, so the reform constituted a treated-group-specific price shock of the same kind as the one identified here, arriving nine years earlier </w:t>
      </w:r>
      <w:r w:rsidRPr="00530737">
        <w:rPr>
          <w:rFonts w:ascii="Times New Roman" w:hAnsi="Times New Roman" w:cs="Times New Roman"/>
        </w:rPr>
        <w:t>(Hubble &amp; Bolton, 2018).</w:t>
      </w:r>
      <w:r w:rsidRPr="004D461D">
        <w:rPr>
          <w:rFonts w:ascii="Times New Roman" w:hAnsi="Times New Roman" w:cs="Times New Roman"/>
        </w:rPr>
        <w:t xml:space="preserve"> A pre-treatment window opening in 2016 places all of these events outside the baseline. The cost is a shorter pre-period and correspondingly fewer years over which divergence can be tested, which we regard as the price of a baseline that is uncontaminated by prior treatment of the same group.</w:t>
      </w:r>
    </w:p>
    <w:p w14:paraId="60957C1B" w14:textId="61C70966" w:rsidR="00091453" w:rsidRPr="001E429C" w:rsidRDefault="00091453" w:rsidP="00091453">
      <w:pPr>
        <w:spacing w:line="360" w:lineRule="auto"/>
        <w:ind w:firstLine="720"/>
        <w:rPr>
          <w:rFonts w:ascii="Times New Roman" w:hAnsi="Times New Roman" w:cs="Times New Roman"/>
        </w:rPr>
      </w:pPr>
      <w:r>
        <w:rPr>
          <w:rFonts w:ascii="Times New Roman" w:hAnsi="Times New Roman" w:cs="Times New Roman"/>
        </w:rPr>
        <w:t>Following these design choices, we estimate a dynamic difference-in-differences specification. This traces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ED3FB9"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319B7EF2" w14:textId="26772947" w:rsidR="002C304A" w:rsidRDefault="002C304A" w:rsidP="00365CCC">
      <w:pPr>
        <w:spacing w:line="360" w:lineRule="auto"/>
        <w:ind w:firstLine="720"/>
        <w:rPr>
          <w:rFonts w:ascii="Times New Roman" w:hAnsi="Times New Roman" w:cs="Times New Roman"/>
        </w:rPr>
      </w:pPr>
      <w:r>
        <w:rPr>
          <w:rFonts w:ascii="Times New Roman" w:hAnsi="Times New Roman" w:cs="Times New Roman"/>
        </w:rPr>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Pr>
          <w:rFonts w:ascii="Times New Roman" w:hAnsi="Times New Roman" w:cs="Times New Roman"/>
        </w:rPr>
        <w:t>measure those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Pr>
          <w:rFonts w:ascii="Times New Roman" w:hAnsi="Times New Roman" w:cs="Times New Roman"/>
        </w:rPr>
        <w:t xml:space="preserve">, corresponding to </w:t>
      </w:r>
      <w:r>
        <w:rPr>
          <w:rStyle w:val="Strong"/>
          <w:rFonts w:ascii="Times New Roman" w:hAnsi="Times New Roman" w:cs="Times New Roman"/>
          <w:b w:val="0"/>
        </w:rPr>
        <w:t>2020</w:t>
      </w:r>
      <w:r>
        <w:rPr>
          <w:rFonts w:ascii="Times New Roman" w:hAnsi="Times New Roman" w:cs="Times New Roman"/>
        </w:rPr>
        <w:t xml:space="preserve">). We, again, perform the regression with the weights supplied from the previous subsection. </w:t>
      </w:r>
    </w:p>
    <w:p w14:paraId="5D6FDB00" w14:textId="3536E11D" w:rsidR="000B0D58" w:rsidRPr="00F55577"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Event-study estimates comparing EU applicants to the synthetic control group.</w:t>
      </w:r>
    </w:p>
    <w:p w14:paraId="08D2C7C5" w14:textId="14B4CA51" w:rsidR="00E16821" w:rsidRPr="002C304A" w:rsidRDefault="007902FE"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76C24543" wp14:editId="261AEE11">
            <wp:extent cx="5731510" cy="3541421"/>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541421"/>
                    </a:xfrm>
                    <a:prstGeom prst="rect">
                      <a:avLst/>
                    </a:prstGeom>
                  </pic:spPr>
                </pic:pic>
              </a:graphicData>
            </a:graphic>
          </wp:inline>
        </w:drawing>
      </w:r>
    </w:p>
    <w:p w14:paraId="1A2F3F13" w14:textId="6301407D" w:rsidR="00811488" w:rsidRPr="00811488" w:rsidRDefault="00811488" w:rsidP="00E25058">
      <w:pPr>
        <w:spacing w:line="360" w:lineRule="auto"/>
        <w:rPr>
          <w:rFonts w:ascii="Times New Roman" w:hAnsi="Times New Roman" w:cs="Times New Roman"/>
          <w:iCs/>
          <w:sz w:val="20"/>
        </w:rPr>
      </w:pPr>
      <w:r>
        <w:rPr>
          <w:rFonts w:ascii="Times New Roman" w:hAnsi="Times New Roman" w:cs="Times New Roman"/>
          <w:iCs/>
          <w:sz w:val="20"/>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0.96), providing no strong evidence of differential pre-trends.</w:t>
      </w:r>
    </w:p>
    <w:p w14:paraId="5901C725" w14:textId="77777777" w:rsidR="00365CCC" w:rsidRDefault="00365CCC" w:rsidP="00E25058">
      <w:pPr>
        <w:spacing w:line="360" w:lineRule="auto"/>
        <w:rPr>
          <w:rFonts w:ascii="Times New Roman" w:hAnsi="Times New Roman" w:cs="Times New Roman"/>
        </w:rPr>
      </w:pPr>
    </w:p>
    <w:p w14:paraId="4C1D511C" w14:textId="2491D434" w:rsidR="000B0D58" w:rsidRDefault="000B0D58" w:rsidP="007902FE">
      <w:pPr>
        <w:spacing w:line="360" w:lineRule="auto"/>
        <w:ind w:firstLine="720"/>
        <w:rPr>
          <w:rFonts w:ascii="Times New Roman" w:hAnsi="Times New Roman" w:cs="Times New Roman"/>
        </w:rPr>
      </w:pPr>
      <w:r>
        <w:rPr>
          <w:rFonts w:ascii="Times New Roman" w:hAnsi="Times New Roman" w:cs="Times New Roman"/>
        </w:rPr>
        <w:t>Figure 1 reports the event-study coefficients from equation (1). The pre-treatment coefficients (leads) are very small and a joint Wald test fails to reject the null hypothesis that the pre-treatment coefficients are jointly equal to zero (p = 0.96). This is evidence that the overall trends in the data (especially clear with the release of the 2025 data) rule out the possibility that the change in the number of applications was due to COVID. No observable recovery is visible in Figure 1, especially in the periods when COVID has largely abated (2024 and 2025), with the decline going deeper the more years have passed since the event. Due to a small positive divergence in the Post-Referendum applications, we can conclude that the UK higher education system did not become less appealing due to migration concerns – if anything, candidates were even more motivated to apply.</w:t>
      </w:r>
    </w:p>
    <w:p w14:paraId="410615C2" w14:textId="32F61E0E" w:rsidR="00077AF7" w:rsidRPr="00077AF7" w:rsidRDefault="00DF169C" w:rsidP="00077AF7">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To further assess identification, we implement </w:t>
      </w:r>
      <w:r w:rsidR="00077AF7">
        <w:rPr>
          <w:rFonts w:ascii="Times New Roman" w:eastAsia="Times New Roman" w:hAnsi="Times New Roman" w:cs="Times New Roman"/>
          <w:i w:val="0"/>
          <w:iCs w:val="0"/>
          <w:color w:val="auto"/>
          <w:kern w:val="0"/>
          <w:sz w:val="24"/>
          <w:szCs w:val="24"/>
          <w14:ligatures w14:val="none"/>
        </w:rPr>
        <w:t>an</w:t>
      </w:r>
      <w:r>
        <w:rPr>
          <w:rFonts w:ascii="Times New Roman" w:eastAsia="Times New Roman" w:hAnsi="Times New Roman" w:cs="Times New Roman"/>
          <w:i w:val="0"/>
          <w:iCs w:val="0"/>
          <w:color w:val="auto"/>
          <w:kern w:val="0"/>
          <w:sz w:val="24"/>
          <w:szCs w:val="24"/>
          <w14:ligatures w14:val="none"/>
        </w:rPr>
        <w:t xml:space="preserve"> additional </w:t>
      </w:r>
      <w:r w:rsidR="00077AF7">
        <w:rPr>
          <w:rFonts w:ascii="Times New Roman" w:eastAsia="Times New Roman" w:hAnsi="Times New Roman" w:cs="Times New Roman"/>
          <w:i w:val="0"/>
          <w:iCs w:val="0"/>
          <w:color w:val="auto"/>
          <w:kern w:val="0"/>
          <w:sz w:val="24"/>
          <w:szCs w:val="24"/>
          <w14:ligatures w14:val="none"/>
        </w:rPr>
        <w:t xml:space="preserve">test. Namely, </w:t>
      </w:r>
      <w:r>
        <w:rPr>
          <w:rFonts w:ascii="Times New Roman" w:eastAsia="Times New Roman" w:hAnsi="Times New Roman" w:cs="Times New Roman"/>
          <w:i w:val="0"/>
          <w:iCs w:val="0"/>
          <w:color w:val="auto"/>
          <w:kern w:val="0"/>
          <w:sz w:val="24"/>
          <w:szCs w:val="24"/>
          <w14:ligatures w14:val="none"/>
        </w:rPr>
        <w:t>a leads-only specification</w:t>
      </w:r>
      <w:r w:rsidR="00077AF7">
        <w:rPr>
          <w:rFonts w:ascii="Times New Roman" w:eastAsia="Times New Roman" w:hAnsi="Times New Roman" w:cs="Times New Roman"/>
          <w:i w:val="0"/>
          <w:iCs w:val="0"/>
          <w:color w:val="auto"/>
          <w:kern w:val="0"/>
          <w:sz w:val="24"/>
          <w:szCs w:val="24"/>
          <w14:ligatures w14:val="none"/>
        </w:rPr>
        <w:t xml:space="preserve"> that</w:t>
      </w:r>
      <w:r>
        <w:rPr>
          <w:rFonts w:ascii="Times New Roman" w:eastAsia="Times New Roman" w:hAnsi="Times New Roman" w:cs="Times New Roman"/>
          <w:i w:val="0"/>
          <w:iCs w:val="0"/>
          <w:color w:val="auto"/>
          <w:kern w:val="0"/>
          <w:sz w:val="24"/>
          <w:szCs w:val="24"/>
          <w14:ligatures w14:val="none"/>
        </w:rPr>
        <w:t xml:space="preserve"> finds no evidence of anticipation effects, suggesting that applicants did </w:t>
      </w:r>
      <w:r>
        <w:rPr>
          <w:rFonts w:ascii="Times New Roman" w:eastAsia="Times New Roman" w:hAnsi="Times New Roman" w:cs="Times New Roman"/>
          <w:i w:val="0"/>
          <w:iCs w:val="0"/>
          <w:color w:val="auto"/>
          <w:kern w:val="0"/>
          <w:sz w:val="24"/>
          <w:szCs w:val="24"/>
          <w14:ligatures w14:val="none"/>
        </w:rPr>
        <w:lastRenderedPageBreak/>
        <w:t>not adjust behavior prior to the reform</w:t>
      </w:r>
      <w:r w:rsidR="00077AF7">
        <w:rPr>
          <w:rFonts w:ascii="Times New Roman" w:eastAsia="Times New Roman" w:hAnsi="Times New Roman" w:cs="Times New Roman"/>
          <w:i w:val="0"/>
          <w:iCs w:val="0"/>
          <w:color w:val="auto"/>
          <w:kern w:val="0"/>
          <w:sz w:val="24"/>
          <w:szCs w:val="24"/>
          <w14:ligatures w14:val="none"/>
        </w:rPr>
        <w:t>.</w:t>
      </w:r>
      <w:r>
        <w:rPr>
          <w:rFonts w:ascii="Times New Roman" w:eastAsia="Times New Roman" w:hAnsi="Times New Roman" w:cs="Times New Roman"/>
          <w:i w:val="0"/>
          <w:iCs w:val="0"/>
          <w:color w:val="auto"/>
          <w:kern w:val="0"/>
          <w:sz w:val="24"/>
          <w:szCs w:val="24"/>
          <w14:ligatures w14:val="none"/>
        </w:rPr>
        <w:t xml:space="preserve"> </w:t>
      </w:r>
      <w:r w:rsidR="00077AF7" w:rsidRPr="00077AF7">
        <w:rPr>
          <w:rFonts w:ascii="Times New Roman" w:eastAsia="Times New Roman" w:hAnsi="Times New Roman" w:cs="Times New Roman"/>
          <w:i w:val="0"/>
          <w:iCs w:val="0"/>
          <w:color w:val="auto"/>
          <w:kern w:val="0"/>
          <w:sz w:val="24"/>
          <w:szCs w:val="24"/>
          <w14:ligatures w14:val="none"/>
        </w:rPr>
        <w:t>The estimates display no systematic pre-treatment pattern, and a joint Wald test fails to reject the null that the early leads are jointly zero (p = 0.96), providing no strong evidence of anticipation effects.</w:t>
      </w:r>
    </w:p>
    <w:p w14:paraId="1E3B6D19" w14:textId="6CB9F7BD" w:rsidR="00546C22" w:rsidRDefault="00DF169C" w:rsidP="001A49C0">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Finally, allowing for country-specific dynamic effects yields similar patterns</w:t>
      </w:r>
      <w:r w:rsidR="004D461D">
        <w:rPr>
          <w:rFonts w:ascii="Times New Roman" w:eastAsia="Times New Roman" w:hAnsi="Times New Roman" w:cs="Times New Roman"/>
          <w:i w:val="0"/>
          <w:iCs w:val="0"/>
          <w:color w:val="auto"/>
          <w:kern w:val="0"/>
          <w:sz w:val="24"/>
          <w:szCs w:val="24"/>
          <w14:ligatures w14:val="none"/>
        </w:rPr>
        <w:t xml:space="preserve"> where</w:t>
      </w:r>
      <w:r>
        <w:rPr>
          <w:rFonts w:ascii="Times New Roman" w:eastAsia="Times New Roman" w:hAnsi="Times New Roman" w:cs="Times New Roman"/>
          <w:i w:val="0"/>
          <w:iCs w:val="0"/>
          <w:color w:val="auto"/>
          <w:kern w:val="0"/>
          <w:sz w:val="24"/>
          <w:szCs w:val="24"/>
          <w14:ligatures w14:val="none"/>
        </w:rPr>
        <w:t xml:space="preserve"> post-treatment coefficients are consistently negative across EU countries, while pre-treatment estimates remain close to zero (Figure 3). The only exception is Portugal, whose applications did not immediately collapse in 2021. This can be traced to a UCAS data reporting issue because in the 2021 cycle some Recorded Prior Acceptances (RPAs) were mistakenly submitted as domiciled in Portugal, so the true number of Portugal-domiciled RPAs is lower than the reported figure for that cycle (UCAS, 2022). </w:t>
      </w:r>
    </w:p>
    <w:p w14:paraId="35620D90" w14:textId="77777777" w:rsidR="004D461D" w:rsidRPr="004D461D" w:rsidRDefault="004D461D" w:rsidP="004D461D"/>
    <w:p w14:paraId="6C66B4ED" w14:textId="05453416" w:rsidR="00F55577" w:rsidRPr="00F55577" w:rsidRDefault="00F55577"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3.</w:t>
      </w:r>
      <w:r>
        <w:rPr>
          <w:rFonts w:ascii="Times New Roman" w:hAnsi="Times New Roman" w:cs="Times New Roman"/>
          <w:color w:val="000000" w:themeColor="text1"/>
        </w:rPr>
        <w:t xml:space="preserve"> Saturated DiD event-study estimates by country.</w:t>
      </w:r>
    </w:p>
    <w:p w14:paraId="269FA5F4" w14:textId="1A4BE120" w:rsidR="00590BD3" w:rsidRPr="00585B1F" w:rsidRDefault="003C3212" w:rsidP="00E25058">
      <w:pPr>
        <w:pStyle w:val="NormalWeb"/>
        <w:spacing w:before="0" w:beforeAutospacing="0" w:after="0" w:afterAutospacing="0" w:line="360" w:lineRule="auto"/>
      </w:pPr>
      <w:r>
        <w:rPr>
          <w:noProof/>
        </w:rPr>
        <w:drawing>
          <wp:inline distT="0" distB="0" distL="0" distR="0" wp14:anchorId="6C084DC8" wp14:editId="1C4F34CB">
            <wp:extent cx="5731510" cy="4093936"/>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093936"/>
                    </a:xfrm>
                    <a:prstGeom prst="rect">
                      <a:avLst/>
                    </a:prstGeom>
                  </pic:spPr>
                </pic:pic>
              </a:graphicData>
            </a:graphic>
          </wp:inline>
        </w:drawing>
      </w:r>
    </w:p>
    <w:p w14:paraId="385F2C16" w14:textId="372EF97E" w:rsidR="00F55577" w:rsidRPr="00F55577" w:rsidRDefault="00F55577" w:rsidP="00E25058">
      <w:pPr>
        <w:spacing w:line="360" w:lineRule="auto"/>
        <w:rPr>
          <w:rFonts w:ascii="Times New Roman" w:hAnsi="Times New Roman" w:cs="Times New Roman"/>
          <w:iCs/>
          <w:sz w:val="20"/>
        </w:rPr>
      </w:pPr>
      <w:r>
        <w:rPr>
          <w:rFonts w:ascii="Times New Roman" w:hAnsi="Times New Roman" w:cs="Times New Roman"/>
          <w:iCs/>
          <w:sz w:val="20"/>
        </w:rPr>
        <w:t xml:space="preserve">Note: 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 All results were completely replicated in Python and the output was the same. </w:t>
      </w:r>
    </w:p>
    <w:p w14:paraId="60099ED9" w14:textId="463DE8E3" w:rsidR="00843F97" w:rsidRPr="00843F97" w:rsidRDefault="004B5756" w:rsidP="00E25058">
      <w:pPr>
        <w:pStyle w:val="NormalWeb"/>
        <w:numPr>
          <w:ilvl w:val="1"/>
          <w:numId w:val="35"/>
        </w:numPr>
        <w:spacing w:before="240" w:beforeAutospacing="0" w:after="240" w:afterAutospacing="0" w:line="360" w:lineRule="auto"/>
        <w:rPr>
          <w:b/>
          <w:i/>
          <w:iCs/>
        </w:rPr>
      </w:pPr>
      <w:r>
        <w:rPr>
          <w:b/>
          <w:i/>
          <w:iCs/>
          <w:lang w:val="bg-BG"/>
        </w:rPr>
        <w:t xml:space="preserve"> </w:t>
      </w:r>
      <w:r>
        <w:rPr>
          <w:b/>
          <w:i/>
          <w:iCs/>
        </w:rPr>
        <w:t>Baseline elasticities estimates and the heterogenous k</w:t>
      </w:r>
    </w:p>
    <w:p w14:paraId="1343E0B6" w14:textId="532697E1" w:rsidR="00BC6614" w:rsidRDefault="003C3212"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Let </w:t>
      </w:r>
      <w:bookmarkStart w:id="2" w:name="_Hlk233747148"/>
      <m:oMath>
        <m:r>
          <m:rPr>
            <m:scr m:val="script"/>
            <m:sty m:val="p"/>
          </m:rPr>
          <w:rPr>
            <w:rFonts w:ascii="Cambria Math" w:eastAsia="Times New Roman" w:hAnsi="Cambria Math" w:cs="Times New Roman"/>
            <w:kern w:val="0"/>
            <w:lang w:eastAsia="en-GB"/>
            <w14:ligatures w14:val="none"/>
          </w:rPr>
          <m:t>C</m:t>
        </m:r>
      </m:oMath>
      <w:bookmarkEnd w:id="2"/>
      <w:r>
        <w:rPr>
          <w:rFonts w:ascii="Times New Roman" w:eastAsia="Times New Roman" w:hAnsi="Times New Roman" w:cs="Times New Roman"/>
          <w:kern w:val="0"/>
          <w:lang w:eastAsia="en-GB"/>
          <w14:ligatures w14:val="none"/>
        </w:rPr>
        <w:t xml:space="preserve"> denote the set of origin countries, partitioned into the treated EU markets such that </w:t>
      </w:r>
      <m:oMath>
        <m:r>
          <m:rPr>
            <m:sty m:val="p"/>
          </m:rPr>
          <w:rPr>
            <w:rFonts w:ascii="Cambria Math" w:eastAsia="Times New Roman" w:hAnsi="Cambria Math" w:cs="Times New Roman"/>
            <w:kern w:val="0"/>
            <w:lang w:eastAsia="en-GB"/>
            <w14:ligatures w14:val="none"/>
          </w:rPr>
          <m:t>Ω⊂</m:t>
        </m:r>
        <m:r>
          <m:rPr>
            <m:scr m:val="script"/>
            <m:sty m:val="p"/>
          </m:rPr>
          <w:rPr>
            <w:rFonts w:ascii="Cambria Math" w:eastAsia="Times New Roman" w:hAnsi="Cambria Math" w:cs="Times New Roman"/>
            <w:kern w:val="0"/>
            <w:lang w:eastAsia="en-GB"/>
            <w14:ligatures w14:val="none"/>
          </w:rPr>
          <m:t>C</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and the candidate donor pool </w:t>
      </w:r>
      <m:oMath>
        <m:r>
          <m:rPr>
            <m:scr m:val="script"/>
            <m:sty m:val="p"/>
          </m:rPr>
          <w:rPr>
            <w:rFonts w:ascii="Cambria Math" w:eastAsia="Times New Roman" w:hAnsi="Cambria Math" w:cs="Times New Roman"/>
            <w:kern w:val="0"/>
            <w:lang w:eastAsia="en-GB"/>
            <w14:ligatures w14:val="none"/>
          </w:rPr>
          <m:t>D=C</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of non-EU markets. The empirical justification of the counterfactual European Union allows us to create a synthetic untreated group, enabling us to estimate the weighted saturated two-way DiD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57630CB9" w:rsidR="007E5A8E" w:rsidRPr="00936663" w:rsidRDefault="00ED3FB9"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3"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3"/>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524DCFED" w14:textId="58C9EBD1" w:rsidR="00C02D61" w:rsidRDefault="00BC6614" w:rsidP="00E25058">
      <w:pPr>
        <w:pStyle w:val="NormalWeb"/>
        <w:spacing w:before="0" w:beforeAutospacing="0" w:after="0" w:afterAutospacing="0" w:line="360" w:lineRule="auto"/>
      </w:pPr>
      <w:r>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t>) denotes applications from origin country (</w:t>
      </w:r>
      <m:oMath>
        <m:r>
          <w:rPr>
            <w:rFonts w:ascii="Cambria Math" w:hAnsi="Cambria Math"/>
          </w:rPr>
          <m:t>i∈</m:t>
        </m:r>
        <m:r>
          <m:rPr>
            <m:scr m:val="script"/>
            <m:sty m:val="p"/>
          </m:rPr>
          <w:rPr>
            <w:rFonts w:ascii="Cambria Math" w:hAnsi="Cambria Math" w:cstheme="minorHAnsi"/>
          </w:rPr>
          <m:t>C</m:t>
        </m:r>
      </m:oMath>
      <w:r>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oMath>
      <w:r>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captures the magnitude of the country-specific collapse in applications under a homogeneous price shock, relative to the</w:t>
      </w:r>
      <w:r>
        <w:rPr>
          <w:lang w:val="bg-BG"/>
        </w:rPr>
        <w:t xml:space="preserve"> </w:t>
      </w:r>
      <w:r>
        <w:t xml:space="preserve">synthetic EU. </w:t>
      </w:r>
    </w:p>
    <w:p w14:paraId="0CB720AA" w14:textId="0E84BE60" w:rsidR="002D122E" w:rsidRPr="001E429C" w:rsidRDefault="00C02D61" w:rsidP="00E25058">
      <w:pPr>
        <w:spacing w:line="360" w:lineRule="auto"/>
        <w:ind w:firstLine="720"/>
        <w:rPr>
          <w:rFonts w:ascii="Times New Roman" w:hAnsi="Times New Roman" w:cs="Times New Roman"/>
        </w:rPr>
      </w:pPr>
      <w:r>
        <w:rPr>
          <w:rFonts w:ascii="Times New Roman" w:hAnsi="Times New Roman" w:cs="Times New Roman"/>
        </w:rPr>
        <w:t>To distinguish between short-run and persistent effects, we further split the post-treatment period into two phases: 2021–2023, which captures the immediate response 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07C77479" w:rsidR="004E7B94" w:rsidRPr="00936663" w:rsidRDefault="00ED3FB9" w:rsidP="00E25058">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38231B81" w14:textId="2173EED1" w:rsidR="00C02D61" w:rsidRDefault="002D122E"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oMath>
      <w:r>
        <w:rPr>
          <w:rFonts w:ascii="Times New Roman" w:eastAsia="Times New Roman" w:hAnsi="Times New Roman" w:cs="Times New Roman"/>
          <w:kern w:val="0"/>
          <w:lang w:eastAsia="en-GB"/>
          <w14:ligatures w14:val="none"/>
        </w:rPr>
        <w:t xml:space="preserve"> as the </w:t>
      </w:r>
      <w:r>
        <w:rPr>
          <w:rFonts w:ascii="Times New Roman" w:eastAsia="Times New Roman" w:hAnsi="Times New Roman" w:cs="Times New Roman"/>
          <w:bCs/>
          <w:kern w:val="0"/>
          <w:lang w:eastAsia="en-GB"/>
          <w14:ligatures w14:val="none"/>
        </w:rPr>
        <w:t>short-run country specific response</w:t>
      </w:r>
      <w:r>
        <w:rPr>
          <w:rFonts w:ascii="Times New Roman" w:eastAsia="Times New Roman" w:hAnsi="Times New Roman" w:cs="Times New Roman"/>
          <w:kern w:val="0"/>
          <w:lang w:eastAsia="en-GB"/>
          <w14:ligatures w14:val="none"/>
        </w:rPr>
        <w:t xml:space="preserve"> (Brexit + COVID uncertainty)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oMath>
      <w:r>
        <w:rPr>
          <w:rFonts w:ascii="Times New Roman" w:eastAsia="Times New Roman" w:hAnsi="Times New Roman" w:cs="Times New Roman"/>
          <w:kern w:val="0"/>
          <w:lang w:eastAsia="en-GB"/>
          <w14:ligatures w14:val="none"/>
        </w:rPr>
        <w:t xml:space="preserve"> is the </w:t>
      </w:r>
      <w:r>
        <w:rPr>
          <w:rFonts w:ascii="Times New Roman" w:eastAsia="Times New Roman" w:hAnsi="Times New Roman" w:cs="Times New Roman"/>
          <w:bCs/>
          <w:kern w:val="0"/>
          <w:lang w:eastAsia="en-GB"/>
          <w14:ligatures w14:val="none"/>
        </w:rPr>
        <w:t>persistent structural response</w:t>
      </w:r>
      <w:r>
        <w:rPr>
          <w:rFonts w:ascii="Times New Roman" w:eastAsia="Times New Roman" w:hAnsi="Times New Roman" w:cs="Times New Roman"/>
          <w:kern w:val="0"/>
          <w:lang w:eastAsia="en-GB"/>
          <w14:ligatures w14:val="none"/>
        </w:rPr>
        <w:t xml:space="preserve"> (pure willingness-to-pay shift). The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provides the specific COVID impact on demand elasticities (mathematical proof for this in the supplementary materials). </w:t>
      </w:r>
    </w:p>
    <w:p w14:paraId="4134B28A" w14:textId="3A7FC17F" w:rsidR="00C02D61" w:rsidRPr="004B5756" w:rsidRDefault="008401D3"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coefficient can be mapped to a structural elasticity parameter through the following transformation (Bresnahan (1982) style): </w:t>
      </w:r>
    </w:p>
    <w:p w14:paraId="0D2EE965" w14:textId="1CA531B8" w:rsidR="00C02D61" w:rsidRDefault="00ED3FB9"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oMath>
      <w:r w:rsidR="007206E6">
        <w:rPr>
          <w:rFonts w:ascii="Times New Roman" w:eastAsia="Times New Roman" w:hAnsi="Times New Roman" w:cs="Times New Roman"/>
          <w:kern w:val="0"/>
          <w:lang w:eastAsia="en-GB"/>
          <w14:ligatures w14:val="none"/>
        </w:rPr>
        <w:t>,</w:t>
      </w:r>
    </w:p>
    <w:p w14:paraId="06E69540" w14:textId="48A599DB" w:rsidR="00B4644D" w:rsidRPr="00B4644D" w:rsidRDefault="007523E8" w:rsidP="00036CFB">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price elasticity (with expected negative sign due to the negative slope of the demand curve). </w:t>
      </w:r>
      <w:r>
        <w:rPr>
          <w:rFonts w:ascii="Times New Roman" w:eastAsia="Times New Roman" w:hAnsi="Times New Roman" w:cs="Times New Roman"/>
        </w:rPr>
        <w:t xml:space="preserve">To allow heterogeneous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w:t>
      </w:r>
      <w:r>
        <w:rPr>
          <w:rFonts w:ascii="Times New Roman" w:eastAsia="Times New Roman" w:hAnsi="Times New Roman" w:cs="Times New Roman"/>
        </w:rPr>
        <w:lastRenderedPageBreak/>
        <w:t xml:space="preserve">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years. Interest accrues at the Retail Price Index (RPI) plus up to three percentage points, depending on income (UK Government, n.d.-c). Instead of replicating the full income-dependent interest schedule, we model the economic burden of the loan as the present value of expected repayments and discount repayment flows at a constant rate δ. The present value of the loan is therefore defined as:</w:t>
      </w:r>
    </w:p>
    <w:p w14:paraId="10B18E1F" w14:textId="3D35C2E7" w:rsidR="00B4644D" w:rsidRPr="00B4644D" w:rsidRDefault="00ED3FB9" w:rsidP="00036CFB">
      <w:pPr>
        <w:spacing w:before="100" w:beforeAutospacing="1" w:after="100" w:afterAutospacing="1" w:line="360" w:lineRule="auto"/>
        <w:jc w:val="both"/>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jt</m:t>
              </m:r>
            </m:sub>
          </m:sSub>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min</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0, </m:t>
                          </m:r>
                          <m:sSubSup>
                            <m:sSubSupPr>
                              <m:ctrlPr>
                                <w:rPr>
                                  <w:rFonts w:ascii="Cambria Math" w:eastAsia="Times New Roman" w:hAnsi="Cambria Math" w:cs="Times New Roman"/>
                                  <w:i/>
                                </w:rPr>
                              </m:ctrlPr>
                            </m:sSubSupPr>
                            <m:e>
                              <m:r>
                                <w:rPr>
                                  <w:rFonts w:ascii="Cambria Math" w:eastAsia="Times New Roman" w:hAnsi="Cambria Math" w:cs="Times New Roman"/>
                                </w:rPr>
                                <m:t>w</m:t>
                              </m:r>
                            </m:e>
                            <m:sub>
                              <m:r>
                                <w:rPr>
                                  <w:rFonts w:ascii="Cambria Math" w:eastAsia="Times New Roman" w:hAnsi="Cambria Math" w:cs="Times New Roman"/>
                                </w:rPr>
                                <m:t>j</m:t>
                              </m:r>
                            </m:sub>
                            <m:sup>
                              <m:r>
                                <w:rPr>
                                  <w:rFonts w:ascii="Cambria Math" w:eastAsia="Times New Roman" w:hAnsi="Cambria Math" w:cs="Times New Roman"/>
                                </w:rPr>
                                <m:t>GBP</m:t>
                              </m:r>
                            </m:sup>
                          </m:sSubSup>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d>
                    </m:e>
                  </m:func>
                  <m:r>
                    <w:rPr>
                      <w:rFonts w:ascii="Cambria Math" w:eastAsia="Times New Roman" w:hAnsi="Cambria Math" w:cs="Times New Roman"/>
                    </w:rPr>
                    <m:t xml:space="preserve">, </m:t>
                  </m:r>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r>
                            <w:rPr>
                              <w:rFonts w:ascii="Cambria Math" w:eastAsia="Times New Roman" w:hAnsi="Cambria Math" w:cs="Times New Roman"/>
                            </w:rPr>
                            <m:t>L-</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s=1</m:t>
                              </m:r>
                            </m:sub>
                            <m:sup>
                              <m:r>
                                <w:rPr>
                                  <w:rFonts w:ascii="Cambria Math" w:eastAsia="Times New Roman" w:hAnsi="Cambria Math" w:cs="Times New Roman"/>
                                </w:rPr>
                                <m:t>t-1</m:t>
                              </m:r>
                            </m:sup>
                            <m:e>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js</m:t>
                                  </m:r>
                                </m:sub>
                              </m:sSub>
                            </m:e>
                          </m:nary>
                        </m:e>
                      </m:d>
                    </m:e>
                    <m:sub>
                      <m:r>
                        <w:rPr>
                          <w:rFonts w:ascii="Cambria Math" w:eastAsia="Times New Roman" w:hAnsi="Cambria Math" w:cs="Times New Roman"/>
                        </w:rPr>
                        <m:t>+</m:t>
                      </m:r>
                    </m:sub>
                  </m:sSub>
                </m:e>
              </m:d>
            </m:e>
          </m:func>
        </m:oMath>
      </m:oMathPara>
    </w:p>
    <w:p w14:paraId="5282F414" w14:textId="40E0A8C1" w:rsidR="00B4644D" w:rsidRDefault="00B4644D" w:rsidP="00036CFB">
      <w:pPr>
        <w:spacing w:before="100" w:beforeAutospacing="1" w:after="100" w:afterAutospacing="1" w:line="360" w:lineRule="auto"/>
        <w:jc w:val="both"/>
        <w:rPr>
          <w:rFonts w:ascii="Times New Roman" w:eastAsia="Times New Roman" w:hAnsi="Times New Roman" w:cs="Times New Roman"/>
        </w:rPr>
      </w:pPr>
      <m:oMathPara>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Sup>
                <m:sSubSupPr>
                  <m:ctrlPr>
                    <w:rPr>
                      <w:rFonts w:ascii="Cambria Math" w:eastAsia="Times New Roman" w:hAnsi="Cambria Math" w:cs="Times New Roman"/>
                      <w:i/>
                    </w:rPr>
                  </m:ctrlPr>
                </m:sSubSupPr>
                <m:e>
                  <m:r>
                    <w:rPr>
                      <w:rFonts w:ascii="Cambria Math" w:eastAsia="Times New Roman" w:hAnsi="Cambria Math" w:cs="Times New Roman"/>
                    </w:rPr>
                    <m:t>w</m:t>
                  </m:r>
                </m:e>
                <m:sub>
                  <m:r>
                    <w:rPr>
                      <w:rFonts w:ascii="Cambria Math" w:eastAsia="Times New Roman" w:hAnsi="Cambria Math" w:cs="Times New Roman"/>
                    </w:rPr>
                    <m:t>j</m:t>
                  </m:r>
                </m:sub>
                <m:sup>
                  <m:r>
                    <w:rPr>
                      <w:rFonts w:ascii="Cambria Math" w:eastAsia="Times New Roman" w:hAnsi="Cambria Math" w:cs="Times New Roman"/>
                    </w:rPr>
                    <m:t>GBP</m:t>
                  </m:r>
                </m:sup>
              </m:sSubSup>
            </m:e>
          </m:d>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 xml:space="preserve">1, </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jt</m:t>
                              </m:r>
                            </m:sub>
                          </m:sSub>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e>
              </m:d>
            </m:e>
          </m:func>
        </m:oMath>
      </m:oMathPara>
    </w:p>
    <w:p w14:paraId="2EA6E2DE" w14:textId="77777777" w:rsidR="00BE513A" w:rsidRDefault="00B4644D" w:rsidP="00CB19A3">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m:oMath>
        <m:r>
          <w:rPr>
            <w:rFonts w:ascii="Cambria Math" w:eastAsia="Times New Roman" w:hAnsi="Cambria Math" w:cs="Times New Roman"/>
          </w:rPr>
          <m:t>L=£9,250</m:t>
        </m:r>
      </m:oMath>
      <w:r>
        <w:rPr>
          <w:rFonts w:ascii="Times New Roman" w:eastAsia="Times New Roman" w:hAnsi="Times New Roman" w:cs="Times New Roman"/>
        </w:rPr>
        <w:t xml:space="preserve"> and </w:t>
      </w:r>
      <m:oMath>
        <m:sSub>
          <m:sSubPr>
            <m:ctrlPr>
              <w:rPr>
                <w:rFonts w:ascii="Cambria Math" w:eastAsia="Times New Roman" w:hAnsi="Cambria Math" w:cs="Times New Roman"/>
                <w:i/>
              </w:rPr>
            </m:ctrlPr>
          </m:sSubPr>
          <m:e>
            <m:d>
              <m:dPr>
                <m:begChr m:val="["/>
                <m:endChr m:val="]"/>
                <m:ctrlPr>
                  <w:rPr>
                    <w:rFonts w:ascii="Cambria Math" w:eastAsia="Times New Roman" w:hAnsi="Cambria Math" w:cs="Times New Roman"/>
                    <w:i/>
                  </w:rPr>
                </m:ctrlPr>
              </m:dPr>
              <m:e>
                <m:r>
                  <w:rPr>
                    <w:rFonts w:ascii="Cambria Math" w:eastAsia="Times New Roman" w:hAnsi="Cambria Math" w:cs="Times New Roman"/>
                  </w:rPr>
                  <m:t>x</m:t>
                </m:r>
              </m:e>
            </m:d>
          </m:e>
          <m:sub>
            <m:r>
              <w:rPr>
                <w:rFonts w:ascii="Cambria Math" w:eastAsia="Times New Roman" w:hAnsi="Cambria Math" w:cs="Times New Roman"/>
              </w:rPr>
              <m:t>+</m:t>
            </m:r>
          </m:sub>
        </m:sSub>
        <m:r>
          <w:rPr>
            <w:rFonts w:ascii="Cambria Math" w:eastAsia="Times New Roman" w:hAnsi="Cambria Math" w:cs="Times New Roman"/>
          </w:rPr>
          <m:t>=</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d>
              <m:dPr>
                <m:begChr m:val="{"/>
                <m:endChr m:val="}"/>
                <m:ctrlPr>
                  <w:rPr>
                    <w:rFonts w:ascii="Cambria Math" w:eastAsia="Times New Roman" w:hAnsi="Cambria Math" w:cs="Times New Roman"/>
                    <w:i/>
                  </w:rPr>
                </m:ctrlPr>
              </m:dPr>
              <m:e>
                <m:r>
                  <w:rPr>
                    <w:rFonts w:ascii="Cambria Math" w:eastAsia="Times New Roman" w:hAnsi="Cambria Math" w:cs="Times New Roman"/>
                  </w:rPr>
                  <m:t>x,0</m:t>
                </m:r>
              </m:e>
            </m:d>
          </m:e>
        </m:func>
      </m:oMath>
      <w:r>
        <w:rPr>
          <w:rFonts w:ascii="Times New Roman" w:eastAsia="Times New Roman" w:hAnsi="Times New Roman" w:cs="Times New Roman"/>
        </w:rPr>
        <w:t xml:space="preserve">. In the baseline specification, we set </w:t>
      </w:r>
      <m:oMath>
        <m:r>
          <w:rPr>
            <w:rFonts w:ascii="Cambria Math" w:eastAsia="Times New Roman" w:hAnsi="Cambria Math" w:cs="Times New Roman"/>
          </w:rPr>
          <m:t>δ=3%</m:t>
        </m:r>
      </m:oMath>
      <w:r>
        <w:rPr>
          <w:rFonts w:ascii="Times New Roman" w:eastAsia="Times New Roman" w:hAnsi="Times New Roman" w:cs="Times New Roman"/>
        </w:rPr>
        <w:t xml:space="preserve"> and </w:t>
      </w:r>
      <m:oMath>
        <m:r>
          <w:rPr>
            <w:rFonts w:ascii="Cambria Math" w:eastAsia="Times New Roman" w:hAnsi="Cambria Math" w:cs="Times New Roman"/>
          </w:rPr>
          <m:t>g=2%</m:t>
        </m:r>
      </m:oMath>
      <w:r>
        <w:rPr>
          <w:rFonts w:ascii="Times New Roman" w:eastAsia="Times New Roman" w:hAnsi="Times New Roman" w:cs="Times New Roman"/>
        </w:rPr>
        <w:t xml:space="preserve">. The maximum operator is defined in this way so the logarithmic transformation will be defined even for zero valued present values of the income contingent loan. We set annual nominal wage growth to g=0.02, treating wages as growing at a conservative nominal rate anchored to the ECB’s symmetric 2% medium-term inflation target. The ECB’s Governing Council states that price stability is best maintained by aiming for 2% inflation over the medium term, with negative and positive deviations treated as equally undesirable </w:t>
      </w:r>
      <w:r w:rsidRPr="00BE513A">
        <w:rPr>
          <w:rFonts w:ascii="Times New Roman" w:eastAsia="Times New Roman" w:hAnsi="Times New Roman" w:cs="Times New Roman"/>
          <w:highlight w:val="yellow"/>
        </w:rPr>
        <w:t>(European Central Bank, 2021)</w:t>
      </w:r>
      <w:r>
        <w:rPr>
          <w:rFonts w:ascii="Times New Roman" w:eastAsia="Times New Roman" w:hAnsi="Times New Roman" w:cs="Times New Roman"/>
        </w:rPr>
        <w:t>.</w:t>
      </w:r>
    </w:p>
    <w:p w14:paraId="1BDCF9FA" w14:textId="3868FC61" w:rsidR="00240916" w:rsidRPr="00240916" w:rsidRDefault="00240916" w:rsidP="00CB19A3">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We estimate the present value based on the average country specific wage (</w:t>
      </w:r>
      <m:oMath>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p w14:paraId="4AEAFDD2" w14:textId="3B6BD2A0" w:rsidR="00C02D61" w:rsidRPr="00C02D61" w:rsidRDefault="00ED3FB9" w:rsidP="00A63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kern w:val="0"/>
                  <w:lang w:eastAsia="en-GB"/>
                  <w14:ligatures w14:val="none"/>
                </w:rPr>
                <m:t>)</m:t>
              </m:r>
            </m:e>
          </m:func>
        </m:oMath>
      </m:oMathPara>
    </w:p>
    <w:p w14:paraId="0A59C82E" w14:textId="2470BB74" w:rsidR="00C363D1" w:rsidRDefault="00C02D6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up>
            <m:r>
              <w:rPr>
                <w:rFonts w:ascii="Cambria Math" w:eastAsia="Times New Roman" w:hAnsi="Cambria Math" w:cs="Times New Roman"/>
                <w:kern w:val="0"/>
                <w:lang w:eastAsia="en-GB"/>
                <w14:ligatures w14:val="none"/>
              </w:rPr>
              <m:t>GBP</m:t>
            </m:r>
          </m:sup>
        </m:sSubSup>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average annual salary in pounds (for 2024, converted from euros at an exchange rate of 0.85)</w:t>
      </w:r>
      <w:r w:rsidR="00BE513A">
        <w:rPr>
          <w:rStyle w:val="FootnoteReference"/>
          <w:rFonts w:ascii="Times New Roman" w:eastAsia="Times New Roman" w:hAnsi="Times New Roman" w:cs="Times New Roman"/>
          <w:kern w:val="0"/>
          <w:lang w:eastAsia="en-GB"/>
          <w14:ligatures w14:val="none"/>
        </w:rPr>
        <w:footnoteReference w:id="2"/>
      </w:r>
      <w:r>
        <w:rPr>
          <w:rFonts w:ascii="Times New Roman" w:eastAsia="Times New Roman" w:hAnsi="Times New Roman" w:cs="Times New Roman"/>
          <w:kern w:val="0"/>
          <w:lang w:eastAsia="en-GB"/>
          <w14:ligatures w14:val="none"/>
        </w:rPr>
        <w:t xml:space="preserve"> </w:t>
      </w:r>
    </w:p>
    <w:p w14:paraId="31D2F6E2" w14:textId="661D735C" w:rsidR="006D7D8E"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ab/>
        <w:t>Intuitively, the calculation can be read from the perspective of a student graduating in 2024. The student asks how much they would actually repay under the old income-contingent loan system, given their expected first post-graduation wage. We therefore use the 2024 wage as the starting point, project it forward over 30 years, calculate annual repayments under the loan rule, and discount those future repayments back to 2024. This gives the effective price of the old regime. Upon peer-review objections,</w:t>
      </w:r>
      <w:r>
        <w:rPr>
          <w:rFonts w:ascii="Times New Roman" w:eastAsia="Times New Roman" w:hAnsi="Times New Roman" w:cs="Times New Roman"/>
          <w:kern w:val="0"/>
          <w:lang w:val="bg-BG" w:eastAsia="en-GB"/>
          <w14:ligatures w14:val="none"/>
        </w:rPr>
        <w:t xml:space="preserve"> </w:t>
      </w:r>
      <w:r>
        <w:rPr>
          <w:rFonts w:ascii="Times New Roman" w:eastAsia="Times New Roman" w:hAnsi="Times New Roman" w:cs="Times New Roman"/>
          <w:kern w:val="0"/>
          <w:lang w:eastAsia="en-GB"/>
          <w14:ligatures w14:val="none"/>
        </w:rPr>
        <w:t>we would like to mention that discounting the £22,200 price would be inappropriate in this setup because it would reclassify a current tuition obligation as if it were a deferred income-contingent repayment stream. The asymmetry is therefore institutional and not arbitrary. The old price is mediated through a future repayment contract, whereas the new price is a direct posted fee.</w:t>
      </w:r>
    </w:p>
    <w:p w14:paraId="6B092E6C" w14:textId="02BBC4D0" w:rsidR="00130520" w:rsidRPr="00AE44BF" w:rsidRDefault="00C363D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This step of discounting here is crucial because under the standard shift from 9250 pounds and no heterogeneity assumption </w:t>
      </w:r>
      <m:oMath>
        <m:r>
          <w:rPr>
            <w:rFonts w:ascii="Cambria Math" w:eastAsia="Times New Roman" w:hAnsi="Cambria Math" w:cs="Times New Roman"/>
            <w:kern w:val="0"/>
            <w:lang w:eastAsia="en-GB"/>
            <w14:ligatures w14:val="none"/>
          </w:rPr>
          <m:t>k</m:t>
        </m:r>
      </m:oMath>
      <w:r>
        <w:rPr>
          <w:rFonts w:ascii="Times New Roman" w:eastAsia="Times New Roman" w:hAnsi="Times New Roman" w:cs="Times New Roman"/>
          <w:kern w:val="0"/>
          <w:lang w:eastAsia="en-GB"/>
          <w14:ligatures w14:val="none"/>
        </w:rPr>
        <w:t xml:space="preserve"> is 0.875. Clifton-Sprigg (2025) assumes one unique price change (from the old price of 9250 to 22200) but the above equation allows us to relax this assumption. This extension is especially relevant in light of Solís’s (2017) findings that </w:t>
      </w:r>
      <w:r>
        <w:rPr>
          <w:rFonts w:ascii="Times New Roman" w:hAnsi="Times New Roman" w:cs="Times New Roman"/>
        </w:rPr>
        <w:t>credit access leads to a 100 percent increase in immediate college enrollment and a 50 percent increase in the probability of ever enrolling.</w:t>
      </w:r>
    </w:p>
    <w:p w14:paraId="25EE0884" w14:textId="5A46E01E" w:rsidR="00CA68E8" w:rsidRPr="00AE44BF" w:rsidRDefault="0013052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rsidRPr="00AE44BF" w14:paraId="37B91268" w14:textId="77777777" w:rsidTr="005341D9">
        <w:tc>
          <w:tcPr>
            <w:tcW w:w="8500" w:type="dxa"/>
          </w:tcPr>
          <w:p w14:paraId="5832ED1F" w14:textId="2856B009" w:rsidR="004E7B94" w:rsidRPr="00AE44BF" w:rsidRDefault="00ED3FB9" w:rsidP="00E25058">
            <w:pPr>
              <w:spacing w:line="360" w:lineRule="auto"/>
              <w:rPr>
                <w:rFonts w:ascii="Times New Roman" w:eastAsia="Times New Roman" w:hAnsi="Times New Roman" w:cs="Times New Roman"/>
                <w:kern w:val="0"/>
                <w:lang w:eastAsia="en-GB"/>
                <w14:ligatures w14:val="none"/>
              </w:rPr>
            </w:pPr>
            <m:oMathPara>
              <m:oMathParaPr>
                <m:jc m:val="left"/>
              </m:oMathParaPr>
              <m:oMath>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+γ</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X</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ρ+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AE44BF"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2EDCB64E" w14:textId="214E7CF7" w:rsidR="00DE1FF0" w:rsidRDefault="00CA68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level. 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E25058">
      <w:pPr>
        <w:pStyle w:val="ListParagraph"/>
        <w:numPr>
          <w:ilvl w:val="0"/>
          <w:numId w:val="35"/>
        </w:numPr>
        <w:spacing w:before="240" w:after="240" w:line="360" w:lineRule="auto"/>
        <w:rPr>
          <w:rFonts w:ascii="Times New Roman" w:hAnsi="Times New Roman" w:cs="Times New Roman"/>
          <w:b/>
          <w:i/>
          <w:iCs/>
          <w:sz w:val="28"/>
        </w:rPr>
      </w:pPr>
      <w:r>
        <w:rPr>
          <w:rFonts w:ascii="Times New Roman" w:hAnsi="Times New Roman" w:cs="Times New Roman"/>
          <w:b/>
          <w:i/>
          <w:iCs/>
          <w:sz w:val="28"/>
        </w:rPr>
        <w:t>Results</w:t>
      </w:r>
    </w:p>
    <w:p w14:paraId="010BD2C5" w14:textId="28F0EA2D" w:rsidR="00693E35" w:rsidRDefault="00E25058" w:rsidP="00E25058">
      <w:pPr>
        <w:pStyle w:val="NormalWeb"/>
        <w:numPr>
          <w:ilvl w:val="1"/>
          <w:numId w:val="35"/>
        </w:numPr>
        <w:spacing w:before="240" w:beforeAutospacing="0" w:after="240" w:afterAutospacing="0" w:line="360" w:lineRule="auto"/>
        <w:rPr>
          <w:b/>
          <w:i/>
          <w:iCs/>
        </w:rPr>
      </w:pPr>
      <w:r>
        <w:rPr>
          <w:b/>
          <w:i/>
          <w:iCs/>
        </w:rPr>
        <w:t xml:space="preserve"> Estimated baseline elasticities</w:t>
      </w:r>
    </w:p>
    <w:p w14:paraId="7FDC8DD3" w14:textId="63830E78" w:rsidR="005C6E0B" w:rsidRDefault="0031237C" w:rsidP="00E25058">
      <w:pPr>
        <w:pStyle w:val="NormalWeb"/>
        <w:spacing w:before="0" w:beforeAutospacing="0" w:after="0" w:afterAutospacing="0" w:line="360" w:lineRule="auto"/>
        <w:ind w:firstLine="360"/>
      </w:pPr>
      <w:r>
        <w:t xml:space="preserve">Following the empirical strategy, Figure 4 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E25058">
      <w:pPr>
        <w:pStyle w:val="Caption"/>
        <w:keepNext/>
        <w:spacing w:after="0" w:line="360" w:lineRule="auto"/>
        <w:rPr>
          <w:rFonts w:ascii="Times New Roman" w:hAnsi="Times New Roman" w:cs="Times New Roman"/>
        </w:rPr>
      </w:pPr>
      <w:r>
        <w:rPr>
          <w:rFonts w:ascii="Times New Roman" w:hAnsi="Times New Roman" w:cs="Times New Roman"/>
          <w:b/>
        </w:rPr>
        <w:lastRenderedPageBreak/>
        <w:t>Figure 4.</w:t>
      </w:r>
      <w:r>
        <w:rPr>
          <w:rFonts w:ascii="Times New Roman" w:hAnsi="Times New Roman" w:cs="Times New Roman"/>
        </w:rPr>
        <w:t xml:space="preserve"> Decomposition of the post-Brexit demand elasticities by treated country. </w:t>
      </w:r>
    </w:p>
    <w:p w14:paraId="589E9B2F" w14:textId="46330FE8" w:rsidR="005C6E0B" w:rsidRDefault="003C3212" w:rsidP="00E25058">
      <w:pPr>
        <w:keepNext/>
        <w:spacing w:line="360" w:lineRule="auto"/>
      </w:pPr>
      <w:r>
        <w:rPr>
          <w:noProof/>
        </w:rPr>
        <w:drawing>
          <wp:inline distT="0" distB="0" distL="0" distR="0" wp14:anchorId="2FF60C40" wp14:editId="35A51306">
            <wp:extent cx="5731510" cy="409393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93936"/>
                    </a:xfrm>
                    <a:prstGeom prst="rect">
                      <a:avLst/>
                    </a:prstGeom>
                  </pic:spPr>
                </pic:pic>
              </a:graphicData>
            </a:graphic>
          </wp:inline>
        </w:drawing>
      </w:r>
    </w:p>
    <w:p w14:paraId="4BFD99B0" w14:textId="1C03E8FE" w:rsidR="005C6E0B" w:rsidRPr="00637D97" w:rsidRDefault="005C6E0B" w:rsidP="00E25058">
      <w:pPr>
        <w:pStyle w:val="Caption"/>
        <w:spacing w:after="0" w:line="360" w:lineRule="auto"/>
        <w:rPr>
          <w:rFonts w:ascii="Times New Roman" w:hAnsi="Times New Roman" w:cs="Times New Roman"/>
          <w:i w:val="0"/>
          <w:iCs w:val="0"/>
          <w:color w:val="000000" w:themeColor="text1"/>
        </w:rPr>
      </w:pPr>
      <w:r>
        <w:rPr>
          <w:rFonts w:ascii="Times New Roman" w:hAnsi="Times New Roman" w:cs="Times New Roman"/>
          <w:i w:val="0"/>
          <w:color w:val="000000" w:themeColor="text1"/>
        </w:rPr>
        <w:t>Note:  The structural log elasticities are obtained from the division of the country-specific effect (</w:t>
      </w:r>
      <m:oMath>
        <m:sSub>
          <m:sSubPr>
            <m:ctrlPr>
              <w:rPr>
                <w:rFonts w:ascii="Cambria Math" w:hAnsi="Cambria Math" w:cs="Times New Roman"/>
                <w:i w:val="0"/>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j</m:t>
            </m:r>
          </m:sub>
        </m:sSub>
        <m:r>
          <w:rPr>
            <w:rFonts w:ascii="Cambria Math" w:hAnsi="Cambria Math" w:cs="Times New Roman"/>
            <w:color w:val="000000" w:themeColor="text1"/>
          </w:rPr>
          <m:t>)</m:t>
        </m:r>
      </m:oMath>
      <w:r>
        <w:rPr>
          <w:rFonts w:ascii="Times New Roman" w:eastAsiaTheme="minorEastAsia" w:hAnsi="Times New Roman" w:cs="Times New Roman"/>
          <w:i w:val="0"/>
          <w:color w:val="000000" w:themeColor="text1"/>
        </w:rPr>
        <w:t xml:space="preserve"> by 0.875.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Pr>
          <w:rFonts w:ascii="Times New Roman" w:eastAsiaTheme="minorEastAsia" w:hAnsi="Times New Roman" w:cs="Times New Roman"/>
          <w:i w:val="0"/>
          <w:color w:val="000000" w:themeColor="text1"/>
        </w:rPr>
        <w:t xml:space="preserve">. The transformation of </w:t>
      </w:r>
      <m:oMath>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oMath>
      <w:r>
        <w:rPr>
          <w:rFonts w:ascii="Times New Roman" w:eastAsiaTheme="minorEastAsia" w:hAnsi="Times New Roman" w:cs="Times New Roman"/>
          <w:i w:val="0"/>
          <w:color w:val="000000" w:themeColor="text1"/>
        </w:rPr>
        <w:t xml:space="preserve"> is valid only if the software is using logarithmic transformations in natural logarithms. Since R uses natural logarithms as default this transformation is safe. </w:t>
      </w:r>
      <w:r>
        <w:rPr>
          <w:rFonts w:ascii="Times New Roman" w:hAnsi="Times New Roman" w:cs="Times New Roman"/>
          <w:i w:val="0"/>
          <w:iCs w:val="0"/>
          <w:color w:val="000000" w:themeColor="text1"/>
        </w:rPr>
        <w:t>Used are</w:t>
      </w:r>
      <w:r>
        <w:rPr>
          <w:i w:val="0"/>
          <w:color w:val="000000" w:themeColor="text1"/>
        </w:rPr>
        <w:t xml:space="preserve"> </w:t>
      </w:r>
      <w:r>
        <w:rPr>
          <w:rFonts w:ascii="Times New Roman" w:hAnsi="Times New Roman" w:cs="Times New Roman"/>
          <w:i w:val="0"/>
          <w:color w:val="000000" w:themeColor="text1"/>
        </w:rPr>
        <w:t>Driscoll-Kraay (L=1)</w:t>
      </w:r>
      <w:r>
        <w:rPr>
          <w:rFonts w:ascii="Times New Roman" w:hAnsi="Times New Roman" w:cs="Times New Roman"/>
          <w:i w:val="0"/>
          <w:iCs w:val="0"/>
          <w:color w:val="000000" w:themeColor="text1"/>
        </w:rPr>
        <w:t xml:space="preserve"> standard errors consistently and across all the presented models. Details in the online appendix.</w:t>
      </w:r>
    </w:p>
    <w:p w14:paraId="028E3B97" w14:textId="7B197D5B" w:rsidR="005C6E0B" w:rsidRDefault="005C6E0B" w:rsidP="00E25058">
      <w:pPr>
        <w:pStyle w:val="NormalWeb"/>
        <w:spacing w:before="0" w:beforeAutospacing="0" w:after="0" w:afterAutospacing="0" w:line="360" w:lineRule="auto"/>
        <w:ind w:firstLine="720"/>
      </w:pPr>
      <w:r>
        <w:t xml:space="preserve">The results indicate a large and widespread contraction in demand. Across EU countries, applications declined substantially following the introduction of international tuition fees, with estimated effects corresponding to reductions of roughly 30% (Malta) to the worst cases of 89% in Lithuania and 85% in Bulgaria, relative to the control group. The average effect implies a decline of approximately 67%.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−0.42 and −0.6, indicating relatively inelastic demand. By contrast, lower-income EU countries – including Bulgaria, Romania, Lithuania, Croatia, and Latvia – exhibit elasticities below −2, with Lithuania approaching −3, indicating relatively elastic demand. This leads to the misleading interpretation that the demand in </w:t>
      </w:r>
      <w:r>
        <w:lastRenderedPageBreak/>
        <w:t xml:space="preserve">poorer countries is less resilient to tuition changes as well as that students from such countries are less “motivated” to apply. We later show that this is an incorrect interpretation. </w:t>
      </w:r>
    </w:p>
    <w:p w14:paraId="3F621391" w14:textId="1BCA3A71" w:rsidR="00F920C9" w:rsidRPr="00637D97" w:rsidRDefault="005C6E0B" w:rsidP="00637D97">
      <w:pPr>
        <w:pStyle w:val="NormalWeb"/>
        <w:spacing w:before="0" w:beforeAutospacing="0" w:after="0" w:afterAutospacing="0" w:line="360" w:lineRule="auto"/>
        <w:ind w:firstLine="720"/>
      </w:pPr>
      <w:r>
        <w:t xml:space="preserve">This heterogeneity also aligns closely with cross-country differences in income. Regressing the estimated country-specific responses on GDP per capita reveals a strong positive relationship where wealthier countries experience smaller declines in applications (Figure 5).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 Furthermore, even when the elasticities are estimated with additional controls, included in the saturated DiD regression, the correlation with GDP per capita remains strong. This correlation appears to weaken only once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 xml:space="preserve"> (</w:t>
      </w:r>
      <m:oMath>
        <m:r>
          <w:rPr>
            <w:rFonts w:ascii="Cambria Math" w:hAnsi="Cambria Math"/>
          </w:rPr>
          <m:t>δ=3%</m:t>
        </m:r>
      </m:oMath>
      <w:r>
        <w:t xml:space="preserve"> and </w:t>
      </w:r>
      <m:oMath>
        <m:r>
          <w:rPr>
            <w:rFonts w:ascii="Cambria Math" w:hAnsi="Cambria Math"/>
          </w:rPr>
          <m:t>g=2%</m:t>
        </m:r>
      </m:oMath>
      <w:r>
        <w:t>) is assumed heterogeneous and dependent on the income contingent loans the EU students were previously exposed to. The direction of the previously</w:t>
      </w:r>
      <w:r>
        <w:rPr>
          <w:color w:val="000000" w:themeColor="text1"/>
        </w:rPr>
        <w:t xml:space="preserve"> positive gradient loses significance once </w:t>
      </w:r>
      <w:r>
        <w:rPr>
          <w:i/>
          <w:iCs/>
          <w:color w:val="000000" w:themeColor="text1"/>
        </w:rPr>
        <w:t>k</w:t>
      </w:r>
      <w:r>
        <w:rPr>
          <w:color w:val="000000" w:themeColor="text1"/>
        </w:rPr>
        <w:t xml:space="preserve"> is made heterogeneous</w:t>
      </w:r>
      <w:r>
        <w:t>. In the fixed-effects models this positive gradient loses significance after the loan adjustment, while in the pooled loan-adjusted specification the relationship reverses and turns significantly negative, which shows how much the pattern depends on controlling for persistent country heterogeneity (Figure 5).</w:t>
      </w:r>
    </w:p>
    <w:p w14:paraId="5EA030FB" w14:textId="2CBB71B3" w:rsidR="00C6454B" w:rsidRDefault="004E5BB7" w:rsidP="00C6454B">
      <w:pPr>
        <w:pStyle w:val="Caption"/>
        <w:keepNext/>
        <w:spacing w:after="0" w:line="360" w:lineRule="auto"/>
        <w:rPr>
          <w:rFonts w:ascii="Times New Roman" w:hAnsi="Times New Roman" w:cs="Times New Roman"/>
        </w:rPr>
      </w:pPr>
      <w:r>
        <w:rPr>
          <w:rFonts w:ascii="Times New Roman" w:hAnsi="Times New Roman" w:cs="Times New Roman"/>
          <w:b/>
        </w:rPr>
        <w:t>Figure 5</w:t>
      </w:r>
      <w:r>
        <w:rPr>
          <w:rFonts w:ascii="Times New Roman" w:hAnsi="Times New Roman" w:cs="Times New Roman"/>
        </w:rPr>
        <w:t xml:space="preserve">. Correlations between the DiD (FEs and No FEs elasticities) and logarithm of GDP per capita </w:t>
      </w:r>
    </w:p>
    <w:p w14:paraId="4283EE24" w14:textId="77777777" w:rsidR="00C6454B" w:rsidRPr="006C1BA5" w:rsidRDefault="00C6454B" w:rsidP="007E1E36">
      <w:pPr>
        <w:jc w:val="center"/>
      </w:pPr>
      <w:r>
        <w:rPr>
          <w:noProof/>
        </w:rPr>
        <w:drawing>
          <wp:inline distT="0" distB="0" distL="0" distR="0" wp14:anchorId="5A53B690" wp14:editId="588FAA32">
            <wp:extent cx="5731510" cy="32283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8340"/>
                    </a:xfrm>
                    <a:prstGeom prst="rect">
                      <a:avLst/>
                    </a:prstGeom>
                  </pic:spPr>
                </pic:pic>
              </a:graphicData>
            </a:graphic>
          </wp:inline>
        </w:drawing>
      </w:r>
    </w:p>
    <w:p w14:paraId="264C77E4" w14:textId="77777777" w:rsidR="00C6454B" w:rsidRDefault="00C6454B" w:rsidP="00E25058">
      <w:pPr>
        <w:pStyle w:val="NormalWeb"/>
        <w:spacing w:before="0" w:beforeAutospacing="0" w:after="0" w:afterAutospacing="0" w:line="360" w:lineRule="auto"/>
        <w:ind w:firstLine="720"/>
      </w:pPr>
    </w:p>
    <w:p w14:paraId="0F7BB3A3" w14:textId="2F79B5FD" w:rsidR="006C1BA5" w:rsidRDefault="009369FA" w:rsidP="004E5BB7">
      <w:pPr>
        <w:pStyle w:val="NormalWeb"/>
        <w:spacing w:before="0" w:beforeAutospacing="0" w:after="0" w:afterAutospacing="0" w:line="360" w:lineRule="auto"/>
        <w:ind w:firstLine="720"/>
      </w:pPr>
      <w:r>
        <w:t>An important consideration is that the tuition reform altered not only nominal prices but also the availability of income-contingent loans. The baseline elasticity estimates, however, rest on the assumption that the Brexit reform generated a uniform effective price change across EU countries. We argue in the discussion section that this assumption is unlikely to hold, and that once it is relaxed, the cross-country pattern changes substantially. Details on the construction of elasticity measures and alternative definitions are provided in Appendix A.</w:t>
      </w:r>
    </w:p>
    <w:p w14:paraId="2F52BC84" w14:textId="5BCB251C" w:rsidR="00DE2370" w:rsidRPr="009755A8" w:rsidRDefault="00103D3C" w:rsidP="00E25058">
      <w:pPr>
        <w:pStyle w:val="NormalWeb"/>
        <w:numPr>
          <w:ilvl w:val="1"/>
          <w:numId w:val="35"/>
        </w:numPr>
        <w:spacing w:before="240" w:beforeAutospacing="0" w:after="240" w:afterAutospacing="0" w:line="360" w:lineRule="auto"/>
        <w:rPr>
          <w:b/>
          <w:i/>
          <w:iCs/>
        </w:rPr>
      </w:pPr>
      <w:r>
        <w:rPr>
          <w:b/>
          <w:i/>
          <w:iCs/>
        </w:rPr>
        <w:t>Estimated COVID specific elasticities</w:t>
      </w:r>
    </w:p>
    <w:p w14:paraId="6EB0EDB4" w14:textId="1DE39042" w:rsidR="00171921" w:rsidRDefault="00171921"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6 </w:t>
      </w:r>
      <w:r>
        <w:rPr>
          <w:rFonts w:ascii="Times New Roman" w:eastAsia="Times New Roman" w:hAnsi="Times New Roman" w:cs="Times New Roman"/>
          <w:kern w:val="0"/>
          <w14:ligatures w14:val="none"/>
        </w:rPr>
        <w:t>compares the immediate post-Brexit demand elasticities with the persistent elasticities observed after pandemic disruptions had abated. The difference between the dots is consistent with the effect derived in the supplementary materials.</w:t>
      </w:r>
    </w:p>
    <w:p w14:paraId="5C19F621" w14:textId="52793CE1" w:rsidR="009755A8" w:rsidRPr="00DE2370"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6.</w:t>
      </w:r>
      <w:r>
        <w:rPr>
          <w:rFonts w:ascii="Times New Roman" w:hAnsi="Times New Roman" w:cs="Times New Roman"/>
          <w:color w:val="000000" w:themeColor="text1"/>
        </w:rPr>
        <w:t xml:space="preserve"> Post Brexit and post-COVID Demand elasticities compared on the same measurement axis. </w:t>
      </w:r>
    </w:p>
    <w:p w14:paraId="6B043BBC" w14:textId="35769C33" w:rsidR="009755A8" w:rsidRDefault="004E5BB7" w:rsidP="00E25058">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22531264" wp14:editId="1DF8815D">
            <wp:extent cx="5731510" cy="4093936"/>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093936"/>
                    </a:xfrm>
                    <a:prstGeom prst="rect">
                      <a:avLst/>
                    </a:prstGeom>
                  </pic:spPr>
                </pic:pic>
              </a:graphicData>
            </a:graphic>
          </wp:inline>
        </w:drawing>
      </w:r>
    </w:p>
    <w:p w14:paraId="51C9834D" w14:textId="1E6C206E" w:rsidR="001214DF" w:rsidRPr="005C6E0B" w:rsidRDefault="001214DF" w:rsidP="001214DF">
      <w:pPr>
        <w:pStyle w:val="Caption"/>
        <w:spacing w:after="0" w:line="360" w:lineRule="auto"/>
        <w:rPr>
          <w:rFonts w:ascii="Times New Roman" w:hAnsi="Times New Roman" w:cs="Times New Roman"/>
          <w:i w:val="0"/>
          <w:iCs w:val="0"/>
        </w:rPr>
      </w:pPr>
      <w:r>
        <w:rPr>
          <w:rFonts w:ascii="Times New Roman" w:hAnsi="Times New Roman" w:cs="Times New Roman"/>
          <w:i w:val="0"/>
        </w:rPr>
        <w:t>Note:  Used are the naïve elasticities across all the models. The COVID coefficients are coded for the period 2021-2023, while 2024 to 2025 are assumed to be only the persistency effects of the Brexit tuition regime.</w:t>
      </w:r>
      <w:r>
        <w:rPr>
          <w:rFonts w:ascii="Times New Roman" w:eastAsiaTheme="minorEastAsia" w:hAnsi="Times New Roman" w:cs="Times New Roman"/>
          <w:i w:val="0"/>
          <w:color w:val="000000" w:themeColor="text1"/>
        </w:rPr>
        <w:t xml:space="preserve"> </w:t>
      </w:r>
      <w:r>
        <w:rPr>
          <w:rFonts w:ascii="Times New Roman" w:hAnsi="Times New Roman" w:cs="Times New Roman"/>
          <w:i w:val="0"/>
          <w:iCs w:val="0"/>
        </w:rPr>
        <w:t>Used are</w:t>
      </w:r>
      <w:r>
        <w:rPr>
          <w:i w:val="0"/>
        </w:rPr>
        <w:t xml:space="preserve"> </w:t>
      </w:r>
      <w:r>
        <w:rPr>
          <w:rFonts w:ascii="Times New Roman" w:hAnsi="Times New Roman" w:cs="Times New Roman"/>
          <w:i w:val="0"/>
        </w:rPr>
        <w:t>Driscoll-Kraay (L=1)</w:t>
      </w:r>
      <w:r>
        <w:rPr>
          <w:rFonts w:ascii="Times New Roman" w:hAnsi="Times New Roman" w:cs="Times New Roman"/>
          <w:i w:val="0"/>
          <w:iCs w:val="0"/>
        </w:rPr>
        <w:t xml:space="preserve"> standard errors consistently and across all the presented models. Details in the online appendix.</w:t>
      </w:r>
    </w:p>
    <w:p w14:paraId="0FEBEEB5" w14:textId="77777777" w:rsidR="00E72498" w:rsidRDefault="00E72498" w:rsidP="001214DF">
      <w:pPr>
        <w:pStyle w:val="NormalWeb"/>
        <w:spacing w:before="0" w:beforeAutospacing="0" w:after="0" w:afterAutospacing="0" w:line="360" w:lineRule="auto"/>
      </w:pPr>
    </w:p>
    <w:p w14:paraId="77B36F88" w14:textId="2383B727" w:rsidR="00A419FA" w:rsidRDefault="00171921" w:rsidP="004953FF">
      <w:pPr>
        <w:pStyle w:val="NormalWeb"/>
        <w:spacing w:before="0" w:beforeAutospacing="0" w:after="0" w:afterAutospacing="0" w:line="360" w:lineRule="auto"/>
        <w:ind w:firstLine="360"/>
      </w:pPr>
      <w:r>
        <w:lastRenderedPageBreak/>
        <w:t>It is also important to mention that for nearly all EU origin countries, the persistent post-COVID elasticities remain strongly negative and closely aligned with the initial post-2021 estimates. The persistence of the elasticities confirms that price sensitivity, rather than short-run volatility, is the dominant mechanism behind the observed demand contraction.</w:t>
      </w:r>
      <w:r w:rsidR="004953FF">
        <w:t xml:space="preserve"> F</w:t>
      </w:r>
      <w:r w:rsidR="00A419FA">
        <w:t xml:space="preserve">or nearly all EU origin countries, the persistent 2024 to 2025 effects are at least as negative as the immediate 2021 to 2023 effects, so there is little sign of recovery once the COVID window passes. The absence of recovery is especially pronounced among lower-income countries, although the deepening contraction is visible throughout much of the income distribution. </w:t>
      </w:r>
    </w:p>
    <w:p w14:paraId="6606BF6C" w14:textId="719E24F5" w:rsidR="00583A15" w:rsidRDefault="00583A15" w:rsidP="004953FF">
      <w:pPr>
        <w:pStyle w:val="NormalWeb"/>
        <w:spacing w:before="0" w:beforeAutospacing="0" w:after="0" w:afterAutospacing="0" w:line="360" w:lineRule="auto"/>
        <w:ind w:firstLine="360"/>
      </w:pPr>
      <w:r>
        <w:t xml:space="preserve">The </w:t>
      </w:r>
      <w:r w:rsidR="00802883">
        <w:t xml:space="preserve">COVID specific </w:t>
      </w:r>
      <w:r>
        <w:t xml:space="preserve">ATT coefficients range from -0.42 (decrease from -0.32) for Malta to -2.39 (decrease from -2.03) for </w:t>
      </w:r>
      <w:r w:rsidRPr="004953FF">
        <w:t>Lithuania</w:t>
      </w:r>
      <w:r>
        <w:t>. The post-</w:t>
      </w:r>
      <w:proofErr w:type="spellStart"/>
      <w:r>
        <w:t>Covid</w:t>
      </w:r>
      <w:proofErr w:type="spellEnd"/>
      <w:r>
        <w:t xml:space="preserve"> period</w:t>
      </w:r>
      <w:r w:rsidR="00802883">
        <w:t xml:space="preserve"> coefficients are (excluding Portugal do to its data problem) from 42% to 2% larger in absolute magnitude (more negative) post-COVID. This narrative contradicts the story that the collapse was because of COVID or that it was a mobility attraction story at all. It implies that the UK higher education was becoming more and more unpopular amongst EU students until the system reached a relatively stable equilibrium. </w:t>
      </w:r>
    </w:p>
    <w:p w14:paraId="517261DD" w14:textId="6CC245A5" w:rsidR="00936209" w:rsidRPr="002351B9" w:rsidRDefault="00937E26" w:rsidP="00E25058">
      <w:pPr>
        <w:pStyle w:val="NormalWeb"/>
        <w:numPr>
          <w:ilvl w:val="1"/>
          <w:numId w:val="35"/>
        </w:numPr>
        <w:spacing w:before="240" w:beforeAutospacing="0" w:after="240" w:afterAutospacing="0" w:line="360" w:lineRule="auto"/>
        <w:rPr>
          <w:b/>
          <w:i/>
          <w:iCs/>
        </w:rPr>
      </w:pPr>
      <w:r>
        <w:rPr>
          <w:b/>
          <w:i/>
          <w:iCs/>
        </w:rPr>
        <w:t>ATT wealth heterogeneity</w:t>
      </w:r>
    </w:p>
    <w:p w14:paraId="70FB0BAC" w14:textId="22E515DC" w:rsidR="009755A8" w:rsidRDefault="009755A8" w:rsidP="00E25058">
      <w:pPr>
        <w:pStyle w:val="Caption"/>
        <w:keepNext/>
        <w:spacing w:after="0" w:line="360" w:lineRule="auto"/>
        <w:rPr>
          <w:rFonts w:ascii="Times New Roman" w:hAnsi="Times New Roman" w:cs="Times New Roman"/>
        </w:rPr>
      </w:pPr>
      <w:r>
        <w:rPr>
          <w:rFonts w:ascii="Times New Roman" w:hAnsi="Times New Roman" w:cs="Times New Roman"/>
          <w:b/>
        </w:rPr>
        <w:t>Table 3.</w:t>
      </w:r>
      <w:r>
        <w:rPr>
          <w:rFonts w:ascii="Times New Roman" w:hAnsi="Times New Roman" w:cs="Times New Roman"/>
        </w:rPr>
        <w:t xml:space="preserve"> ATE coefficient and interactions. FEs are always entity and time. Standard errors are Driscoll &amp; Kraay (1998) (L=1)</w:t>
      </w:r>
    </w:p>
    <w:tbl>
      <w:tblPr>
        <w:tblStyle w:val="TableGrid"/>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210"/>
        <w:gridCol w:w="1200"/>
        <w:gridCol w:w="1276"/>
        <w:gridCol w:w="1134"/>
        <w:gridCol w:w="1134"/>
      </w:tblGrid>
      <w:tr w:rsidR="0019266D" w:rsidRPr="009F1380" w14:paraId="68D3F7AA" w14:textId="4CF543C3" w:rsidTr="007206E6">
        <w:trPr>
          <w:trHeight w:val="278"/>
          <w:jc w:val="center"/>
        </w:trPr>
        <w:tc>
          <w:tcPr>
            <w:tcW w:w="2410" w:type="dxa"/>
            <w:tcBorders>
              <w:top w:val="single" w:sz="4" w:space="0" w:color="auto"/>
              <w:bottom w:val="single" w:sz="4" w:space="0" w:color="auto"/>
            </w:tcBorders>
          </w:tcPr>
          <w:p w14:paraId="1259A8CD" w14:textId="77777777" w:rsidR="0019266D" w:rsidRPr="009F1380" w:rsidRDefault="0019266D" w:rsidP="00E25058">
            <w:pPr>
              <w:spacing w:line="360" w:lineRule="auto"/>
              <w:rPr>
                <w:rFonts w:ascii="Times New Roman" w:hAnsi="Times New Roman" w:cs="Times New Roman"/>
              </w:rPr>
            </w:pPr>
          </w:p>
        </w:tc>
        <w:tc>
          <w:tcPr>
            <w:tcW w:w="1210" w:type="dxa"/>
            <w:tcBorders>
              <w:top w:val="single" w:sz="4" w:space="0" w:color="auto"/>
              <w:bottom w:val="single" w:sz="4" w:space="0" w:color="auto"/>
            </w:tcBorders>
          </w:tcPr>
          <w:p w14:paraId="14AD89C1" w14:textId="4A3DC7D8"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w:t>
            </w:r>
          </w:p>
        </w:tc>
        <w:tc>
          <w:tcPr>
            <w:tcW w:w="1200" w:type="dxa"/>
            <w:tcBorders>
              <w:top w:val="single" w:sz="4" w:space="0" w:color="auto"/>
              <w:bottom w:val="single" w:sz="4" w:space="0" w:color="auto"/>
            </w:tcBorders>
          </w:tcPr>
          <w:p w14:paraId="2484B571" w14:textId="4420E7F5"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w:t>
            </w:r>
          </w:p>
        </w:tc>
        <w:tc>
          <w:tcPr>
            <w:tcW w:w="1276" w:type="dxa"/>
            <w:tcBorders>
              <w:top w:val="single" w:sz="4" w:space="0" w:color="auto"/>
              <w:bottom w:val="single" w:sz="4" w:space="0" w:color="auto"/>
            </w:tcBorders>
          </w:tcPr>
          <w:p w14:paraId="752E8259" w14:textId="3D6F70FB"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(III)</w:t>
            </w:r>
          </w:p>
        </w:tc>
        <w:tc>
          <w:tcPr>
            <w:tcW w:w="1134" w:type="dxa"/>
            <w:tcBorders>
              <w:top w:val="single" w:sz="4" w:space="0" w:color="auto"/>
              <w:bottom w:val="single" w:sz="4" w:space="0" w:color="auto"/>
            </w:tcBorders>
          </w:tcPr>
          <w:p w14:paraId="144B8D77" w14:textId="1F6856B1"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(IV)</w:t>
            </w:r>
          </w:p>
        </w:tc>
        <w:tc>
          <w:tcPr>
            <w:tcW w:w="1134" w:type="dxa"/>
            <w:tcBorders>
              <w:top w:val="single" w:sz="4" w:space="0" w:color="auto"/>
              <w:bottom w:val="single" w:sz="4" w:space="0" w:color="auto"/>
            </w:tcBorders>
          </w:tcPr>
          <w:p w14:paraId="783574B1" w14:textId="35F5A783" w:rsidR="0019266D" w:rsidRPr="00266936" w:rsidRDefault="0019266D" w:rsidP="00266936">
            <w:pPr>
              <w:spacing w:line="360" w:lineRule="auto"/>
              <w:jc w:val="center"/>
              <w:rPr>
                <w:rFonts w:ascii="Times New Roman" w:hAnsi="Times New Roman" w:cs="Times New Roman"/>
                <w:b/>
              </w:rPr>
            </w:pPr>
            <w:r>
              <w:rPr>
                <w:rFonts w:ascii="Times New Roman" w:hAnsi="Times New Roman" w:cs="Times New Roman"/>
                <w:b/>
              </w:rPr>
              <w:t>(V)</w:t>
            </w:r>
          </w:p>
        </w:tc>
      </w:tr>
      <w:tr w:rsidR="0019266D" w:rsidRPr="009F1380" w14:paraId="2AA9F5CE" w14:textId="35CA96DF" w:rsidTr="007206E6">
        <w:trPr>
          <w:jc w:val="center"/>
        </w:trPr>
        <w:tc>
          <w:tcPr>
            <w:tcW w:w="2410" w:type="dxa"/>
            <w:vMerge w:val="restart"/>
            <w:tcBorders>
              <w:top w:val="single" w:sz="4" w:space="0" w:color="auto"/>
            </w:tcBorders>
            <w:vAlign w:val="center"/>
          </w:tcPr>
          <w:p w14:paraId="26D111BF" w14:textId="02FFA3C5"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210" w:type="dxa"/>
            <w:tcBorders>
              <w:top w:val="single" w:sz="4" w:space="0" w:color="auto"/>
            </w:tcBorders>
          </w:tcPr>
          <w:p w14:paraId="3DA28FD3" w14:textId="1996720B" w:rsidR="0019266D" w:rsidRPr="00266936" w:rsidRDefault="0019266D" w:rsidP="00E25058">
            <w:pPr>
              <w:spacing w:line="360" w:lineRule="auto"/>
              <w:rPr>
                <w:rFonts w:ascii="Times New Roman" w:hAnsi="Times New Roman" w:cs="Times New Roman"/>
              </w:rPr>
            </w:pPr>
            <w:r>
              <w:rPr>
                <w:rFonts w:ascii="Times New Roman" w:hAnsi="Times New Roman" w:cs="Times New Roman"/>
              </w:rPr>
              <w:t>-1.109</w:t>
            </w:r>
            <w:r>
              <w:rPr>
                <w:rFonts w:ascii="Times New Roman" w:hAnsi="Times New Roman" w:cs="Times New Roman"/>
                <w:vertAlign w:val="superscript"/>
              </w:rPr>
              <w:t>***</w:t>
            </w:r>
          </w:p>
        </w:tc>
        <w:tc>
          <w:tcPr>
            <w:tcW w:w="1200" w:type="dxa"/>
            <w:tcBorders>
              <w:top w:val="single" w:sz="4" w:space="0" w:color="auto"/>
            </w:tcBorders>
          </w:tcPr>
          <w:p w14:paraId="0FBAB611" w14:textId="03CDDF3A" w:rsidR="0019266D" w:rsidRDefault="0019266D" w:rsidP="00E25058">
            <w:pPr>
              <w:spacing w:line="360" w:lineRule="auto"/>
              <w:rPr>
                <w:rFonts w:ascii="Times New Roman" w:hAnsi="Times New Roman" w:cs="Times New Roman"/>
              </w:rPr>
            </w:pPr>
            <w:r>
              <w:rPr>
                <w:rFonts w:ascii="Times New Roman" w:hAnsi="Times New Roman" w:cs="Times New Roman"/>
              </w:rPr>
              <w:t>-1.05</w:t>
            </w:r>
            <w:r>
              <w:rPr>
                <w:rFonts w:ascii="Times New Roman" w:hAnsi="Times New Roman" w:cs="Times New Roman"/>
                <w:vertAlign w:val="superscript"/>
              </w:rPr>
              <w:t>***</w:t>
            </w:r>
          </w:p>
        </w:tc>
        <w:tc>
          <w:tcPr>
            <w:tcW w:w="1276" w:type="dxa"/>
            <w:tcBorders>
              <w:top w:val="single" w:sz="4" w:space="0" w:color="auto"/>
            </w:tcBorders>
          </w:tcPr>
          <w:p w14:paraId="7BE41E1A" w14:textId="7D78402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-0.981</w:t>
            </w:r>
            <w:r>
              <w:rPr>
                <w:rFonts w:ascii="Times New Roman" w:hAnsi="Times New Roman" w:cs="Times New Roman"/>
                <w:vertAlign w:val="superscript"/>
              </w:rPr>
              <w:t>***</w:t>
            </w:r>
          </w:p>
        </w:tc>
        <w:tc>
          <w:tcPr>
            <w:tcW w:w="1134" w:type="dxa"/>
            <w:tcBorders>
              <w:top w:val="single" w:sz="4" w:space="0" w:color="auto"/>
            </w:tcBorders>
          </w:tcPr>
          <w:p w14:paraId="7963CEB7" w14:textId="339C67D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-0.961</w:t>
            </w:r>
            <w:r>
              <w:rPr>
                <w:rFonts w:ascii="Times New Roman" w:hAnsi="Times New Roman" w:cs="Times New Roman"/>
                <w:vertAlign w:val="superscript"/>
              </w:rPr>
              <w:t>***</w:t>
            </w:r>
          </w:p>
        </w:tc>
        <w:tc>
          <w:tcPr>
            <w:tcW w:w="1134" w:type="dxa"/>
            <w:tcBorders>
              <w:top w:val="single" w:sz="4" w:space="0" w:color="auto"/>
            </w:tcBorders>
          </w:tcPr>
          <w:p w14:paraId="380ACA7F" w14:textId="24781312" w:rsidR="0019266D" w:rsidRDefault="0019266D" w:rsidP="00E25058">
            <w:pPr>
              <w:spacing w:line="360" w:lineRule="auto"/>
              <w:rPr>
                <w:rFonts w:ascii="Times New Roman" w:hAnsi="Times New Roman" w:cs="Times New Roman"/>
              </w:rPr>
            </w:pPr>
            <w:r>
              <w:rPr>
                <w:rFonts w:ascii="Times New Roman" w:hAnsi="Times New Roman" w:cs="Times New Roman"/>
              </w:rPr>
              <w:t>-1.211</w:t>
            </w:r>
            <w:r>
              <w:rPr>
                <w:rFonts w:ascii="Times New Roman" w:hAnsi="Times New Roman" w:cs="Times New Roman"/>
                <w:vertAlign w:val="superscript"/>
              </w:rPr>
              <w:t>***</w:t>
            </w:r>
          </w:p>
        </w:tc>
      </w:tr>
      <w:tr w:rsidR="0019266D" w:rsidRPr="009F1380" w14:paraId="31935EC1" w14:textId="110729AE" w:rsidTr="007206E6">
        <w:trPr>
          <w:jc w:val="center"/>
        </w:trPr>
        <w:tc>
          <w:tcPr>
            <w:tcW w:w="2410" w:type="dxa"/>
            <w:vMerge/>
            <w:vAlign w:val="center"/>
          </w:tcPr>
          <w:p w14:paraId="55479E07" w14:textId="77777777" w:rsidR="0019266D" w:rsidRPr="009F1380" w:rsidRDefault="0019266D" w:rsidP="00E25058">
            <w:pPr>
              <w:spacing w:line="360" w:lineRule="auto"/>
              <w:rPr>
                <w:rFonts w:ascii="Times New Roman" w:hAnsi="Times New Roman" w:cs="Times New Roman"/>
              </w:rPr>
            </w:pPr>
          </w:p>
        </w:tc>
        <w:tc>
          <w:tcPr>
            <w:tcW w:w="1210" w:type="dxa"/>
          </w:tcPr>
          <w:p w14:paraId="3786433E" w14:textId="7B046863" w:rsidR="0019266D" w:rsidRPr="00266936" w:rsidRDefault="0019266D" w:rsidP="00E25058">
            <w:pPr>
              <w:spacing w:line="360" w:lineRule="auto"/>
              <w:rPr>
                <w:rFonts w:ascii="Times New Roman" w:hAnsi="Times New Roman" w:cs="Times New Roman"/>
              </w:rPr>
            </w:pPr>
            <w:r>
              <w:rPr>
                <w:rFonts w:ascii="Times New Roman" w:hAnsi="Times New Roman" w:cs="Times New Roman"/>
              </w:rPr>
              <w:t>(0.098)</w:t>
            </w:r>
          </w:p>
        </w:tc>
        <w:tc>
          <w:tcPr>
            <w:tcW w:w="1200" w:type="dxa"/>
          </w:tcPr>
          <w:p w14:paraId="2F653CD1" w14:textId="624E830E" w:rsidR="0019266D" w:rsidRDefault="0019266D" w:rsidP="00E25058">
            <w:pPr>
              <w:spacing w:line="360" w:lineRule="auto"/>
              <w:rPr>
                <w:rFonts w:ascii="Times New Roman" w:hAnsi="Times New Roman" w:cs="Times New Roman"/>
              </w:rPr>
            </w:pPr>
            <w:r>
              <w:rPr>
                <w:rFonts w:ascii="Times New Roman" w:hAnsi="Times New Roman" w:cs="Times New Roman"/>
              </w:rPr>
              <w:t>(0.110)</w:t>
            </w:r>
          </w:p>
        </w:tc>
        <w:tc>
          <w:tcPr>
            <w:tcW w:w="1276" w:type="dxa"/>
          </w:tcPr>
          <w:p w14:paraId="51E110C7" w14:textId="08E7604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(0.101)</w:t>
            </w:r>
          </w:p>
        </w:tc>
        <w:tc>
          <w:tcPr>
            <w:tcW w:w="1134" w:type="dxa"/>
          </w:tcPr>
          <w:p w14:paraId="424D75D7" w14:textId="612264D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(0.092)</w:t>
            </w:r>
          </w:p>
        </w:tc>
        <w:tc>
          <w:tcPr>
            <w:tcW w:w="1134" w:type="dxa"/>
          </w:tcPr>
          <w:p w14:paraId="5AD6ACE2" w14:textId="39EC735A" w:rsidR="0019266D" w:rsidRDefault="0019266D" w:rsidP="00E25058">
            <w:pPr>
              <w:spacing w:line="360" w:lineRule="auto"/>
              <w:rPr>
                <w:rFonts w:ascii="Times New Roman" w:hAnsi="Times New Roman" w:cs="Times New Roman"/>
              </w:rPr>
            </w:pPr>
            <w:r>
              <w:rPr>
                <w:rFonts w:ascii="Times New Roman" w:hAnsi="Times New Roman" w:cs="Times New Roman"/>
              </w:rPr>
              <w:t>(0.120)</w:t>
            </w:r>
          </w:p>
        </w:tc>
      </w:tr>
      <w:tr w:rsidR="0019266D" w:rsidRPr="009F1380" w14:paraId="08FC892D" w14:textId="78B34E89" w:rsidTr="007206E6">
        <w:trPr>
          <w:jc w:val="center"/>
        </w:trPr>
        <w:tc>
          <w:tcPr>
            <w:tcW w:w="2410" w:type="dxa"/>
            <w:vMerge w:val="restart"/>
            <w:vAlign w:val="center"/>
          </w:tcPr>
          <w:p w14:paraId="7DA6E73A" w14:textId="1F3588DE" w:rsidR="0019266D" w:rsidRPr="00106200" w:rsidRDefault="00ED3FB9"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rPr>
                    </m:ctrlPr>
                  </m:funcPr>
                  <m:fName>
                    <m:r>
                      <m:rPr>
                        <m:sty m:val="p"/>
                      </m:rPr>
                      <w:rPr>
                        <w:rFonts w:ascii="Cambria Math" w:hAnsi="Cambria Math" w:cs="Times New Roman"/>
                      </w:rPr>
                      <m:t>c_log</m:t>
                    </m:r>
                  </m:fName>
                  <m:e>
                    <m:r>
                      <m:rPr>
                        <m:sty m:val="p"/>
                      </m:rPr>
                      <w:rPr>
                        <w:rFonts w:ascii="Cambria Math" w:hAnsi="Cambria Math" w:cs="Times New Roman"/>
                      </w:rPr>
                      <m:t>(GDPpc)</m:t>
                    </m:r>
                  </m:e>
                </m:func>
              </m:oMath>
            </m:oMathPara>
          </w:p>
        </w:tc>
        <w:tc>
          <w:tcPr>
            <w:tcW w:w="1210" w:type="dxa"/>
          </w:tcPr>
          <w:p w14:paraId="0701A977" w14:textId="77777777" w:rsidR="0019266D" w:rsidRPr="00C55BE4" w:rsidRDefault="0019266D" w:rsidP="00E25058">
            <w:pPr>
              <w:spacing w:line="360" w:lineRule="auto"/>
              <w:rPr>
                <w:rFonts w:ascii="Times New Roman" w:hAnsi="Times New Roman" w:cs="Times New Roman"/>
              </w:rPr>
            </w:pPr>
          </w:p>
        </w:tc>
        <w:tc>
          <w:tcPr>
            <w:tcW w:w="1200" w:type="dxa"/>
          </w:tcPr>
          <w:p w14:paraId="3BF07EF6" w14:textId="59355BAA" w:rsidR="0019266D" w:rsidRDefault="0019266D" w:rsidP="00E25058">
            <w:pPr>
              <w:spacing w:line="360" w:lineRule="auto"/>
              <w:rPr>
                <w:rFonts w:ascii="Times New Roman" w:hAnsi="Times New Roman" w:cs="Times New Roman"/>
              </w:rPr>
            </w:pPr>
            <w:r>
              <w:rPr>
                <w:rFonts w:ascii="Times New Roman" w:hAnsi="Times New Roman" w:cs="Times New Roman"/>
              </w:rPr>
              <w:t>-0.720</w:t>
            </w:r>
            <w:r>
              <w:rPr>
                <w:rFonts w:ascii="Times New Roman" w:hAnsi="Times New Roman" w:cs="Times New Roman"/>
                <w:vertAlign w:val="superscript"/>
              </w:rPr>
              <w:t>*</w:t>
            </w:r>
          </w:p>
        </w:tc>
        <w:tc>
          <w:tcPr>
            <w:tcW w:w="1276" w:type="dxa"/>
          </w:tcPr>
          <w:p w14:paraId="03BB868D" w14:textId="2380BE6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-0.447</w:t>
            </w:r>
          </w:p>
        </w:tc>
        <w:tc>
          <w:tcPr>
            <w:tcW w:w="1134" w:type="dxa"/>
          </w:tcPr>
          <w:p w14:paraId="4C256EFE" w14:textId="159054F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-0.687</w:t>
            </w:r>
            <w:r>
              <w:rPr>
                <w:rFonts w:ascii="Times New Roman" w:hAnsi="Times New Roman" w:cs="Times New Roman"/>
                <w:vertAlign w:val="superscript"/>
              </w:rPr>
              <w:t>*</w:t>
            </w:r>
          </w:p>
        </w:tc>
        <w:tc>
          <w:tcPr>
            <w:tcW w:w="1134" w:type="dxa"/>
          </w:tcPr>
          <w:p w14:paraId="11D8E851" w14:textId="46774F69" w:rsidR="0019266D" w:rsidRDefault="0019266D" w:rsidP="00E25058">
            <w:pPr>
              <w:spacing w:line="360" w:lineRule="auto"/>
              <w:rPr>
                <w:rFonts w:ascii="Times New Roman" w:hAnsi="Times New Roman" w:cs="Times New Roman"/>
              </w:rPr>
            </w:pPr>
            <w:r>
              <w:rPr>
                <w:rFonts w:ascii="Times New Roman" w:hAnsi="Times New Roman" w:cs="Times New Roman"/>
              </w:rPr>
              <w:t>0.018</w:t>
            </w:r>
          </w:p>
        </w:tc>
      </w:tr>
      <w:tr w:rsidR="0019266D" w:rsidRPr="009F1380" w14:paraId="7C9D5EA3" w14:textId="4955195B" w:rsidTr="007206E6">
        <w:trPr>
          <w:jc w:val="center"/>
        </w:trPr>
        <w:tc>
          <w:tcPr>
            <w:tcW w:w="2410" w:type="dxa"/>
            <w:vMerge/>
            <w:vAlign w:val="center"/>
          </w:tcPr>
          <w:p w14:paraId="5B273BC4" w14:textId="77777777" w:rsidR="0019266D" w:rsidRPr="009F1380" w:rsidRDefault="0019266D" w:rsidP="00E25058">
            <w:pPr>
              <w:spacing w:line="360" w:lineRule="auto"/>
              <w:rPr>
                <w:rFonts w:ascii="Times New Roman" w:hAnsi="Times New Roman" w:cs="Times New Roman"/>
              </w:rPr>
            </w:pPr>
          </w:p>
        </w:tc>
        <w:tc>
          <w:tcPr>
            <w:tcW w:w="1210" w:type="dxa"/>
          </w:tcPr>
          <w:p w14:paraId="0B2CC5CB" w14:textId="77777777" w:rsidR="0019266D" w:rsidRPr="00C55BE4" w:rsidRDefault="0019266D" w:rsidP="00E25058">
            <w:pPr>
              <w:spacing w:line="360" w:lineRule="auto"/>
              <w:rPr>
                <w:rFonts w:ascii="Times New Roman" w:hAnsi="Times New Roman" w:cs="Times New Roman"/>
              </w:rPr>
            </w:pPr>
          </w:p>
        </w:tc>
        <w:tc>
          <w:tcPr>
            <w:tcW w:w="1200" w:type="dxa"/>
          </w:tcPr>
          <w:p w14:paraId="78D17255" w14:textId="41ED81A8" w:rsidR="0019266D" w:rsidRDefault="0019266D" w:rsidP="00E25058">
            <w:pPr>
              <w:spacing w:line="360" w:lineRule="auto"/>
              <w:rPr>
                <w:rFonts w:ascii="Times New Roman" w:hAnsi="Times New Roman" w:cs="Times New Roman"/>
              </w:rPr>
            </w:pPr>
            <w:r>
              <w:rPr>
                <w:rFonts w:ascii="Times New Roman" w:hAnsi="Times New Roman" w:cs="Times New Roman"/>
              </w:rPr>
              <w:t>(0.265)</w:t>
            </w:r>
          </w:p>
        </w:tc>
        <w:tc>
          <w:tcPr>
            <w:tcW w:w="1276" w:type="dxa"/>
          </w:tcPr>
          <w:p w14:paraId="13BE7C51" w14:textId="4E9F9EE3"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(0.266)</w:t>
            </w:r>
          </w:p>
        </w:tc>
        <w:tc>
          <w:tcPr>
            <w:tcW w:w="1134" w:type="dxa"/>
          </w:tcPr>
          <w:p w14:paraId="0DB3EA2C" w14:textId="00B42059"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(0.290)</w:t>
            </w:r>
          </w:p>
        </w:tc>
        <w:tc>
          <w:tcPr>
            <w:tcW w:w="1134" w:type="dxa"/>
          </w:tcPr>
          <w:p w14:paraId="60BA9F29" w14:textId="4217FF4F" w:rsidR="0019266D" w:rsidRDefault="0019266D" w:rsidP="00E25058">
            <w:pPr>
              <w:spacing w:line="360" w:lineRule="auto"/>
              <w:rPr>
                <w:rFonts w:ascii="Times New Roman" w:hAnsi="Times New Roman" w:cs="Times New Roman"/>
              </w:rPr>
            </w:pPr>
            <w:r>
              <w:rPr>
                <w:rFonts w:ascii="Times New Roman" w:hAnsi="Times New Roman" w:cs="Times New Roman"/>
              </w:rPr>
              <w:t>(0.300)</w:t>
            </w:r>
          </w:p>
        </w:tc>
      </w:tr>
      <w:tr w:rsidR="0019266D" w:rsidRPr="009F1380" w14:paraId="6ECA6A9C" w14:textId="7278BF55" w:rsidTr="007206E6">
        <w:trPr>
          <w:jc w:val="center"/>
        </w:trPr>
        <w:tc>
          <w:tcPr>
            <w:tcW w:w="2410" w:type="dxa"/>
            <w:vMerge w:val="restart"/>
            <w:vAlign w:val="center"/>
          </w:tcPr>
          <w:p w14:paraId="3C4485C8" w14:textId="00DF90DD" w:rsidR="0019266D" w:rsidRPr="00266936" w:rsidRDefault="0019266D" w:rsidP="00E25058">
            <w:pPr>
              <w:spacing w:line="360" w:lineRule="auto"/>
              <w:rPr>
                <w:rFonts w:ascii="Times New Roman" w:hAnsi="Times New Roman" w:cs="Times New Roman"/>
                <w:lang w:val="bg-BG"/>
              </w:rPr>
            </w:pPr>
            <m:oMathPara>
              <m:oMathParaPr>
                <m:jc m:val="left"/>
              </m:oMathParaPr>
              <m:oMath>
                <m:r>
                  <w:rPr>
                    <w:rFonts w:ascii="Cambria Math" w:hAnsi="Cambria Math" w:cs="Times New Roman"/>
                  </w:rPr>
                  <m: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(Pop15_64)</m:t>
                    </m:r>
                  </m:e>
                </m:func>
              </m:oMath>
            </m:oMathPara>
          </w:p>
        </w:tc>
        <w:tc>
          <w:tcPr>
            <w:tcW w:w="1210" w:type="dxa"/>
          </w:tcPr>
          <w:p w14:paraId="2BCD1928" w14:textId="77777777" w:rsidR="0019266D" w:rsidRPr="00C55BE4" w:rsidRDefault="0019266D" w:rsidP="00E25058">
            <w:pPr>
              <w:spacing w:line="360" w:lineRule="auto"/>
              <w:rPr>
                <w:rFonts w:ascii="Times New Roman" w:hAnsi="Times New Roman" w:cs="Times New Roman"/>
              </w:rPr>
            </w:pPr>
          </w:p>
        </w:tc>
        <w:tc>
          <w:tcPr>
            <w:tcW w:w="1200" w:type="dxa"/>
          </w:tcPr>
          <w:p w14:paraId="5076096A" w14:textId="77777777" w:rsidR="0019266D" w:rsidRDefault="0019266D" w:rsidP="00E25058">
            <w:pPr>
              <w:spacing w:line="360" w:lineRule="auto"/>
              <w:rPr>
                <w:rFonts w:ascii="Times New Roman" w:hAnsi="Times New Roman" w:cs="Times New Roman"/>
              </w:rPr>
            </w:pPr>
          </w:p>
        </w:tc>
        <w:tc>
          <w:tcPr>
            <w:tcW w:w="1276" w:type="dxa"/>
          </w:tcPr>
          <w:p w14:paraId="6373E92C" w14:textId="5E879308" w:rsidR="0019266D" w:rsidRPr="009F1380" w:rsidRDefault="0019266D" w:rsidP="00E25058">
            <w:pPr>
              <w:spacing w:line="360" w:lineRule="auto"/>
              <w:rPr>
                <w:rFonts w:ascii="Times New Roman" w:hAnsi="Times New Roman" w:cs="Times New Roman"/>
              </w:rPr>
            </w:pPr>
            <w:r>
              <w:rPr>
                <w:rFonts w:ascii="Times New Roman" w:hAnsi="Times New Roman" w:cs="Times New Roman"/>
              </w:rPr>
              <w:t>3.077</w:t>
            </w:r>
            <w:r>
              <w:rPr>
                <w:rFonts w:ascii="Times New Roman" w:hAnsi="Times New Roman" w:cs="Times New Roman"/>
                <w:vertAlign w:val="superscript"/>
              </w:rPr>
              <w:t>***</w:t>
            </w:r>
          </w:p>
        </w:tc>
        <w:tc>
          <w:tcPr>
            <w:tcW w:w="1134" w:type="dxa"/>
          </w:tcPr>
          <w:p w14:paraId="70C52954" w14:textId="55704E56" w:rsidR="0019266D" w:rsidRPr="009F1380" w:rsidRDefault="0019266D" w:rsidP="00E25058">
            <w:pPr>
              <w:spacing w:line="360" w:lineRule="auto"/>
              <w:rPr>
                <w:rFonts w:ascii="Times New Roman" w:hAnsi="Times New Roman" w:cs="Times New Roman"/>
              </w:rPr>
            </w:pPr>
            <w:r>
              <w:rPr>
                <w:rFonts w:ascii="Times New Roman" w:hAnsi="Times New Roman" w:cs="Times New Roman"/>
              </w:rPr>
              <w:t>3.213</w:t>
            </w:r>
            <w:r>
              <w:rPr>
                <w:rFonts w:ascii="Times New Roman" w:hAnsi="Times New Roman" w:cs="Times New Roman"/>
                <w:vertAlign w:val="superscript"/>
              </w:rPr>
              <w:t>***</w:t>
            </w:r>
          </w:p>
        </w:tc>
        <w:tc>
          <w:tcPr>
            <w:tcW w:w="1134" w:type="dxa"/>
          </w:tcPr>
          <w:p w14:paraId="1D511F1C" w14:textId="6A93CC11" w:rsidR="0019266D" w:rsidRDefault="0019266D" w:rsidP="00E25058">
            <w:pPr>
              <w:spacing w:line="360" w:lineRule="auto"/>
              <w:rPr>
                <w:rFonts w:ascii="Times New Roman" w:hAnsi="Times New Roman" w:cs="Times New Roman"/>
              </w:rPr>
            </w:pPr>
            <w:r>
              <w:rPr>
                <w:rFonts w:ascii="Times New Roman" w:hAnsi="Times New Roman" w:cs="Times New Roman"/>
              </w:rPr>
              <w:t>2.631</w:t>
            </w:r>
            <w:r>
              <w:rPr>
                <w:rFonts w:ascii="Times New Roman" w:hAnsi="Times New Roman" w:cs="Times New Roman"/>
                <w:vertAlign w:val="superscript"/>
              </w:rPr>
              <w:t>***</w:t>
            </w:r>
          </w:p>
        </w:tc>
      </w:tr>
      <w:tr w:rsidR="0019266D" w:rsidRPr="009F1380" w14:paraId="02A006E7" w14:textId="4C233922" w:rsidTr="007206E6">
        <w:trPr>
          <w:jc w:val="center"/>
        </w:trPr>
        <w:tc>
          <w:tcPr>
            <w:tcW w:w="2410" w:type="dxa"/>
            <w:vMerge/>
            <w:vAlign w:val="center"/>
          </w:tcPr>
          <w:p w14:paraId="6668C7AC" w14:textId="77777777" w:rsidR="0019266D" w:rsidRPr="009F1380" w:rsidRDefault="0019266D" w:rsidP="00E25058">
            <w:pPr>
              <w:spacing w:line="360" w:lineRule="auto"/>
              <w:rPr>
                <w:rFonts w:ascii="Times New Roman" w:hAnsi="Times New Roman" w:cs="Times New Roman"/>
              </w:rPr>
            </w:pPr>
          </w:p>
        </w:tc>
        <w:tc>
          <w:tcPr>
            <w:tcW w:w="1210" w:type="dxa"/>
          </w:tcPr>
          <w:p w14:paraId="5CC10BFE" w14:textId="77777777" w:rsidR="0019266D" w:rsidRPr="00C55BE4" w:rsidRDefault="0019266D" w:rsidP="00E25058">
            <w:pPr>
              <w:spacing w:line="360" w:lineRule="auto"/>
              <w:rPr>
                <w:rFonts w:ascii="Times New Roman" w:hAnsi="Times New Roman" w:cs="Times New Roman"/>
              </w:rPr>
            </w:pPr>
          </w:p>
        </w:tc>
        <w:tc>
          <w:tcPr>
            <w:tcW w:w="1200" w:type="dxa"/>
          </w:tcPr>
          <w:p w14:paraId="402C2BDC" w14:textId="77777777" w:rsidR="0019266D" w:rsidRDefault="0019266D" w:rsidP="00E25058">
            <w:pPr>
              <w:spacing w:line="360" w:lineRule="auto"/>
              <w:rPr>
                <w:rFonts w:ascii="Times New Roman" w:hAnsi="Times New Roman" w:cs="Times New Roman"/>
              </w:rPr>
            </w:pPr>
          </w:p>
        </w:tc>
        <w:tc>
          <w:tcPr>
            <w:tcW w:w="1276" w:type="dxa"/>
          </w:tcPr>
          <w:p w14:paraId="552C44B4" w14:textId="75A6252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(0.460)</w:t>
            </w:r>
          </w:p>
        </w:tc>
        <w:tc>
          <w:tcPr>
            <w:tcW w:w="1134" w:type="dxa"/>
          </w:tcPr>
          <w:p w14:paraId="1E547F37" w14:textId="0B14FD37"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(0.519)</w:t>
            </w:r>
          </w:p>
        </w:tc>
        <w:tc>
          <w:tcPr>
            <w:tcW w:w="1134" w:type="dxa"/>
          </w:tcPr>
          <w:p w14:paraId="7E539D85" w14:textId="3C2AB646" w:rsidR="0019266D" w:rsidRDefault="0019266D" w:rsidP="00E25058">
            <w:pPr>
              <w:spacing w:line="360" w:lineRule="auto"/>
              <w:rPr>
                <w:rFonts w:ascii="Times New Roman" w:hAnsi="Times New Roman" w:cs="Times New Roman"/>
              </w:rPr>
            </w:pPr>
            <w:r>
              <w:rPr>
                <w:rFonts w:ascii="Times New Roman" w:hAnsi="Times New Roman" w:cs="Times New Roman"/>
              </w:rPr>
              <w:t>(0.462)</w:t>
            </w:r>
          </w:p>
        </w:tc>
      </w:tr>
      <w:tr w:rsidR="0019266D" w:rsidRPr="009F1380" w14:paraId="71DFCBA7" w14:textId="68CF0527" w:rsidTr="007206E6">
        <w:trPr>
          <w:jc w:val="center"/>
        </w:trPr>
        <w:tc>
          <w:tcPr>
            <w:tcW w:w="2410" w:type="dxa"/>
            <w:vMerge w:val="restart"/>
            <w:vAlign w:val="center"/>
          </w:tcPr>
          <w:p w14:paraId="5035720E" w14:textId="243D06AE"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c_YU</m:t>
                </m:r>
              </m:oMath>
            </m:oMathPara>
          </w:p>
        </w:tc>
        <w:tc>
          <w:tcPr>
            <w:tcW w:w="1210" w:type="dxa"/>
          </w:tcPr>
          <w:p w14:paraId="2D656E63" w14:textId="77777777" w:rsidR="0019266D" w:rsidRPr="00C55BE4" w:rsidRDefault="0019266D" w:rsidP="00E25058">
            <w:pPr>
              <w:spacing w:line="360" w:lineRule="auto"/>
              <w:rPr>
                <w:rFonts w:ascii="Times New Roman" w:hAnsi="Times New Roman" w:cs="Times New Roman"/>
              </w:rPr>
            </w:pPr>
          </w:p>
        </w:tc>
        <w:tc>
          <w:tcPr>
            <w:tcW w:w="1200" w:type="dxa"/>
          </w:tcPr>
          <w:p w14:paraId="596D2F97" w14:textId="77777777" w:rsidR="0019266D" w:rsidRDefault="0019266D" w:rsidP="00E25058">
            <w:pPr>
              <w:spacing w:line="360" w:lineRule="auto"/>
              <w:rPr>
                <w:rFonts w:ascii="Times New Roman" w:hAnsi="Times New Roman" w:cs="Times New Roman"/>
              </w:rPr>
            </w:pPr>
          </w:p>
        </w:tc>
        <w:tc>
          <w:tcPr>
            <w:tcW w:w="1276" w:type="dxa"/>
          </w:tcPr>
          <w:p w14:paraId="5BFE2FE8" w14:textId="01ECDFAE" w:rsidR="0019266D" w:rsidRPr="009F1380" w:rsidRDefault="0019266D" w:rsidP="00E25058">
            <w:pPr>
              <w:spacing w:line="360" w:lineRule="auto"/>
              <w:rPr>
                <w:rFonts w:ascii="Times New Roman" w:hAnsi="Times New Roman" w:cs="Times New Roman"/>
              </w:rPr>
            </w:pPr>
          </w:p>
        </w:tc>
        <w:tc>
          <w:tcPr>
            <w:tcW w:w="1134" w:type="dxa"/>
          </w:tcPr>
          <w:p w14:paraId="4180BA69" w14:textId="54B4121B"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-0.014*</w:t>
            </w:r>
          </w:p>
        </w:tc>
        <w:tc>
          <w:tcPr>
            <w:tcW w:w="1134" w:type="dxa"/>
          </w:tcPr>
          <w:p w14:paraId="6905A386" w14:textId="45F809C1" w:rsidR="0019266D" w:rsidRDefault="0019266D" w:rsidP="00E25058">
            <w:pPr>
              <w:spacing w:line="360" w:lineRule="auto"/>
              <w:rPr>
                <w:rFonts w:ascii="Times New Roman" w:hAnsi="Times New Roman" w:cs="Times New Roman"/>
              </w:rPr>
            </w:pPr>
            <w:r>
              <w:rPr>
                <w:rFonts w:ascii="Times New Roman" w:hAnsi="Times New Roman" w:cs="Times New Roman"/>
              </w:rPr>
              <w:t>-0.008+</w:t>
            </w:r>
          </w:p>
        </w:tc>
      </w:tr>
      <w:tr w:rsidR="0019266D" w:rsidRPr="009F1380" w14:paraId="05A5CD0C" w14:textId="185F3D46" w:rsidTr="007206E6">
        <w:trPr>
          <w:jc w:val="center"/>
        </w:trPr>
        <w:tc>
          <w:tcPr>
            <w:tcW w:w="2410" w:type="dxa"/>
            <w:vMerge/>
            <w:vAlign w:val="center"/>
          </w:tcPr>
          <w:p w14:paraId="757F4F43" w14:textId="77777777" w:rsidR="0019266D" w:rsidRPr="009F1380" w:rsidRDefault="0019266D" w:rsidP="00E25058">
            <w:pPr>
              <w:spacing w:line="360" w:lineRule="auto"/>
              <w:rPr>
                <w:rFonts w:ascii="Times New Roman" w:hAnsi="Times New Roman" w:cs="Times New Roman"/>
              </w:rPr>
            </w:pPr>
          </w:p>
        </w:tc>
        <w:tc>
          <w:tcPr>
            <w:tcW w:w="1210" w:type="dxa"/>
          </w:tcPr>
          <w:p w14:paraId="3010A604" w14:textId="77777777" w:rsidR="0019266D" w:rsidRPr="00C55BE4" w:rsidRDefault="0019266D" w:rsidP="00E25058">
            <w:pPr>
              <w:spacing w:line="360" w:lineRule="auto"/>
              <w:rPr>
                <w:rFonts w:ascii="Times New Roman" w:hAnsi="Times New Roman" w:cs="Times New Roman"/>
              </w:rPr>
            </w:pPr>
          </w:p>
        </w:tc>
        <w:tc>
          <w:tcPr>
            <w:tcW w:w="1200" w:type="dxa"/>
          </w:tcPr>
          <w:p w14:paraId="2173963B" w14:textId="77777777" w:rsidR="0019266D" w:rsidRDefault="0019266D" w:rsidP="00E25058">
            <w:pPr>
              <w:spacing w:line="360" w:lineRule="auto"/>
              <w:rPr>
                <w:rFonts w:ascii="Times New Roman" w:hAnsi="Times New Roman" w:cs="Times New Roman"/>
              </w:rPr>
            </w:pPr>
          </w:p>
        </w:tc>
        <w:tc>
          <w:tcPr>
            <w:tcW w:w="1276" w:type="dxa"/>
          </w:tcPr>
          <w:p w14:paraId="7AD29189" w14:textId="774DCFD4" w:rsidR="0019266D" w:rsidRPr="009F1380" w:rsidRDefault="0019266D" w:rsidP="00E25058">
            <w:pPr>
              <w:spacing w:line="360" w:lineRule="auto"/>
              <w:rPr>
                <w:rFonts w:ascii="Times New Roman" w:hAnsi="Times New Roman" w:cs="Times New Roman"/>
              </w:rPr>
            </w:pPr>
          </w:p>
        </w:tc>
        <w:tc>
          <w:tcPr>
            <w:tcW w:w="1134" w:type="dxa"/>
          </w:tcPr>
          <w:p w14:paraId="7B262083" w14:textId="6BE1F6AD" w:rsidR="0019266D" w:rsidRPr="009F1380" w:rsidRDefault="0019266D" w:rsidP="00E25058">
            <w:pPr>
              <w:spacing w:line="360" w:lineRule="auto"/>
              <w:rPr>
                <w:rFonts w:ascii="Times New Roman" w:hAnsi="Times New Roman" w:cs="Times New Roman"/>
              </w:rPr>
            </w:pPr>
            <w:r>
              <w:rPr>
                <w:rFonts w:ascii="Times New Roman" w:hAnsi="Times New Roman" w:cs="Times New Roman"/>
              </w:rPr>
              <w:t>(0.004)</w:t>
            </w:r>
          </w:p>
        </w:tc>
        <w:tc>
          <w:tcPr>
            <w:tcW w:w="1134" w:type="dxa"/>
          </w:tcPr>
          <w:p w14:paraId="18BE67FF" w14:textId="000DDA7E" w:rsidR="0019266D" w:rsidRDefault="0019266D" w:rsidP="00E25058">
            <w:pPr>
              <w:spacing w:line="360" w:lineRule="auto"/>
              <w:rPr>
                <w:rFonts w:ascii="Times New Roman" w:hAnsi="Times New Roman" w:cs="Times New Roman"/>
              </w:rPr>
            </w:pPr>
            <w:r>
              <w:rPr>
                <w:rFonts w:ascii="Times New Roman" w:hAnsi="Times New Roman" w:cs="Times New Roman"/>
              </w:rPr>
              <w:t>(0.004)</w:t>
            </w:r>
          </w:p>
        </w:tc>
      </w:tr>
      <w:tr w:rsidR="0019266D" w:rsidRPr="009F1380" w14:paraId="243046DE" w14:textId="5BA852A3" w:rsidTr="007206E6">
        <w:trPr>
          <w:jc w:val="center"/>
        </w:trPr>
        <w:tc>
          <w:tcPr>
            <w:tcW w:w="2410" w:type="dxa"/>
            <w:vMerge w:val="restart"/>
            <w:vAlign w:val="center"/>
          </w:tcPr>
          <w:p w14:paraId="1EDCED03" w14:textId="23A9ECBF"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m:t>ATT×c_</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210" w:type="dxa"/>
          </w:tcPr>
          <w:p w14:paraId="1C7D5B71" w14:textId="77777777" w:rsidR="0019266D" w:rsidRPr="00C55BE4" w:rsidRDefault="0019266D" w:rsidP="00E25058">
            <w:pPr>
              <w:spacing w:line="360" w:lineRule="auto"/>
              <w:rPr>
                <w:rFonts w:ascii="Times New Roman" w:hAnsi="Times New Roman" w:cs="Times New Roman"/>
              </w:rPr>
            </w:pPr>
          </w:p>
        </w:tc>
        <w:tc>
          <w:tcPr>
            <w:tcW w:w="1200" w:type="dxa"/>
          </w:tcPr>
          <w:p w14:paraId="2ACC43FD" w14:textId="77777777" w:rsidR="0019266D" w:rsidRPr="009F1380" w:rsidRDefault="0019266D" w:rsidP="00E25058">
            <w:pPr>
              <w:spacing w:line="360" w:lineRule="auto"/>
              <w:rPr>
                <w:rFonts w:ascii="Times New Roman" w:hAnsi="Times New Roman" w:cs="Times New Roman"/>
              </w:rPr>
            </w:pPr>
          </w:p>
        </w:tc>
        <w:tc>
          <w:tcPr>
            <w:tcW w:w="1276" w:type="dxa"/>
          </w:tcPr>
          <w:p w14:paraId="39B04CDD" w14:textId="6A571BA4" w:rsidR="0019266D" w:rsidRPr="009F1380" w:rsidRDefault="0019266D" w:rsidP="00E25058">
            <w:pPr>
              <w:spacing w:line="360" w:lineRule="auto"/>
              <w:rPr>
                <w:rFonts w:ascii="Times New Roman" w:hAnsi="Times New Roman" w:cs="Times New Roman"/>
              </w:rPr>
            </w:pPr>
          </w:p>
        </w:tc>
        <w:tc>
          <w:tcPr>
            <w:tcW w:w="1134" w:type="dxa"/>
          </w:tcPr>
          <w:p w14:paraId="3B818058" w14:textId="1B2783E1" w:rsidR="0019266D" w:rsidRPr="009F1380" w:rsidRDefault="0019266D" w:rsidP="00E25058">
            <w:pPr>
              <w:spacing w:line="360" w:lineRule="auto"/>
              <w:rPr>
                <w:rFonts w:ascii="Times New Roman" w:hAnsi="Times New Roman" w:cs="Times New Roman"/>
              </w:rPr>
            </w:pPr>
          </w:p>
        </w:tc>
        <w:tc>
          <w:tcPr>
            <w:tcW w:w="1134" w:type="dxa"/>
          </w:tcPr>
          <w:p w14:paraId="63772F79" w14:textId="6DFCFFBA" w:rsidR="0019266D" w:rsidRDefault="0019266D" w:rsidP="00E25058">
            <w:pPr>
              <w:spacing w:line="360" w:lineRule="auto"/>
              <w:rPr>
                <w:rFonts w:ascii="Times New Roman" w:hAnsi="Times New Roman" w:cs="Times New Roman"/>
              </w:rPr>
            </w:pPr>
            <w:r>
              <w:rPr>
                <w:rFonts w:ascii="Times New Roman" w:hAnsi="Times New Roman" w:cs="Times New Roman"/>
              </w:rPr>
              <w:t>0.808</w:t>
            </w:r>
            <w:r>
              <w:rPr>
                <w:rFonts w:ascii="Times New Roman" w:hAnsi="Times New Roman" w:cs="Times New Roman"/>
                <w:vertAlign w:val="superscript"/>
              </w:rPr>
              <w:t>***</w:t>
            </w:r>
          </w:p>
        </w:tc>
      </w:tr>
      <w:tr w:rsidR="0019266D" w:rsidRPr="009F1380" w14:paraId="21AC10AC" w14:textId="6E652340" w:rsidTr="007206E6">
        <w:trPr>
          <w:jc w:val="center"/>
        </w:trPr>
        <w:tc>
          <w:tcPr>
            <w:tcW w:w="2410" w:type="dxa"/>
            <w:vMerge/>
            <w:vAlign w:val="center"/>
          </w:tcPr>
          <w:p w14:paraId="6BE29FA7" w14:textId="77777777" w:rsidR="0019266D" w:rsidRPr="009F1380" w:rsidRDefault="0019266D" w:rsidP="00E25058">
            <w:pPr>
              <w:spacing w:line="360" w:lineRule="auto"/>
              <w:rPr>
                <w:rFonts w:ascii="Times New Roman" w:hAnsi="Times New Roman" w:cs="Times New Roman"/>
              </w:rPr>
            </w:pPr>
          </w:p>
        </w:tc>
        <w:tc>
          <w:tcPr>
            <w:tcW w:w="1210" w:type="dxa"/>
          </w:tcPr>
          <w:p w14:paraId="7013AE98" w14:textId="77777777" w:rsidR="0019266D" w:rsidRPr="00C55BE4" w:rsidRDefault="0019266D" w:rsidP="00E25058">
            <w:pPr>
              <w:spacing w:line="360" w:lineRule="auto"/>
              <w:rPr>
                <w:rFonts w:ascii="Times New Roman" w:hAnsi="Times New Roman" w:cs="Times New Roman"/>
              </w:rPr>
            </w:pPr>
          </w:p>
        </w:tc>
        <w:tc>
          <w:tcPr>
            <w:tcW w:w="1200" w:type="dxa"/>
          </w:tcPr>
          <w:p w14:paraId="6567C2D7" w14:textId="77777777" w:rsidR="0019266D" w:rsidRPr="009F1380" w:rsidRDefault="0019266D" w:rsidP="00E25058">
            <w:pPr>
              <w:spacing w:line="360" w:lineRule="auto"/>
              <w:rPr>
                <w:rFonts w:ascii="Times New Roman" w:hAnsi="Times New Roman" w:cs="Times New Roman"/>
              </w:rPr>
            </w:pPr>
          </w:p>
        </w:tc>
        <w:tc>
          <w:tcPr>
            <w:tcW w:w="1276" w:type="dxa"/>
          </w:tcPr>
          <w:p w14:paraId="67365812" w14:textId="7958F97A" w:rsidR="0019266D" w:rsidRPr="009F1380" w:rsidRDefault="0019266D" w:rsidP="00E25058">
            <w:pPr>
              <w:spacing w:line="360" w:lineRule="auto"/>
              <w:rPr>
                <w:rFonts w:ascii="Times New Roman" w:hAnsi="Times New Roman" w:cs="Times New Roman"/>
              </w:rPr>
            </w:pPr>
          </w:p>
        </w:tc>
        <w:tc>
          <w:tcPr>
            <w:tcW w:w="1134" w:type="dxa"/>
          </w:tcPr>
          <w:p w14:paraId="2ADD95C3" w14:textId="1E5672B1" w:rsidR="0019266D" w:rsidRPr="009F1380" w:rsidRDefault="0019266D" w:rsidP="00E25058">
            <w:pPr>
              <w:spacing w:line="360" w:lineRule="auto"/>
              <w:rPr>
                <w:rFonts w:ascii="Times New Roman" w:hAnsi="Times New Roman" w:cs="Times New Roman"/>
              </w:rPr>
            </w:pPr>
          </w:p>
        </w:tc>
        <w:tc>
          <w:tcPr>
            <w:tcW w:w="1134" w:type="dxa"/>
          </w:tcPr>
          <w:p w14:paraId="3906367A" w14:textId="5896DACB" w:rsidR="0019266D" w:rsidRDefault="0019266D" w:rsidP="00E25058">
            <w:pPr>
              <w:spacing w:line="360" w:lineRule="auto"/>
              <w:rPr>
                <w:rFonts w:ascii="Times New Roman" w:hAnsi="Times New Roman" w:cs="Times New Roman"/>
              </w:rPr>
            </w:pPr>
            <w:r>
              <w:rPr>
                <w:rFonts w:ascii="Times New Roman" w:hAnsi="Times New Roman" w:cs="Times New Roman"/>
              </w:rPr>
              <w:t>(0.136)</w:t>
            </w:r>
          </w:p>
        </w:tc>
      </w:tr>
      <w:tr w:rsidR="0019266D" w:rsidRPr="009F1380" w14:paraId="157591A5" w14:textId="3E64B346" w:rsidTr="007206E6">
        <w:trPr>
          <w:jc w:val="center"/>
        </w:trPr>
        <w:tc>
          <w:tcPr>
            <w:tcW w:w="2410" w:type="dxa"/>
            <w:vMerge w:val="restart"/>
            <w:vAlign w:val="center"/>
          </w:tcPr>
          <w:p w14:paraId="6CEF3C9A" w14:textId="57E2196F" w:rsidR="0019266D" w:rsidRPr="00266936"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sz w:val="22"/>
                  </w:rPr>
                  <m:t>ATT×c_</m:t>
                </m:r>
                <m:func>
                  <m:funcPr>
                    <m:ctrlPr>
                      <w:rPr>
                        <w:rFonts w:ascii="Cambria Math" w:hAnsi="Cambria Math" w:cs="Times New Roman"/>
                        <w:i/>
                        <w:sz w:val="22"/>
                      </w:rPr>
                    </m:ctrlPr>
                  </m:funcPr>
                  <m:fName>
                    <m:r>
                      <m:rPr>
                        <m:sty m:val="p"/>
                      </m:rPr>
                      <w:rPr>
                        <w:rFonts w:ascii="Cambria Math" w:hAnsi="Cambria Math" w:cs="Times New Roman"/>
                        <w:sz w:val="22"/>
                      </w:rPr>
                      <m:t>log</m:t>
                    </m:r>
                  </m:fName>
                  <m:e>
                    <m:r>
                      <w:rPr>
                        <w:rFonts w:ascii="Cambria Math" w:hAnsi="Cambria Math" w:cs="Times New Roman"/>
                        <w:sz w:val="22"/>
                      </w:rPr>
                      <m:t>(Pop15_65</m:t>
                    </m:r>
                    <m:r>
                      <m:rPr>
                        <m:sty m:val="p"/>
                      </m:rPr>
                      <w:rPr>
                        <w:rFonts w:ascii="Cambria Math" w:hAnsi="Cambria Math" w:cs="Times New Roman"/>
                        <w:sz w:val="22"/>
                      </w:rPr>
                      <m:t>)</m:t>
                    </m:r>
                  </m:e>
                </m:func>
              </m:oMath>
            </m:oMathPara>
          </w:p>
        </w:tc>
        <w:tc>
          <w:tcPr>
            <w:tcW w:w="1210" w:type="dxa"/>
          </w:tcPr>
          <w:p w14:paraId="30F4E17F" w14:textId="77777777" w:rsidR="0019266D" w:rsidRPr="00C55BE4" w:rsidRDefault="0019266D" w:rsidP="00E25058">
            <w:pPr>
              <w:spacing w:line="360" w:lineRule="auto"/>
              <w:rPr>
                <w:rFonts w:ascii="Times New Roman" w:hAnsi="Times New Roman" w:cs="Times New Roman"/>
              </w:rPr>
            </w:pPr>
          </w:p>
        </w:tc>
        <w:tc>
          <w:tcPr>
            <w:tcW w:w="1200" w:type="dxa"/>
          </w:tcPr>
          <w:p w14:paraId="25BB6711" w14:textId="77777777" w:rsidR="0019266D" w:rsidRPr="009F1380" w:rsidRDefault="0019266D" w:rsidP="00E25058">
            <w:pPr>
              <w:spacing w:line="360" w:lineRule="auto"/>
              <w:rPr>
                <w:rFonts w:ascii="Times New Roman" w:hAnsi="Times New Roman" w:cs="Times New Roman"/>
              </w:rPr>
            </w:pPr>
          </w:p>
        </w:tc>
        <w:tc>
          <w:tcPr>
            <w:tcW w:w="1276" w:type="dxa"/>
          </w:tcPr>
          <w:p w14:paraId="4B0959E2" w14:textId="58AAA651" w:rsidR="0019266D" w:rsidRPr="009F1380" w:rsidRDefault="0019266D" w:rsidP="00E25058">
            <w:pPr>
              <w:spacing w:line="360" w:lineRule="auto"/>
              <w:rPr>
                <w:rFonts w:ascii="Times New Roman" w:hAnsi="Times New Roman" w:cs="Times New Roman"/>
              </w:rPr>
            </w:pPr>
          </w:p>
        </w:tc>
        <w:tc>
          <w:tcPr>
            <w:tcW w:w="1134" w:type="dxa"/>
          </w:tcPr>
          <w:p w14:paraId="40CA0C91" w14:textId="7ED564D9" w:rsidR="0019266D" w:rsidRPr="009F1380" w:rsidRDefault="0019266D" w:rsidP="00E25058">
            <w:pPr>
              <w:spacing w:line="360" w:lineRule="auto"/>
              <w:rPr>
                <w:rFonts w:ascii="Times New Roman" w:hAnsi="Times New Roman" w:cs="Times New Roman"/>
              </w:rPr>
            </w:pPr>
          </w:p>
        </w:tc>
        <w:tc>
          <w:tcPr>
            <w:tcW w:w="1134" w:type="dxa"/>
          </w:tcPr>
          <w:p w14:paraId="383E4CD0" w14:textId="795F3FDE" w:rsidR="0019266D" w:rsidRDefault="00266936" w:rsidP="00E25058">
            <w:pPr>
              <w:spacing w:line="360" w:lineRule="auto"/>
              <w:rPr>
                <w:rFonts w:ascii="Times New Roman" w:hAnsi="Times New Roman" w:cs="Times New Roman"/>
              </w:rPr>
            </w:pPr>
            <w:r>
              <w:rPr>
                <w:rFonts w:ascii="Times New Roman" w:hAnsi="Times New Roman" w:cs="Times New Roman"/>
              </w:rPr>
              <w:t>0.100</w:t>
            </w:r>
            <w:r>
              <w:rPr>
                <w:rFonts w:ascii="Times New Roman" w:hAnsi="Times New Roman" w:cs="Times New Roman"/>
                <w:vertAlign w:val="superscript"/>
              </w:rPr>
              <w:t>***</w:t>
            </w:r>
          </w:p>
        </w:tc>
      </w:tr>
      <w:tr w:rsidR="0019266D" w:rsidRPr="009F1380" w14:paraId="3537B8A9" w14:textId="49158CDF" w:rsidTr="007206E6">
        <w:trPr>
          <w:jc w:val="center"/>
        </w:trPr>
        <w:tc>
          <w:tcPr>
            <w:tcW w:w="2410" w:type="dxa"/>
            <w:vMerge/>
            <w:vAlign w:val="center"/>
          </w:tcPr>
          <w:p w14:paraId="4C247F4E" w14:textId="77777777" w:rsidR="0019266D" w:rsidRPr="009F1380" w:rsidRDefault="0019266D" w:rsidP="00E25058">
            <w:pPr>
              <w:spacing w:line="360" w:lineRule="auto"/>
              <w:rPr>
                <w:rFonts w:ascii="Times New Roman" w:hAnsi="Times New Roman" w:cs="Times New Roman"/>
              </w:rPr>
            </w:pPr>
          </w:p>
        </w:tc>
        <w:tc>
          <w:tcPr>
            <w:tcW w:w="1210" w:type="dxa"/>
          </w:tcPr>
          <w:p w14:paraId="2F34B38C" w14:textId="77777777" w:rsidR="0019266D" w:rsidRPr="00C55BE4" w:rsidRDefault="0019266D" w:rsidP="00E25058">
            <w:pPr>
              <w:spacing w:line="360" w:lineRule="auto"/>
              <w:rPr>
                <w:rFonts w:ascii="Times New Roman" w:hAnsi="Times New Roman" w:cs="Times New Roman"/>
              </w:rPr>
            </w:pPr>
          </w:p>
        </w:tc>
        <w:tc>
          <w:tcPr>
            <w:tcW w:w="1200" w:type="dxa"/>
          </w:tcPr>
          <w:p w14:paraId="083B4EB4" w14:textId="77777777" w:rsidR="0019266D" w:rsidRPr="009F1380" w:rsidRDefault="0019266D" w:rsidP="00E25058">
            <w:pPr>
              <w:spacing w:line="360" w:lineRule="auto"/>
              <w:rPr>
                <w:rFonts w:ascii="Times New Roman" w:hAnsi="Times New Roman" w:cs="Times New Roman"/>
              </w:rPr>
            </w:pPr>
          </w:p>
        </w:tc>
        <w:tc>
          <w:tcPr>
            <w:tcW w:w="1276" w:type="dxa"/>
          </w:tcPr>
          <w:p w14:paraId="59ED66B7" w14:textId="216DB166" w:rsidR="0019266D" w:rsidRPr="009F1380" w:rsidRDefault="0019266D" w:rsidP="00E25058">
            <w:pPr>
              <w:spacing w:line="360" w:lineRule="auto"/>
              <w:rPr>
                <w:rFonts w:ascii="Times New Roman" w:hAnsi="Times New Roman" w:cs="Times New Roman"/>
              </w:rPr>
            </w:pPr>
          </w:p>
        </w:tc>
        <w:tc>
          <w:tcPr>
            <w:tcW w:w="1134" w:type="dxa"/>
          </w:tcPr>
          <w:p w14:paraId="038A4DE1" w14:textId="5B8ACA7F" w:rsidR="0019266D" w:rsidRPr="009F1380" w:rsidRDefault="0019266D" w:rsidP="00E25058">
            <w:pPr>
              <w:spacing w:line="360" w:lineRule="auto"/>
              <w:rPr>
                <w:rFonts w:ascii="Times New Roman" w:hAnsi="Times New Roman" w:cs="Times New Roman"/>
              </w:rPr>
            </w:pPr>
          </w:p>
        </w:tc>
        <w:tc>
          <w:tcPr>
            <w:tcW w:w="1134" w:type="dxa"/>
          </w:tcPr>
          <w:p w14:paraId="5ACA2186" w14:textId="44BC0B26" w:rsidR="0019266D" w:rsidRDefault="00266936" w:rsidP="00E25058">
            <w:pPr>
              <w:spacing w:line="360" w:lineRule="auto"/>
              <w:rPr>
                <w:rFonts w:ascii="Times New Roman" w:hAnsi="Times New Roman" w:cs="Times New Roman"/>
              </w:rPr>
            </w:pPr>
            <w:r>
              <w:rPr>
                <w:rFonts w:ascii="Times New Roman" w:hAnsi="Times New Roman" w:cs="Times New Roman"/>
              </w:rPr>
              <w:t>(0.013)</w:t>
            </w:r>
          </w:p>
        </w:tc>
      </w:tr>
      <w:tr w:rsidR="0019266D" w:rsidRPr="009F1380" w14:paraId="19DC8D42" w14:textId="1774FBB5" w:rsidTr="007206E6">
        <w:trPr>
          <w:jc w:val="center"/>
        </w:trPr>
        <w:tc>
          <w:tcPr>
            <w:tcW w:w="2410" w:type="dxa"/>
            <w:vMerge w:val="restart"/>
            <w:vAlign w:val="center"/>
          </w:tcPr>
          <w:p w14:paraId="6719A261" w14:textId="2D1A95B3" w:rsidR="0019266D" w:rsidRPr="009F1380" w:rsidRDefault="0019266D" w:rsidP="00E25058">
            <w:pPr>
              <w:spacing w:line="360" w:lineRule="auto"/>
              <w:rPr>
                <w:rFonts w:ascii="Times New Roman" w:hAnsi="Times New Roman" w:cs="Times New Roman"/>
              </w:rPr>
            </w:pPr>
            <m:oMathPara>
              <m:oMathParaPr>
                <m:jc m:val="left"/>
              </m:oMathParaPr>
              <m:oMath>
                <m:r>
                  <w:rPr>
                    <w:rFonts w:ascii="Cambria Math" w:hAnsi="Cambria Math" w:cs="Times New Roman"/>
                  </w:rPr>
                  <w:lastRenderedPageBreak/>
                  <m:t>ATT×c_YU</m:t>
                </m:r>
              </m:oMath>
            </m:oMathPara>
          </w:p>
        </w:tc>
        <w:tc>
          <w:tcPr>
            <w:tcW w:w="1210" w:type="dxa"/>
          </w:tcPr>
          <w:p w14:paraId="5D7743E5" w14:textId="77777777" w:rsidR="0019266D" w:rsidRPr="00C55BE4" w:rsidRDefault="0019266D" w:rsidP="00E25058">
            <w:pPr>
              <w:spacing w:line="360" w:lineRule="auto"/>
              <w:rPr>
                <w:rFonts w:ascii="Times New Roman" w:hAnsi="Times New Roman" w:cs="Times New Roman"/>
              </w:rPr>
            </w:pPr>
          </w:p>
        </w:tc>
        <w:tc>
          <w:tcPr>
            <w:tcW w:w="1200" w:type="dxa"/>
          </w:tcPr>
          <w:p w14:paraId="4F1D3B1C" w14:textId="77777777" w:rsidR="0019266D" w:rsidRPr="009F1380" w:rsidRDefault="0019266D" w:rsidP="00E25058">
            <w:pPr>
              <w:spacing w:line="360" w:lineRule="auto"/>
              <w:rPr>
                <w:rFonts w:ascii="Times New Roman" w:hAnsi="Times New Roman" w:cs="Times New Roman"/>
              </w:rPr>
            </w:pPr>
          </w:p>
        </w:tc>
        <w:tc>
          <w:tcPr>
            <w:tcW w:w="1276" w:type="dxa"/>
          </w:tcPr>
          <w:p w14:paraId="44D58F71" w14:textId="66470F27" w:rsidR="0019266D" w:rsidRPr="009F1380" w:rsidRDefault="0019266D" w:rsidP="00E25058">
            <w:pPr>
              <w:spacing w:line="360" w:lineRule="auto"/>
              <w:rPr>
                <w:rFonts w:ascii="Times New Roman" w:hAnsi="Times New Roman" w:cs="Times New Roman"/>
              </w:rPr>
            </w:pPr>
          </w:p>
        </w:tc>
        <w:tc>
          <w:tcPr>
            <w:tcW w:w="1134" w:type="dxa"/>
          </w:tcPr>
          <w:p w14:paraId="4FECC69B" w14:textId="41723B06" w:rsidR="0019266D" w:rsidRPr="009F1380" w:rsidRDefault="0019266D" w:rsidP="00E25058">
            <w:pPr>
              <w:spacing w:line="360" w:lineRule="auto"/>
              <w:rPr>
                <w:rFonts w:ascii="Times New Roman" w:hAnsi="Times New Roman" w:cs="Times New Roman"/>
              </w:rPr>
            </w:pPr>
          </w:p>
        </w:tc>
        <w:tc>
          <w:tcPr>
            <w:tcW w:w="1134" w:type="dxa"/>
          </w:tcPr>
          <w:p w14:paraId="7DE9030D" w14:textId="1EBD67F3" w:rsidR="0019266D" w:rsidRDefault="00266936" w:rsidP="00E25058">
            <w:pPr>
              <w:spacing w:line="360" w:lineRule="auto"/>
              <w:rPr>
                <w:rFonts w:ascii="Times New Roman" w:hAnsi="Times New Roman" w:cs="Times New Roman"/>
              </w:rPr>
            </w:pPr>
            <w:r>
              <w:rPr>
                <w:rFonts w:ascii="Times New Roman" w:hAnsi="Times New Roman" w:cs="Times New Roman"/>
              </w:rPr>
              <w:t>0.011</w:t>
            </w:r>
          </w:p>
        </w:tc>
      </w:tr>
      <w:tr w:rsidR="0019266D" w:rsidRPr="009F1380" w14:paraId="627AD159" w14:textId="6F2701AE" w:rsidTr="007206E6">
        <w:trPr>
          <w:jc w:val="center"/>
        </w:trPr>
        <w:tc>
          <w:tcPr>
            <w:tcW w:w="2410" w:type="dxa"/>
            <w:vMerge/>
            <w:tcBorders>
              <w:bottom w:val="single" w:sz="4" w:space="0" w:color="auto"/>
            </w:tcBorders>
          </w:tcPr>
          <w:p w14:paraId="09BF6843" w14:textId="77777777" w:rsidR="0019266D" w:rsidRPr="009F1380" w:rsidRDefault="0019266D" w:rsidP="00E25058">
            <w:pPr>
              <w:spacing w:line="360" w:lineRule="auto"/>
              <w:rPr>
                <w:rFonts w:ascii="Times New Roman" w:hAnsi="Times New Roman" w:cs="Times New Roman"/>
              </w:rPr>
            </w:pPr>
          </w:p>
        </w:tc>
        <w:tc>
          <w:tcPr>
            <w:tcW w:w="1210" w:type="dxa"/>
            <w:tcBorders>
              <w:bottom w:val="single" w:sz="4" w:space="0" w:color="auto"/>
            </w:tcBorders>
          </w:tcPr>
          <w:p w14:paraId="0F0F9913" w14:textId="77777777" w:rsidR="0019266D" w:rsidRPr="00C55BE4" w:rsidRDefault="0019266D" w:rsidP="00E25058">
            <w:pPr>
              <w:spacing w:line="360" w:lineRule="auto"/>
              <w:rPr>
                <w:rFonts w:ascii="Times New Roman" w:hAnsi="Times New Roman" w:cs="Times New Roman"/>
              </w:rPr>
            </w:pPr>
          </w:p>
        </w:tc>
        <w:tc>
          <w:tcPr>
            <w:tcW w:w="1200" w:type="dxa"/>
            <w:tcBorders>
              <w:bottom w:val="single" w:sz="4" w:space="0" w:color="auto"/>
            </w:tcBorders>
          </w:tcPr>
          <w:p w14:paraId="31AB1B31" w14:textId="77777777" w:rsidR="0019266D" w:rsidRPr="009F1380" w:rsidRDefault="0019266D" w:rsidP="00E25058">
            <w:pPr>
              <w:spacing w:line="360" w:lineRule="auto"/>
              <w:rPr>
                <w:rFonts w:ascii="Times New Roman" w:hAnsi="Times New Roman" w:cs="Times New Roman"/>
              </w:rPr>
            </w:pPr>
          </w:p>
        </w:tc>
        <w:tc>
          <w:tcPr>
            <w:tcW w:w="1276" w:type="dxa"/>
            <w:tcBorders>
              <w:bottom w:val="single" w:sz="4" w:space="0" w:color="auto"/>
            </w:tcBorders>
          </w:tcPr>
          <w:p w14:paraId="28E5A4CB" w14:textId="2F718940" w:rsidR="0019266D" w:rsidRPr="009F1380" w:rsidRDefault="0019266D" w:rsidP="00E25058">
            <w:pPr>
              <w:spacing w:line="360" w:lineRule="auto"/>
              <w:rPr>
                <w:rFonts w:ascii="Times New Roman" w:hAnsi="Times New Roman" w:cs="Times New Roman"/>
              </w:rPr>
            </w:pPr>
          </w:p>
        </w:tc>
        <w:tc>
          <w:tcPr>
            <w:tcW w:w="1134" w:type="dxa"/>
            <w:tcBorders>
              <w:bottom w:val="single" w:sz="4" w:space="0" w:color="auto"/>
            </w:tcBorders>
          </w:tcPr>
          <w:p w14:paraId="0CEFDB29" w14:textId="350B38AA" w:rsidR="0019266D" w:rsidRPr="009F1380" w:rsidRDefault="0019266D" w:rsidP="00E25058">
            <w:pPr>
              <w:spacing w:line="360" w:lineRule="auto"/>
              <w:rPr>
                <w:rFonts w:ascii="Times New Roman" w:hAnsi="Times New Roman" w:cs="Times New Roman"/>
              </w:rPr>
            </w:pPr>
          </w:p>
        </w:tc>
        <w:tc>
          <w:tcPr>
            <w:tcW w:w="1134" w:type="dxa"/>
            <w:tcBorders>
              <w:bottom w:val="single" w:sz="4" w:space="0" w:color="auto"/>
            </w:tcBorders>
          </w:tcPr>
          <w:p w14:paraId="46786912" w14:textId="1856A71D" w:rsidR="0019266D" w:rsidRDefault="00266936" w:rsidP="00E25058">
            <w:pPr>
              <w:spacing w:line="360" w:lineRule="auto"/>
              <w:rPr>
                <w:rFonts w:ascii="Times New Roman" w:hAnsi="Times New Roman" w:cs="Times New Roman"/>
              </w:rPr>
            </w:pPr>
            <w:r>
              <w:rPr>
                <w:rFonts w:ascii="Times New Roman" w:hAnsi="Times New Roman" w:cs="Times New Roman"/>
              </w:rPr>
              <w:t>(0.006)</w:t>
            </w:r>
          </w:p>
        </w:tc>
      </w:tr>
      <w:tr w:rsidR="0019266D" w:rsidRPr="009F1380" w14:paraId="7949D0B6" w14:textId="1463B0EE" w:rsidTr="007206E6">
        <w:trPr>
          <w:jc w:val="center"/>
        </w:trPr>
        <w:tc>
          <w:tcPr>
            <w:tcW w:w="2410" w:type="dxa"/>
            <w:tcBorders>
              <w:top w:val="single" w:sz="4" w:space="0" w:color="auto"/>
            </w:tcBorders>
          </w:tcPr>
          <w:p w14:paraId="10A368C3" w14:textId="5A602514" w:rsidR="0019266D" w:rsidRPr="009F1380" w:rsidRDefault="0019266D" w:rsidP="00E25058">
            <w:pPr>
              <w:spacing w:line="360" w:lineRule="auto"/>
              <w:rPr>
                <w:rFonts w:ascii="Times New Roman" w:hAnsi="Times New Roman" w:cs="Times New Roman"/>
              </w:rPr>
            </w:pPr>
            <w:r>
              <w:rPr>
                <w:rFonts w:ascii="Times New Roman" w:hAnsi="Times New Roman" w:cs="Times New Roman"/>
              </w:rPr>
              <w:t>Obs.</w:t>
            </w:r>
          </w:p>
        </w:tc>
        <w:tc>
          <w:tcPr>
            <w:tcW w:w="1210" w:type="dxa"/>
            <w:tcBorders>
              <w:top w:val="single" w:sz="4" w:space="0" w:color="auto"/>
            </w:tcBorders>
          </w:tcPr>
          <w:p w14:paraId="67F6BA4F" w14:textId="7C1330BA" w:rsidR="0019266D" w:rsidRPr="00106200" w:rsidRDefault="0019266D" w:rsidP="00266936">
            <w:pPr>
              <w:spacing w:line="360" w:lineRule="auto"/>
              <w:jc w:val="center"/>
              <w:rPr>
                <w:rFonts w:ascii="Times New Roman" w:hAnsi="Times New Roman" w:cs="Times New Roman"/>
                <w:b/>
              </w:rPr>
            </w:pPr>
            <w:r>
              <w:rPr>
                <w:rFonts w:ascii="Times New Roman" w:hAnsi="Times New Roman" w:cs="Times New Roman"/>
                <w:b/>
              </w:rPr>
              <w:t>520</w:t>
            </w:r>
          </w:p>
        </w:tc>
        <w:tc>
          <w:tcPr>
            <w:tcW w:w="1200" w:type="dxa"/>
            <w:tcBorders>
              <w:top w:val="single" w:sz="4" w:space="0" w:color="auto"/>
            </w:tcBorders>
          </w:tcPr>
          <w:p w14:paraId="659B812F" w14:textId="048A5E0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276" w:type="dxa"/>
            <w:tcBorders>
              <w:top w:val="single" w:sz="4" w:space="0" w:color="auto"/>
            </w:tcBorders>
          </w:tcPr>
          <w:p w14:paraId="0D7A197B" w14:textId="644D0236"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134" w:type="dxa"/>
            <w:tcBorders>
              <w:top w:val="single" w:sz="4" w:space="0" w:color="auto"/>
            </w:tcBorders>
          </w:tcPr>
          <w:p w14:paraId="20304938" w14:textId="5A38847A" w:rsidR="0019266D" w:rsidRPr="00016E4C" w:rsidRDefault="0019266D" w:rsidP="00266936">
            <w:pPr>
              <w:spacing w:line="360" w:lineRule="auto"/>
              <w:jc w:val="center"/>
              <w:rPr>
                <w:rFonts w:ascii="Times New Roman" w:hAnsi="Times New Roman" w:cs="Times New Roman"/>
                <w:b/>
              </w:rPr>
            </w:pPr>
            <w:r>
              <w:rPr>
                <w:rFonts w:ascii="Times New Roman" w:hAnsi="Times New Roman" w:cs="Times New Roman"/>
                <w:b/>
              </w:rPr>
              <w:t>468</w:t>
            </w:r>
          </w:p>
        </w:tc>
        <w:tc>
          <w:tcPr>
            <w:tcW w:w="1134" w:type="dxa"/>
            <w:tcBorders>
              <w:top w:val="single" w:sz="4" w:space="0" w:color="auto"/>
            </w:tcBorders>
          </w:tcPr>
          <w:p w14:paraId="4F8768AF" w14:textId="7E9CD7D8" w:rsidR="0019266D" w:rsidRPr="00016E4C" w:rsidRDefault="00266936" w:rsidP="00266936">
            <w:pPr>
              <w:spacing w:line="360" w:lineRule="auto"/>
              <w:jc w:val="center"/>
              <w:rPr>
                <w:rFonts w:ascii="Times New Roman" w:hAnsi="Times New Roman" w:cs="Times New Roman"/>
                <w:b/>
              </w:rPr>
            </w:pPr>
            <w:r>
              <w:rPr>
                <w:rFonts w:ascii="Times New Roman" w:hAnsi="Times New Roman" w:cs="Times New Roman"/>
                <w:b/>
              </w:rPr>
              <w:t>468</w:t>
            </w:r>
          </w:p>
        </w:tc>
      </w:tr>
      <w:tr w:rsidR="0019266D" w:rsidRPr="009F1380" w14:paraId="0C7EECDC" w14:textId="18C7F3B1" w:rsidTr="007206E6">
        <w:trPr>
          <w:jc w:val="center"/>
        </w:trPr>
        <w:tc>
          <w:tcPr>
            <w:tcW w:w="2410" w:type="dxa"/>
          </w:tcPr>
          <w:p w14:paraId="0FDF7ECB" w14:textId="1A464C1E"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Adj</w:t>
            </w:r>
          </w:p>
        </w:tc>
        <w:tc>
          <w:tcPr>
            <w:tcW w:w="1210" w:type="dxa"/>
          </w:tcPr>
          <w:p w14:paraId="0C0FFD81" w14:textId="7B380A11"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0.957</w:t>
            </w:r>
          </w:p>
        </w:tc>
        <w:tc>
          <w:tcPr>
            <w:tcW w:w="1200" w:type="dxa"/>
          </w:tcPr>
          <w:p w14:paraId="3AB0B302" w14:textId="0F25EC45" w:rsidR="0019266D" w:rsidRDefault="0019266D" w:rsidP="00266936">
            <w:pPr>
              <w:spacing w:line="360" w:lineRule="auto"/>
              <w:jc w:val="center"/>
              <w:rPr>
                <w:rFonts w:ascii="Times New Roman" w:hAnsi="Times New Roman" w:cs="Times New Roman"/>
              </w:rPr>
            </w:pPr>
            <w:r>
              <w:rPr>
                <w:rFonts w:ascii="Times New Roman" w:hAnsi="Times New Roman" w:cs="Times New Roman"/>
              </w:rPr>
              <w:t>0.958</w:t>
            </w:r>
          </w:p>
        </w:tc>
        <w:tc>
          <w:tcPr>
            <w:tcW w:w="1276" w:type="dxa"/>
          </w:tcPr>
          <w:p w14:paraId="4421BF69" w14:textId="076FF5CE"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0.964</w:t>
            </w:r>
          </w:p>
        </w:tc>
        <w:tc>
          <w:tcPr>
            <w:tcW w:w="1134" w:type="dxa"/>
          </w:tcPr>
          <w:p w14:paraId="5DB8F4C9" w14:textId="7D8DB490"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0.964</w:t>
            </w:r>
          </w:p>
        </w:tc>
        <w:tc>
          <w:tcPr>
            <w:tcW w:w="1134" w:type="dxa"/>
          </w:tcPr>
          <w:p w14:paraId="49DC9947" w14:textId="714912F8" w:rsidR="0019266D" w:rsidRDefault="00266936" w:rsidP="00266936">
            <w:pPr>
              <w:spacing w:line="360" w:lineRule="auto"/>
              <w:jc w:val="center"/>
              <w:rPr>
                <w:rFonts w:ascii="Times New Roman" w:hAnsi="Times New Roman" w:cs="Times New Roman"/>
              </w:rPr>
            </w:pPr>
            <w:r>
              <w:rPr>
                <w:rFonts w:ascii="Times New Roman" w:hAnsi="Times New Roman" w:cs="Times New Roman"/>
              </w:rPr>
              <w:t>0.970</w:t>
            </w:r>
          </w:p>
        </w:tc>
      </w:tr>
      <w:tr w:rsidR="0019266D" w:rsidRPr="009F1380" w14:paraId="3F4DB2D1" w14:textId="2EF119AD" w:rsidTr="007206E6">
        <w:trPr>
          <w:jc w:val="center"/>
        </w:trPr>
        <w:tc>
          <w:tcPr>
            <w:tcW w:w="2410" w:type="dxa"/>
            <w:tcBorders>
              <w:bottom w:val="single" w:sz="4" w:space="0" w:color="auto"/>
            </w:tcBorders>
          </w:tcPr>
          <w:p w14:paraId="6A2F53DA" w14:textId="08F9CA91" w:rsidR="0019266D" w:rsidRPr="009F1380" w:rsidRDefault="0019266D" w:rsidP="00E25058">
            <w:pPr>
              <w:spacing w:line="360" w:lineRule="auto"/>
              <w:rPr>
                <w:rFonts w:ascii="Times New Roman" w:hAnsi="Times New Roman" w:cs="Times New Roman"/>
              </w:rPr>
            </w:pPr>
            <w:r>
              <w:rPr>
                <w:rFonts w:ascii="Times New Roman" w:hAnsi="Times New Roman" w:cs="Times New Roman"/>
              </w:rPr>
              <w:t>R2 Within</w:t>
            </w:r>
          </w:p>
        </w:tc>
        <w:tc>
          <w:tcPr>
            <w:tcW w:w="1210" w:type="dxa"/>
            <w:tcBorders>
              <w:bottom w:val="single" w:sz="4" w:space="0" w:color="auto"/>
            </w:tcBorders>
          </w:tcPr>
          <w:p w14:paraId="34B0D1B9" w14:textId="4F38B45B" w:rsidR="0019266D" w:rsidRPr="00106200" w:rsidRDefault="0019266D" w:rsidP="00266936">
            <w:pPr>
              <w:spacing w:line="360" w:lineRule="auto"/>
              <w:jc w:val="center"/>
              <w:rPr>
                <w:rFonts w:ascii="Times New Roman" w:hAnsi="Times New Roman" w:cs="Times New Roman"/>
              </w:rPr>
            </w:pPr>
            <w:r>
              <w:rPr>
                <w:rFonts w:ascii="Times New Roman" w:hAnsi="Times New Roman" w:cs="Times New Roman"/>
              </w:rPr>
              <w:t>0.585</w:t>
            </w:r>
          </w:p>
        </w:tc>
        <w:tc>
          <w:tcPr>
            <w:tcW w:w="1200" w:type="dxa"/>
            <w:tcBorders>
              <w:bottom w:val="single" w:sz="4" w:space="0" w:color="auto"/>
            </w:tcBorders>
          </w:tcPr>
          <w:p w14:paraId="7557890A" w14:textId="2134DD86" w:rsidR="0019266D" w:rsidRDefault="0019266D" w:rsidP="00266936">
            <w:pPr>
              <w:spacing w:line="360" w:lineRule="auto"/>
              <w:jc w:val="center"/>
              <w:rPr>
                <w:rFonts w:ascii="Times New Roman" w:hAnsi="Times New Roman" w:cs="Times New Roman"/>
              </w:rPr>
            </w:pPr>
            <w:r>
              <w:rPr>
                <w:rFonts w:ascii="Times New Roman" w:hAnsi="Times New Roman" w:cs="Times New Roman"/>
              </w:rPr>
              <w:t>0.586</w:t>
            </w:r>
          </w:p>
        </w:tc>
        <w:tc>
          <w:tcPr>
            <w:tcW w:w="1276" w:type="dxa"/>
            <w:tcBorders>
              <w:bottom w:val="single" w:sz="4" w:space="0" w:color="auto"/>
            </w:tcBorders>
          </w:tcPr>
          <w:p w14:paraId="166435C5" w14:textId="00524DCD" w:rsidR="0019266D" w:rsidRPr="009F1380" w:rsidRDefault="0019266D" w:rsidP="00266936">
            <w:pPr>
              <w:spacing w:line="360" w:lineRule="auto"/>
              <w:jc w:val="center"/>
              <w:rPr>
                <w:rFonts w:ascii="Times New Roman" w:hAnsi="Times New Roman" w:cs="Times New Roman"/>
              </w:rPr>
            </w:pPr>
            <w:r>
              <w:rPr>
                <w:rFonts w:ascii="Times New Roman" w:hAnsi="Times New Roman" w:cs="Times New Roman"/>
              </w:rPr>
              <w:t>0.644</w:t>
            </w:r>
          </w:p>
        </w:tc>
        <w:tc>
          <w:tcPr>
            <w:tcW w:w="1134" w:type="dxa"/>
            <w:tcBorders>
              <w:bottom w:val="single" w:sz="4" w:space="0" w:color="auto"/>
            </w:tcBorders>
          </w:tcPr>
          <w:p w14:paraId="1D6F8BA7" w14:textId="3ACB3D9E" w:rsidR="0019266D" w:rsidRPr="009F1380" w:rsidRDefault="00266936" w:rsidP="00266936">
            <w:pPr>
              <w:spacing w:line="360" w:lineRule="auto"/>
              <w:jc w:val="center"/>
              <w:rPr>
                <w:rFonts w:ascii="Times New Roman" w:hAnsi="Times New Roman" w:cs="Times New Roman"/>
              </w:rPr>
            </w:pPr>
            <w:r>
              <w:rPr>
                <w:rFonts w:ascii="Times New Roman" w:hAnsi="Times New Roman" w:cs="Times New Roman"/>
              </w:rPr>
              <w:t>0.652</w:t>
            </w:r>
          </w:p>
        </w:tc>
        <w:tc>
          <w:tcPr>
            <w:tcW w:w="1134" w:type="dxa"/>
            <w:tcBorders>
              <w:bottom w:val="single" w:sz="4" w:space="0" w:color="auto"/>
            </w:tcBorders>
          </w:tcPr>
          <w:p w14:paraId="7272D65D" w14:textId="091A8B56" w:rsidR="0019266D" w:rsidRDefault="00266936" w:rsidP="00266936">
            <w:pPr>
              <w:spacing w:line="360" w:lineRule="auto"/>
              <w:jc w:val="center"/>
              <w:rPr>
                <w:rFonts w:ascii="Times New Roman" w:hAnsi="Times New Roman" w:cs="Times New Roman"/>
              </w:rPr>
            </w:pPr>
            <w:r>
              <w:rPr>
                <w:rFonts w:ascii="Times New Roman" w:hAnsi="Times New Roman" w:cs="Times New Roman"/>
              </w:rPr>
              <w:t>0.708</w:t>
            </w:r>
          </w:p>
        </w:tc>
      </w:tr>
    </w:tbl>
    <w:p w14:paraId="54A82AA5" w14:textId="252E127D" w:rsidR="001214DF" w:rsidRPr="0016675E" w:rsidRDefault="0016675E" w:rsidP="001214DF">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 xml:space="preserve">Models (I) through (V) are estimated with the standard TWFE estimator. The data is sourced from the World Bank API resources where Model (I) uses the full panel of 520 observations (52 countries over the 2016 to 2025 window), while the specifications with World Bank controls (Models II to V) use 468 observations (52 countries over the 2016 to 2024 window), because the World Bank PPP GDP series carries no 2025 value so those country-years drop out. The c_log variables are demeaned before being included in the regression so the interactions with the ATT in model (V) will be comparable. The formula used for the demeaning was </w:t>
      </w:r>
      <m:oMath>
        <m:func>
          <m:funcPr>
            <m:ctrlPr>
              <w:rPr>
                <w:rFonts w:ascii="Cambria Math" w:hAnsi="Cambria Math" w:cs="Times New Roman"/>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r>
          <w:rPr>
            <w:rFonts w:ascii="Cambria Math" w:hAnsi="Cambria Math" w:cs="Times New Roman"/>
            <w:sz w:val="18"/>
            <w:szCs w:val="18"/>
          </w:rPr>
          <m:t>-</m:t>
        </m:r>
        <m:bar>
          <m:barPr>
            <m:pos m:val="top"/>
            <m:ctrlPr>
              <w:rPr>
                <w:rFonts w:ascii="Cambria Math" w:hAnsi="Cambria Math" w:cs="Times New Roman"/>
                <w:i/>
                <w:iCs/>
                <w:sz w:val="18"/>
                <w:szCs w:val="18"/>
              </w:rPr>
            </m:ctrlPr>
          </m:barPr>
          <m:e>
            <m:func>
              <m:funcPr>
                <m:ctrlPr>
                  <w:rPr>
                    <w:rFonts w:ascii="Cambria Math" w:hAnsi="Cambria Math" w:cs="Times New Roman"/>
                    <w:i/>
                    <w:iCs/>
                    <w:sz w:val="18"/>
                    <w:szCs w:val="18"/>
                  </w:rPr>
                </m:ctrlPr>
              </m:funcPr>
              <m:fName>
                <m:r>
                  <m:rPr>
                    <m:sty m:val="p"/>
                  </m:rPr>
                  <w:rPr>
                    <w:rFonts w:ascii="Cambria Math" w:hAnsi="Cambria Math" w:cs="Times New Roman"/>
                    <w:sz w:val="18"/>
                    <w:szCs w:val="18"/>
                  </w:rPr>
                  <m:t>log</m:t>
                </m:r>
              </m:fName>
              <m:e>
                <m:d>
                  <m:dPr>
                    <m:ctrlPr>
                      <w:rPr>
                        <w:rFonts w:ascii="Cambria Math" w:hAnsi="Cambria Math" w:cs="Times New Roman"/>
                        <w:i/>
                        <w:iCs/>
                        <w:sz w:val="18"/>
                        <w:szCs w:val="18"/>
                      </w:rPr>
                    </m:ctrlPr>
                  </m:dPr>
                  <m:e>
                    <m:sSub>
                      <m:sSubPr>
                        <m:ctrlPr>
                          <w:rPr>
                            <w:rFonts w:ascii="Cambria Math" w:hAnsi="Cambria Math" w:cs="Times New Roman"/>
                            <w:i/>
                            <w:iCs/>
                            <w:sz w:val="18"/>
                            <w:szCs w:val="18"/>
                          </w:rPr>
                        </m:ctrlPr>
                      </m:sSubPr>
                      <m:e>
                        <m:r>
                          <w:rPr>
                            <w:rFonts w:ascii="Cambria Math" w:hAnsi="Cambria Math" w:cs="Times New Roman"/>
                            <w:sz w:val="18"/>
                            <w:szCs w:val="18"/>
                          </w:rPr>
                          <m:t>x</m:t>
                        </m:r>
                      </m:e>
                      <m:sub>
                        <m:r>
                          <w:rPr>
                            <w:rFonts w:ascii="Cambria Math" w:hAnsi="Cambria Math" w:cs="Times New Roman"/>
                            <w:sz w:val="18"/>
                            <w:szCs w:val="18"/>
                          </w:rPr>
                          <m:t>i</m:t>
                        </m:r>
                      </m:sub>
                    </m:sSub>
                  </m:e>
                </m:d>
              </m:e>
            </m:func>
          </m:e>
        </m:bar>
      </m:oMath>
      <w:r>
        <w:rPr>
          <w:rFonts w:ascii="Times New Roman" w:eastAsiaTheme="minorEastAsia" w:hAnsi="Times New Roman" w:cs="Times New Roman"/>
          <w:iCs/>
          <w:sz w:val="18"/>
          <w:szCs w:val="18"/>
        </w:rPr>
        <w:t xml:space="preserve"> removing the entir</w:t>
      </w:r>
      <w:r w:rsidR="00D23BC3">
        <w:rPr>
          <w:rFonts w:ascii="Times New Roman" w:eastAsiaTheme="minorEastAsia" w:hAnsi="Times New Roman" w:cs="Times New Roman"/>
          <w:iCs/>
          <w:sz w:val="18"/>
          <w:szCs w:val="18"/>
        </w:rPr>
        <w:t>3</w:t>
      </w:r>
      <w:r>
        <w:rPr>
          <w:rFonts w:ascii="Times New Roman" w:eastAsiaTheme="minorEastAsia" w:hAnsi="Times New Roman" w:cs="Times New Roman"/>
          <w:iCs/>
          <w:sz w:val="18"/>
          <w:szCs w:val="18"/>
        </w:rPr>
        <w:t xml:space="preserve">e cross-sectional mean, not the within-group one, which allows the entity fixed effects to retain their original meaning. </w:t>
      </w:r>
      <w:r>
        <w:rPr>
          <w:rFonts w:ascii="Times New Roman" w:hAnsi="Times New Roman" w:cs="Times New Roman"/>
          <w:iCs/>
          <w:sz w:val="18"/>
          <w:szCs w:val="18"/>
        </w:rPr>
        <w:t>Used are</w:t>
      </w:r>
      <w:r>
        <w:t xml:space="preserve"> </w:t>
      </w:r>
      <w:r>
        <w:rPr>
          <w:rFonts w:ascii="Times New Roman" w:hAnsi="Times New Roman" w:cs="Times New Roman"/>
          <w:iCs/>
          <w:sz w:val="18"/>
          <w:szCs w:val="18"/>
        </w:rPr>
        <w:t>Driscoll-Kraay (L=1) standard errors consistently and across all the presented models. Significance is marked as + p&lt;0.1, * p&lt;0.05, ** p&lt;0.01, *** p&lt;0.001. Details in the online appendix. The panel regressions use GDP per capita in purchasing power parity terms (constant international dollars)</w:t>
      </w:r>
    </w:p>
    <w:p w14:paraId="37BF8B0C" w14:textId="69293D57" w:rsidR="008A1967" w:rsidRPr="0016675E" w:rsidRDefault="008A1967" w:rsidP="00E25058">
      <w:pPr>
        <w:spacing w:line="360" w:lineRule="auto"/>
        <w:rPr>
          <w:rFonts w:ascii="Times New Roman" w:hAnsi="Times New Roman" w:cs="Times New Roman"/>
          <w:iCs/>
          <w:sz w:val="18"/>
          <w:szCs w:val="18"/>
        </w:rPr>
      </w:pPr>
    </w:p>
    <w:p w14:paraId="720A9297" w14:textId="0EAAE13B" w:rsidR="00CB19A3" w:rsidRDefault="00CB19A3" w:rsidP="009054D1">
      <w:pPr>
        <w:pStyle w:val="Caption"/>
        <w:keepNext/>
        <w:spacing w:after="0" w:line="360" w:lineRule="auto"/>
        <w:ind w:firstLine="36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First, the </w:t>
      </w:r>
      <w:r w:rsidRPr="00802883">
        <w:rPr>
          <w:rFonts w:ascii="Times New Roman" w:eastAsia="Times New Roman" w:hAnsi="Times New Roman" w:cs="Times New Roman"/>
          <w:i w:val="0"/>
          <w:iCs w:val="0"/>
          <w:color w:val="auto"/>
          <w:kern w:val="0"/>
          <w:sz w:val="24"/>
          <w:szCs w:val="24"/>
          <w14:ligatures w14:val="none"/>
        </w:rPr>
        <w:t>ATT of −1.109</w:t>
      </w:r>
      <w:r>
        <w:rPr>
          <w:rFonts w:ascii="Times New Roman" w:eastAsia="Times New Roman" w:hAnsi="Times New Roman" w:cs="Times New Roman"/>
          <w:i w:val="0"/>
          <w:iCs w:val="0"/>
          <w:color w:val="auto"/>
          <w:kern w:val="0"/>
          <w:sz w:val="24"/>
          <w:szCs w:val="24"/>
          <w14:ligatures w14:val="none"/>
        </w:rPr>
        <w:t xml:space="preserve"> (table 3)</w:t>
      </w:r>
      <w:r w:rsidRPr="00802883">
        <w:rPr>
          <w:rFonts w:ascii="Times New Roman" w:eastAsia="Times New Roman" w:hAnsi="Times New Roman" w:cs="Times New Roman"/>
          <w:i w:val="0"/>
          <w:iCs w:val="0"/>
          <w:color w:val="auto"/>
          <w:kern w:val="0"/>
          <w:sz w:val="24"/>
          <w:szCs w:val="24"/>
          <w14:ligatures w14:val="none"/>
        </w:rPr>
        <w:t xml:space="preserve">, or </w:t>
      </w:r>
      <w:proofErr w:type="gramStart"/>
      <w:r w:rsidRPr="00C64D22">
        <w:rPr>
          <w:rFonts w:ascii="Times New Roman" w:eastAsia="Times New Roman" w:hAnsi="Times New Roman" w:cs="Times New Roman"/>
          <w:i w:val="0"/>
          <w:iCs w:val="0"/>
          <w:color w:val="FF0000"/>
          <w:kern w:val="0"/>
          <w:sz w:val="24"/>
          <w:szCs w:val="24"/>
          <w14:ligatures w14:val="none"/>
        </w:rPr>
        <w:t>exp(</w:t>
      </w:r>
      <w:proofErr w:type="gramEnd"/>
      <w:r w:rsidRPr="00C64D22">
        <w:rPr>
          <w:rFonts w:ascii="Times New Roman" w:eastAsia="Times New Roman" w:hAnsi="Times New Roman" w:cs="Times New Roman"/>
          <w:i w:val="0"/>
          <w:iCs w:val="0"/>
          <w:color w:val="FF0000"/>
          <w:kern w:val="0"/>
          <w:sz w:val="24"/>
          <w:szCs w:val="24"/>
          <w14:ligatures w14:val="none"/>
        </w:rPr>
        <w:t xml:space="preserve">−1.109) − </w:t>
      </w:r>
      <w:r>
        <w:rPr>
          <w:rFonts w:ascii="Times New Roman" w:eastAsia="Times New Roman" w:hAnsi="Times New Roman" w:cs="Times New Roman"/>
          <w:i w:val="0"/>
          <w:iCs w:val="0"/>
          <w:color w:val="FF0000"/>
          <w:kern w:val="0"/>
          <w:sz w:val="24"/>
          <w:szCs w:val="24"/>
          <w14:ligatures w14:val="none"/>
        </w:rPr>
        <w:t>1</w:t>
      </w:r>
      <w:r w:rsidRPr="00C64D22">
        <w:rPr>
          <w:rFonts w:ascii="Times New Roman" w:eastAsia="Times New Roman" w:hAnsi="Times New Roman" w:cs="Times New Roman"/>
          <w:i w:val="0"/>
          <w:iCs w:val="0"/>
          <w:color w:val="FF0000"/>
          <w:kern w:val="0"/>
          <w:sz w:val="24"/>
          <w:szCs w:val="24"/>
          <w14:ligatures w14:val="none"/>
        </w:rPr>
        <w:t xml:space="preserve"> = −67.0 </w:t>
      </w:r>
      <w:r w:rsidRPr="00802883">
        <w:rPr>
          <w:rFonts w:ascii="Times New Roman" w:eastAsia="Times New Roman" w:hAnsi="Times New Roman" w:cs="Times New Roman"/>
          <w:i w:val="0"/>
          <w:iCs w:val="0"/>
          <w:color w:val="auto"/>
          <w:kern w:val="0"/>
          <w:sz w:val="24"/>
          <w:szCs w:val="24"/>
          <w14:ligatures w14:val="none"/>
        </w:rPr>
        <w:t>percent, is reconcilable with the long-run elasticity of −0.354 in Conlon et al. (2021) only under a specific attribution</w:t>
      </w:r>
      <w:r>
        <w:rPr>
          <w:rFonts w:ascii="Times New Roman" w:eastAsia="Times New Roman" w:hAnsi="Times New Roman" w:cs="Times New Roman"/>
          <w:i w:val="0"/>
          <w:iCs w:val="0"/>
          <w:color w:val="auto"/>
          <w:kern w:val="0"/>
          <w:sz w:val="24"/>
          <w:szCs w:val="24"/>
          <w14:ligatures w14:val="none"/>
        </w:rPr>
        <w:t xml:space="preserve"> (and the broader such results)</w:t>
      </w:r>
      <w:r w:rsidRPr="00802883">
        <w:rPr>
          <w:rFonts w:ascii="Times New Roman" w:eastAsia="Times New Roman" w:hAnsi="Times New Roman" w:cs="Times New Roman"/>
          <w:i w:val="0"/>
          <w:iCs w:val="0"/>
          <w:color w:val="auto"/>
          <w:kern w:val="0"/>
          <w:sz w:val="24"/>
          <w:szCs w:val="24"/>
          <w14:ligatures w14:val="none"/>
        </w:rPr>
        <w:t xml:space="preserve">. Given the gross 140 percent increase in fees, that coefficient assigns a log change of −0.354 × </w:t>
      </w:r>
      <w:proofErr w:type="gramStart"/>
      <w:r w:rsidRPr="00802883">
        <w:rPr>
          <w:rFonts w:ascii="Times New Roman" w:eastAsia="Times New Roman" w:hAnsi="Times New Roman" w:cs="Times New Roman"/>
          <w:i w:val="0"/>
          <w:iCs w:val="0"/>
          <w:color w:val="auto"/>
          <w:kern w:val="0"/>
          <w:sz w:val="24"/>
          <w:szCs w:val="24"/>
          <w14:ligatures w14:val="none"/>
        </w:rPr>
        <w:t>ln(</w:t>
      </w:r>
      <w:proofErr w:type="gramEnd"/>
      <w:r w:rsidRPr="00802883">
        <w:rPr>
          <w:rFonts w:ascii="Times New Roman" w:eastAsia="Times New Roman" w:hAnsi="Times New Roman" w:cs="Times New Roman"/>
          <w:i w:val="0"/>
          <w:iCs w:val="0"/>
          <w:color w:val="auto"/>
          <w:kern w:val="0"/>
          <w:sz w:val="24"/>
          <w:szCs w:val="24"/>
          <w14:ligatures w14:val="none"/>
        </w:rPr>
        <w:t xml:space="preserve">2.4) = −0.310 to price, or exp(−0.310) − 1 = −26.7 percent, which is 27.9 percent of our estimated effect. The residual of −0.799 then falls to the non-price components of Brexit and corresponds to </w:t>
      </w:r>
      <w:proofErr w:type="gramStart"/>
      <w:r w:rsidRPr="00802883">
        <w:rPr>
          <w:rFonts w:ascii="Times New Roman" w:eastAsia="Times New Roman" w:hAnsi="Times New Roman" w:cs="Times New Roman"/>
          <w:i w:val="0"/>
          <w:iCs w:val="0"/>
          <w:color w:val="auto"/>
          <w:kern w:val="0"/>
          <w:sz w:val="24"/>
          <w:szCs w:val="24"/>
          <w14:ligatures w14:val="none"/>
        </w:rPr>
        <w:t>exp(</w:t>
      </w:r>
      <w:proofErr w:type="gramEnd"/>
      <w:r w:rsidRPr="00802883">
        <w:rPr>
          <w:rFonts w:ascii="Times New Roman" w:eastAsia="Times New Roman" w:hAnsi="Times New Roman" w:cs="Times New Roman"/>
          <w:i w:val="0"/>
          <w:iCs w:val="0"/>
          <w:color w:val="auto"/>
          <w:kern w:val="0"/>
          <w:sz w:val="24"/>
          <w:szCs w:val="24"/>
          <w14:ligatures w14:val="none"/>
        </w:rPr>
        <w:t>−0.799) − 1 = −55.0 percent</w:t>
      </w:r>
      <w:r w:rsidR="00E065B9">
        <w:rPr>
          <w:rFonts w:ascii="Times New Roman" w:eastAsia="Times New Roman" w:hAnsi="Times New Roman" w:cs="Times New Roman"/>
          <w:i w:val="0"/>
          <w:iCs w:val="0"/>
          <w:color w:val="auto"/>
          <w:kern w:val="0"/>
          <w:sz w:val="24"/>
          <w:szCs w:val="24"/>
          <w14:ligatures w14:val="none"/>
        </w:rPr>
        <w:t xml:space="preserve">. </w:t>
      </w:r>
      <w:r w:rsidRPr="00802883">
        <w:rPr>
          <w:rFonts w:ascii="Times New Roman" w:eastAsia="Times New Roman" w:hAnsi="Times New Roman" w:cs="Times New Roman"/>
          <w:i w:val="0"/>
          <w:iCs w:val="0"/>
          <w:color w:val="auto"/>
          <w:kern w:val="0"/>
          <w:sz w:val="24"/>
          <w:szCs w:val="24"/>
          <w14:ligatures w14:val="none"/>
        </w:rPr>
        <w:t xml:space="preserve">At the elastic bound of </w:t>
      </w:r>
      <w:r w:rsidR="00E065B9" w:rsidRPr="00E065B9">
        <w:rPr>
          <w:rFonts w:ascii="Times New Roman" w:eastAsia="Times New Roman" w:hAnsi="Times New Roman" w:cs="Times New Roman"/>
          <w:i w:val="0"/>
          <w:iCs w:val="0"/>
          <w:color w:val="auto"/>
          <w:kern w:val="0"/>
          <w:sz w:val="24"/>
          <w:szCs w:val="24"/>
          <w14:ligatures w14:val="none"/>
        </w:rPr>
        <w:t>Conlon et al. (2021)</w:t>
      </w:r>
      <w:r w:rsidRPr="00802883">
        <w:rPr>
          <w:rFonts w:ascii="Times New Roman" w:eastAsia="Times New Roman" w:hAnsi="Times New Roman" w:cs="Times New Roman"/>
          <w:i w:val="0"/>
          <w:iCs w:val="0"/>
          <w:color w:val="auto"/>
          <w:kern w:val="0"/>
          <w:sz w:val="24"/>
          <w:szCs w:val="24"/>
          <w14:ligatures w14:val="none"/>
        </w:rPr>
        <w:t xml:space="preserve"> confidence interval, −0.648, the price channel absorbs 51.2 percent of the effect and the residual falls to </w:t>
      </w:r>
      <w:proofErr w:type="gramStart"/>
      <w:r w:rsidRPr="00802883">
        <w:rPr>
          <w:rFonts w:ascii="Times New Roman" w:eastAsia="Times New Roman" w:hAnsi="Times New Roman" w:cs="Times New Roman"/>
          <w:i w:val="0"/>
          <w:iCs w:val="0"/>
          <w:color w:val="auto"/>
          <w:kern w:val="0"/>
          <w:sz w:val="24"/>
          <w:szCs w:val="24"/>
          <w14:ligatures w14:val="none"/>
        </w:rPr>
        <w:t>exp(</w:t>
      </w:r>
      <w:proofErr w:type="gramEnd"/>
      <w:r w:rsidRPr="00802883">
        <w:rPr>
          <w:rFonts w:ascii="Times New Roman" w:eastAsia="Times New Roman" w:hAnsi="Times New Roman" w:cs="Times New Roman"/>
          <w:i w:val="0"/>
          <w:iCs w:val="0"/>
          <w:color w:val="auto"/>
          <w:kern w:val="0"/>
          <w:sz w:val="24"/>
          <w:szCs w:val="24"/>
          <w14:ligatures w14:val="none"/>
        </w:rPr>
        <w:t xml:space="preserve">−0.542) − 1 = −41.8 percent. The heterogeneity results reported </w:t>
      </w:r>
      <w:r w:rsidR="00E065B9">
        <w:rPr>
          <w:rFonts w:ascii="Times New Roman" w:eastAsia="Times New Roman" w:hAnsi="Times New Roman" w:cs="Times New Roman"/>
          <w:i w:val="0"/>
          <w:iCs w:val="0"/>
          <w:color w:val="auto"/>
          <w:kern w:val="0"/>
          <w:sz w:val="24"/>
          <w:szCs w:val="24"/>
          <w14:ligatures w14:val="none"/>
        </w:rPr>
        <w:t>in the previous section</w:t>
      </w:r>
      <w:r w:rsidRPr="00802883">
        <w:rPr>
          <w:rFonts w:ascii="Times New Roman" w:eastAsia="Times New Roman" w:hAnsi="Times New Roman" w:cs="Times New Roman"/>
          <w:i w:val="0"/>
          <w:iCs w:val="0"/>
          <w:color w:val="auto"/>
          <w:kern w:val="0"/>
          <w:sz w:val="24"/>
          <w:szCs w:val="24"/>
          <w14:ligatures w14:val="none"/>
        </w:rPr>
        <w:t xml:space="preserve"> bound what a large non-price shock can plausibly do, since the COVID period produces an effect of at most 43 percent</w:t>
      </w:r>
      <w:r w:rsidR="00E065B9">
        <w:rPr>
          <w:rFonts w:ascii="Times New Roman" w:eastAsia="Times New Roman" w:hAnsi="Times New Roman" w:cs="Times New Roman"/>
          <w:i w:val="0"/>
          <w:iCs w:val="0"/>
          <w:color w:val="auto"/>
          <w:kern w:val="0"/>
          <w:sz w:val="24"/>
          <w:szCs w:val="24"/>
          <w14:ligatures w14:val="none"/>
        </w:rPr>
        <w:t xml:space="preserve"> for the most affected countries.</w:t>
      </w:r>
      <w:r w:rsidRPr="00802883">
        <w:rPr>
          <w:rFonts w:ascii="Times New Roman" w:eastAsia="Times New Roman" w:hAnsi="Times New Roman" w:cs="Times New Roman"/>
          <w:i w:val="0"/>
          <w:iCs w:val="0"/>
          <w:color w:val="auto"/>
          <w:kern w:val="0"/>
          <w:sz w:val="24"/>
          <w:szCs w:val="24"/>
          <w14:ligatures w14:val="none"/>
        </w:rPr>
        <w:t xml:space="preserve"> </w:t>
      </w:r>
    </w:p>
    <w:p w14:paraId="7EAA9B09" w14:textId="4C8F53E6" w:rsidR="00CB19A3" w:rsidRPr="00E065B9" w:rsidRDefault="00CB19A3" w:rsidP="00E065B9">
      <w:pPr>
        <w:pStyle w:val="Caption"/>
        <w:keepNext/>
        <w:spacing w:after="0" w:line="360" w:lineRule="auto"/>
        <w:ind w:firstLine="360"/>
        <w:rPr>
          <w:rStyle w:val="Strong"/>
          <w:rFonts w:ascii="Times New Roman" w:eastAsia="Times New Roman" w:hAnsi="Times New Roman" w:cs="Times New Roman"/>
          <w:b w:val="0"/>
          <w:bCs w:val="0"/>
          <w:i w:val="0"/>
          <w:iCs w:val="0"/>
          <w:color w:val="auto"/>
          <w:kern w:val="0"/>
          <w:sz w:val="24"/>
          <w:szCs w:val="24"/>
          <w14:ligatures w14:val="none"/>
        </w:rPr>
      </w:pPr>
      <w:r w:rsidRPr="00C64D22">
        <w:rPr>
          <w:rFonts w:ascii="Times New Roman" w:eastAsia="Times New Roman" w:hAnsi="Times New Roman" w:cs="Times New Roman"/>
          <w:i w:val="0"/>
          <w:iCs w:val="0"/>
          <w:color w:val="auto"/>
          <w:kern w:val="0"/>
          <w:sz w:val="24"/>
          <w:szCs w:val="24"/>
          <w14:ligatures w14:val="none"/>
        </w:rPr>
        <w:t xml:space="preserve">The same arithmetic runs in reverse. Attributing the whole of our ATT to price, the annual fee increase required for an elasticity of −0.354 to generate it is </w:t>
      </w:r>
      <w:proofErr w:type="gramStart"/>
      <w:r w:rsidRPr="00C64D22">
        <w:rPr>
          <w:rFonts w:ascii="Times New Roman" w:eastAsia="Times New Roman" w:hAnsi="Times New Roman" w:cs="Times New Roman"/>
          <w:i w:val="0"/>
          <w:iCs w:val="0"/>
          <w:color w:val="auto"/>
          <w:kern w:val="0"/>
          <w:sz w:val="24"/>
          <w:szCs w:val="24"/>
          <w14:ligatures w14:val="none"/>
        </w:rPr>
        <w:t>exp(</w:t>
      </w:r>
      <w:proofErr w:type="gramEnd"/>
      <w:r w:rsidRPr="00C64D22">
        <w:rPr>
          <w:rFonts w:ascii="Times New Roman" w:eastAsia="Times New Roman" w:hAnsi="Times New Roman" w:cs="Times New Roman"/>
          <w:i w:val="0"/>
          <w:iCs w:val="0"/>
          <w:color w:val="auto"/>
          <w:kern w:val="0"/>
          <w:sz w:val="24"/>
          <w:szCs w:val="24"/>
          <w14:ligatures w14:val="none"/>
        </w:rPr>
        <w:t>1.1</w:t>
      </w:r>
      <w:r>
        <w:rPr>
          <w:rFonts w:ascii="Times New Roman" w:eastAsia="Times New Roman" w:hAnsi="Times New Roman" w:cs="Times New Roman"/>
          <w:i w:val="0"/>
          <w:iCs w:val="0"/>
          <w:color w:val="auto"/>
          <w:kern w:val="0"/>
          <w:sz w:val="24"/>
          <w:szCs w:val="24"/>
          <w14:ligatures w14:val="none"/>
        </w:rPr>
        <w:t>1</w:t>
      </w:r>
      <w:r w:rsidRPr="00C64D22">
        <w:rPr>
          <w:rFonts w:ascii="Times New Roman" w:eastAsia="Times New Roman" w:hAnsi="Times New Roman" w:cs="Times New Roman"/>
          <w:i w:val="0"/>
          <w:iCs w:val="0"/>
          <w:color w:val="auto"/>
          <w:kern w:val="0"/>
          <w:sz w:val="24"/>
          <w:szCs w:val="24"/>
          <w14:ligatures w14:val="none"/>
        </w:rPr>
        <w:t>/0.354) =22.9</w:t>
      </w:r>
      <w:r>
        <w:rPr>
          <w:rStyle w:val="FootnoteReference"/>
          <w:rFonts w:ascii="Times New Roman" w:eastAsia="Times New Roman" w:hAnsi="Times New Roman" w:cs="Times New Roman"/>
          <w:i w:val="0"/>
          <w:iCs w:val="0"/>
          <w:color w:val="auto"/>
          <w:kern w:val="0"/>
          <w:sz w:val="24"/>
          <w:szCs w:val="24"/>
          <w14:ligatures w14:val="none"/>
        </w:rPr>
        <w:footnoteReference w:id="3"/>
      </w:r>
      <w:r w:rsidRPr="00C64D22">
        <w:rPr>
          <w:rFonts w:ascii="Times New Roman" w:eastAsia="Times New Roman" w:hAnsi="Times New Roman" w:cs="Times New Roman"/>
          <w:i w:val="0"/>
          <w:iCs w:val="0"/>
          <w:color w:val="auto"/>
          <w:kern w:val="0"/>
          <w:sz w:val="24"/>
          <w:szCs w:val="24"/>
          <w14:ligatures w14:val="none"/>
        </w:rPr>
        <w:t xml:space="preserve">, a rise of 2,194 percent. Against the pre-Brexit home fee of £9,250, that implies an annual charge of approximately £212,200 rather than the roughly £22,200 actually levied once EU applicants moved to international rates. Even the elastic bound of −0.648 requires </w:t>
      </w:r>
      <w:proofErr w:type="gramStart"/>
      <w:r w:rsidRPr="00C64D22">
        <w:rPr>
          <w:rFonts w:ascii="Times New Roman" w:eastAsia="Times New Roman" w:hAnsi="Times New Roman" w:cs="Times New Roman"/>
          <w:i w:val="0"/>
          <w:iCs w:val="0"/>
          <w:color w:val="auto"/>
          <w:kern w:val="0"/>
          <w:sz w:val="24"/>
          <w:szCs w:val="24"/>
          <w14:ligatures w14:val="none"/>
        </w:rPr>
        <w:t>exp(</w:t>
      </w:r>
      <w:proofErr w:type="gramEnd"/>
      <w:r w:rsidRPr="00C64D22">
        <w:rPr>
          <w:rFonts w:ascii="Times New Roman" w:eastAsia="Times New Roman" w:hAnsi="Times New Roman" w:cs="Times New Roman"/>
          <w:i w:val="0"/>
          <w:iCs w:val="0"/>
          <w:color w:val="auto"/>
          <w:kern w:val="0"/>
          <w:sz w:val="24"/>
          <w:szCs w:val="24"/>
          <w14:ligatures w14:val="none"/>
        </w:rPr>
        <w:t xml:space="preserve">1.109 / 0.648) = 5.5, an increase of 454 percent, or about £51,200 a year. </w:t>
      </w:r>
      <w:r>
        <w:rPr>
          <w:rFonts w:ascii="Times New Roman" w:eastAsia="Times New Roman" w:hAnsi="Times New Roman" w:cs="Times New Roman"/>
          <w:i w:val="0"/>
          <w:iCs w:val="0"/>
          <w:color w:val="auto"/>
          <w:kern w:val="0"/>
          <w:sz w:val="24"/>
          <w:szCs w:val="24"/>
          <w14:ligatures w14:val="none"/>
        </w:rPr>
        <w:t xml:space="preserve">However, such change will be possible only for countries where the income-contingent loan is effectively </w:t>
      </w:r>
      <w:r>
        <w:rPr>
          <w:rFonts w:ascii="Times New Roman" w:eastAsia="Times New Roman" w:hAnsi="Times New Roman" w:cs="Times New Roman"/>
          <w:i w:val="0"/>
          <w:iCs w:val="0"/>
          <w:color w:val="auto"/>
          <w:kern w:val="0"/>
          <w:sz w:val="24"/>
          <w:szCs w:val="24"/>
          <w14:ligatures w14:val="none"/>
        </w:rPr>
        <w:lastRenderedPageBreak/>
        <w:t xml:space="preserve">equal to zero in present value terms. </w:t>
      </w:r>
      <w:r w:rsidRPr="00CB19A3">
        <w:rPr>
          <w:rFonts w:ascii="Times New Roman" w:eastAsia="Times New Roman" w:hAnsi="Times New Roman" w:cs="Times New Roman"/>
          <w:i w:val="0"/>
          <w:iCs w:val="0"/>
          <w:color w:val="auto"/>
          <w:kern w:val="0"/>
          <w:sz w:val="24"/>
          <w:szCs w:val="24"/>
          <w14:ligatures w14:val="none"/>
        </w:rPr>
        <w:t xml:space="preserve">To obtain </w:t>
      </w:r>
      <w:r w:rsidRPr="00802883">
        <w:rPr>
          <w:rFonts w:ascii="Times New Roman" w:eastAsia="Times New Roman" w:hAnsi="Times New Roman" w:cs="Times New Roman"/>
          <w:i w:val="0"/>
          <w:iCs w:val="0"/>
          <w:color w:val="auto"/>
          <w:kern w:val="0"/>
          <w:sz w:val="24"/>
          <w:szCs w:val="24"/>
          <w14:ligatures w14:val="none"/>
        </w:rPr>
        <w:t xml:space="preserve">Conlon et al. (2021) </w:t>
      </w:r>
      <w:r w:rsidRPr="00CB19A3">
        <w:rPr>
          <w:rFonts w:ascii="Times New Roman" w:eastAsia="Times New Roman" w:hAnsi="Times New Roman" w:cs="Times New Roman"/>
          <w:i w:val="0"/>
          <w:iCs w:val="0"/>
          <w:color w:val="auto"/>
          <w:kern w:val="0"/>
          <w:sz w:val="24"/>
          <w:szCs w:val="24"/>
          <w14:ligatures w14:val="none"/>
        </w:rPr>
        <w:t xml:space="preserve">number of </w:t>
      </w:r>
      <m:oMath>
        <m:sSub>
          <m:sSubPr>
            <m:ctrlPr>
              <w:rPr>
                <w:rFonts w:ascii="Cambria Math" w:eastAsia="Times New Roman" w:hAnsi="Cambria Math" w:cs="Times New Roman"/>
                <w:i w:val="0"/>
                <w:iCs w:val="0"/>
                <w:color w:val="auto"/>
                <w:kern w:val="0"/>
                <w:sz w:val="24"/>
                <w:szCs w:val="24"/>
                <w14:ligatures w14:val="none"/>
              </w:rPr>
            </m:ctrlPr>
          </m:sSubPr>
          <m:e>
            <m:r>
              <w:rPr>
                <w:rFonts w:ascii="Cambria Math" w:eastAsia="Times New Roman" w:hAnsi="Cambria Math" w:cs="Times New Roman"/>
                <w:color w:val="auto"/>
                <w:kern w:val="0"/>
                <w:sz w:val="24"/>
                <w:szCs w:val="24"/>
                <w14:ligatures w14:val="none"/>
              </w:rPr>
              <m:t>η</m:t>
            </m:r>
          </m:e>
          <m:sub>
            <m:r>
              <w:rPr>
                <w:rFonts w:ascii="Cambria Math" w:eastAsia="Times New Roman" w:hAnsi="Cambria Math" w:cs="Times New Roman"/>
                <w:color w:val="auto"/>
                <w:kern w:val="0"/>
                <w:sz w:val="24"/>
                <w:szCs w:val="24"/>
                <w14:ligatures w14:val="none"/>
              </w:rPr>
              <m:t>j</m:t>
            </m:r>
          </m:sub>
        </m:sSub>
        <m:r>
          <w:rPr>
            <w:rFonts w:ascii="Cambria Math" w:eastAsia="Times New Roman" w:hAnsi="Cambria Math" w:cs="Times New Roman"/>
            <w:color w:val="auto"/>
            <w:kern w:val="0"/>
            <w:sz w:val="24"/>
            <w:szCs w:val="24"/>
            <w14:ligatures w14:val="none"/>
          </w:rPr>
          <m:t>=-0.354</m:t>
        </m:r>
      </m:oMath>
      <w:r w:rsidRPr="00CB19A3">
        <w:rPr>
          <w:rFonts w:ascii="Times New Roman" w:eastAsia="Times New Roman" w:hAnsi="Times New Roman" w:cs="Times New Roman"/>
          <w:i w:val="0"/>
          <w:iCs w:val="0"/>
          <w:color w:val="auto"/>
          <w:kern w:val="0"/>
          <w:sz w:val="24"/>
          <w:szCs w:val="24"/>
          <w14:ligatures w14:val="none"/>
        </w:rPr>
        <w:t xml:space="preserve"> we have to solve for a denominator that gives </w:t>
      </w:r>
      <m:oMath>
        <m:r>
          <w:rPr>
            <w:rFonts w:ascii="Cambria Math" w:eastAsia="Times New Roman" w:hAnsi="Cambria Math" w:cs="Times New Roman"/>
            <w:color w:val="auto"/>
            <w:kern w:val="0"/>
            <w:sz w:val="24"/>
            <w:szCs w:val="24"/>
            <w14:ligatures w14:val="none"/>
          </w:rPr>
          <m:t>k=</m:t>
        </m:r>
        <m:f>
          <m:fPr>
            <m:ctrlPr>
              <w:rPr>
                <w:rFonts w:ascii="Cambria Math" w:eastAsia="Times New Roman" w:hAnsi="Cambria Math" w:cs="Times New Roman"/>
                <w:i w:val="0"/>
                <w:iCs w:val="0"/>
                <w:color w:val="auto"/>
                <w:kern w:val="0"/>
                <w:sz w:val="24"/>
                <w:szCs w:val="24"/>
                <w14:ligatures w14:val="none"/>
              </w:rPr>
            </m:ctrlPr>
          </m:fPr>
          <m:num>
            <m:r>
              <w:rPr>
                <w:rFonts w:ascii="Cambria Math" w:eastAsia="Times New Roman" w:hAnsi="Cambria Math" w:cs="Times New Roman"/>
                <w:color w:val="auto"/>
                <w:kern w:val="0"/>
                <w:sz w:val="24"/>
                <w:szCs w:val="24"/>
                <w14:ligatures w14:val="none"/>
              </w:rPr>
              <m:t>1.109</m:t>
            </m:r>
          </m:num>
          <m:den>
            <m:r>
              <w:rPr>
                <w:rFonts w:ascii="Cambria Math" w:eastAsia="Times New Roman" w:hAnsi="Cambria Math" w:cs="Times New Roman"/>
                <w:color w:val="auto"/>
                <w:kern w:val="0"/>
                <w:sz w:val="24"/>
                <w:szCs w:val="24"/>
                <w14:ligatures w14:val="none"/>
              </w:rPr>
              <m:t>0.354</m:t>
            </m:r>
          </m:den>
        </m:f>
        <m:r>
          <w:rPr>
            <w:rFonts w:ascii="Cambria Math" w:eastAsia="Times New Roman" w:hAnsi="Cambria Math" w:cs="Times New Roman"/>
            <w:color w:val="auto"/>
            <w:kern w:val="0"/>
            <w:sz w:val="24"/>
            <w:szCs w:val="24"/>
            <w14:ligatures w14:val="none"/>
          </w:rPr>
          <m:t>=3.13</m:t>
        </m:r>
      </m:oMath>
      <w:r w:rsidRPr="00CB19A3">
        <w:rPr>
          <w:rFonts w:ascii="Times New Roman" w:eastAsia="Times New Roman" w:hAnsi="Times New Roman" w:cs="Times New Roman"/>
          <w:i w:val="0"/>
          <w:iCs w:val="0"/>
          <w:color w:val="auto"/>
          <w:kern w:val="0"/>
          <w:sz w:val="24"/>
          <w:szCs w:val="24"/>
          <w14:ligatures w14:val="none"/>
        </w:rPr>
        <w:t xml:space="preserve">, so </w:t>
      </w:r>
      <m:oMath>
        <m:r>
          <w:rPr>
            <w:rFonts w:ascii="Cambria Math" w:eastAsia="Times New Roman" w:hAnsi="Cambria Math" w:cs="Times New Roman"/>
            <w:color w:val="auto"/>
            <w:kern w:val="0"/>
            <w:sz w:val="24"/>
            <w:szCs w:val="24"/>
            <w14:ligatures w14:val="none"/>
          </w:rPr>
          <m:t>P</m:t>
        </m:r>
        <m:sSub>
          <m:sSubPr>
            <m:ctrlPr>
              <w:rPr>
                <w:rFonts w:ascii="Cambria Math" w:eastAsia="Times New Roman" w:hAnsi="Cambria Math" w:cs="Times New Roman"/>
                <w:i w:val="0"/>
                <w:iCs w:val="0"/>
                <w:color w:val="auto"/>
                <w:kern w:val="0"/>
                <w:sz w:val="24"/>
                <w:szCs w:val="24"/>
                <w14:ligatures w14:val="none"/>
              </w:rPr>
            </m:ctrlPr>
          </m:sSubPr>
          <m:e>
            <m:r>
              <w:rPr>
                <w:rFonts w:ascii="Cambria Math" w:eastAsia="Times New Roman" w:hAnsi="Cambria Math" w:cs="Times New Roman"/>
                <w:color w:val="auto"/>
                <w:kern w:val="0"/>
                <w:sz w:val="24"/>
                <w:szCs w:val="24"/>
                <w14:ligatures w14:val="none"/>
              </w:rPr>
              <m:t>V</m:t>
            </m:r>
          </m:e>
          <m:sub>
            <m:r>
              <w:rPr>
                <w:rFonts w:ascii="Cambria Math" w:eastAsia="Times New Roman" w:hAnsi="Cambria Math" w:cs="Times New Roman"/>
                <w:color w:val="auto"/>
                <w:kern w:val="0"/>
                <w:sz w:val="24"/>
                <w:szCs w:val="24"/>
                <w14:ligatures w14:val="none"/>
              </w:rPr>
              <m:t>loan</m:t>
            </m:r>
          </m:sub>
        </m:sSub>
        <m:r>
          <w:rPr>
            <w:rFonts w:ascii="Cambria Math" w:eastAsia="Times New Roman" w:hAnsi="Cambria Math" w:cs="Times New Roman"/>
            <w:color w:val="auto"/>
            <w:kern w:val="0"/>
            <w:sz w:val="24"/>
            <w:szCs w:val="24"/>
            <w14:ligatures w14:val="none"/>
          </w:rPr>
          <m:t>=</m:t>
        </m:r>
        <m:f>
          <m:fPr>
            <m:ctrlPr>
              <w:rPr>
                <w:rFonts w:ascii="Cambria Math" w:eastAsia="Times New Roman" w:hAnsi="Cambria Math" w:cs="Times New Roman"/>
                <w:i w:val="0"/>
                <w:iCs w:val="0"/>
                <w:color w:val="auto"/>
                <w:kern w:val="0"/>
                <w:sz w:val="24"/>
                <w:szCs w:val="24"/>
                <w14:ligatures w14:val="none"/>
              </w:rPr>
            </m:ctrlPr>
          </m:fPr>
          <m:num>
            <m:r>
              <w:rPr>
                <w:rFonts w:ascii="Cambria Math" w:eastAsia="Times New Roman" w:hAnsi="Cambria Math" w:cs="Times New Roman"/>
                <w:color w:val="auto"/>
                <w:kern w:val="0"/>
                <w:sz w:val="24"/>
                <w:szCs w:val="24"/>
                <w14:ligatures w14:val="none"/>
              </w:rPr>
              <m:t>£22,200</m:t>
            </m:r>
          </m:num>
          <m:den>
            <m:sSup>
              <m:sSupPr>
                <m:ctrlPr>
                  <w:rPr>
                    <w:rFonts w:ascii="Cambria Math" w:eastAsia="Times New Roman" w:hAnsi="Cambria Math" w:cs="Times New Roman"/>
                    <w:i w:val="0"/>
                    <w:iCs w:val="0"/>
                    <w:color w:val="auto"/>
                    <w:kern w:val="0"/>
                    <w:sz w:val="24"/>
                    <w:szCs w:val="24"/>
                    <w14:ligatures w14:val="none"/>
                  </w:rPr>
                </m:ctrlPr>
              </m:sSupPr>
              <m:e>
                <m:r>
                  <w:rPr>
                    <w:rFonts w:ascii="Cambria Math" w:eastAsia="Times New Roman" w:hAnsi="Cambria Math" w:cs="Times New Roman"/>
                    <w:color w:val="auto"/>
                    <w:kern w:val="0"/>
                    <w:sz w:val="24"/>
                    <w:szCs w:val="24"/>
                    <w14:ligatures w14:val="none"/>
                  </w:rPr>
                  <m:t>e</m:t>
                </m:r>
              </m:e>
              <m:sup>
                <m:r>
                  <w:rPr>
                    <w:rFonts w:ascii="Cambria Math" w:eastAsia="Times New Roman" w:hAnsi="Cambria Math" w:cs="Times New Roman"/>
                    <w:color w:val="auto"/>
                    <w:kern w:val="0"/>
                    <w:sz w:val="24"/>
                    <w:szCs w:val="24"/>
                    <w14:ligatures w14:val="none"/>
                  </w:rPr>
                  <m:t>3.13</m:t>
                </m:r>
              </m:sup>
            </m:sSup>
          </m:den>
        </m:f>
        <m:r>
          <w:rPr>
            <w:rFonts w:ascii="Cambria Math" w:eastAsia="Times New Roman" w:hAnsi="Cambria Math" w:cs="Times New Roman"/>
            <w:color w:val="auto"/>
            <w:kern w:val="0"/>
            <w:sz w:val="24"/>
            <w:szCs w:val="24"/>
            <w14:ligatures w14:val="none"/>
          </w:rPr>
          <m:t>=£968</m:t>
        </m:r>
      </m:oMath>
      <w:r w:rsidRPr="00CB19A3">
        <w:rPr>
          <w:rFonts w:ascii="Times New Roman" w:eastAsia="Times New Roman" w:hAnsi="Times New Roman" w:cs="Times New Roman"/>
          <w:i w:val="0"/>
          <w:iCs w:val="0"/>
          <w:color w:val="auto"/>
          <w:kern w:val="0"/>
          <w:sz w:val="24"/>
          <w:szCs w:val="24"/>
          <w14:ligatures w14:val="none"/>
        </w:rPr>
        <w:t>. That is 10.5 percent of the £9,250 principal, and under our baseline calibration it corresponds to an expected graduate wage of about £18,250 a year. Therefore, the estimates are equal only for an applicant whose income-contingent loan was worth about a tenth of its face value in present-value terms.</w:t>
      </w:r>
      <w:r w:rsidRPr="00CB19A3">
        <w:rPr>
          <w:rFonts w:ascii="Times New Roman" w:eastAsia="Times New Roman" w:hAnsi="Times New Roman" w:cs="Times New Roman"/>
          <w:kern w:val="0"/>
          <w14:ligatures w14:val="none"/>
        </w:rPr>
        <w:t xml:space="preserve"> </w:t>
      </w:r>
    </w:p>
    <w:p w14:paraId="0D6676C3" w14:textId="18F924CE" w:rsidR="00943E8D" w:rsidRDefault="005540A2" w:rsidP="00CB19A3">
      <w:pPr>
        <w:pStyle w:val="NormalWeb"/>
        <w:spacing w:before="0" w:beforeAutospacing="0" w:after="0" w:afterAutospacing="0" w:line="360" w:lineRule="auto"/>
        <w:ind w:firstLine="360"/>
      </w:pPr>
      <w:r>
        <w:rPr>
          <w:rStyle w:val="Strong"/>
          <w:b w:val="0"/>
        </w:rPr>
        <w:t>Table 3</w:t>
      </w:r>
      <w:r w:rsidR="00E065B9">
        <w:rPr>
          <w:rStyle w:val="Strong"/>
          <w:b w:val="0"/>
        </w:rPr>
        <w:t xml:space="preserve"> also</w:t>
      </w:r>
      <w:r>
        <w:rPr>
          <w:rStyle w:val="Strong"/>
          <w:b w:val="0"/>
        </w:rPr>
        <w:t xml:space="preserve"> reports regressions that relate the magnitude of the Brexit demand shock to country-level economic characteristics. Across all specifications, the baseline effect remains large, negative, and statistically significant, </w:t>
      </w:r>
      <w:r w:rsidR="00E065B9">
        <w:rPr>
          <w:rStyle w:val="Strong"/>
          <w:b w:val="0"/>
        </w:rPr>
        <w:t>showing negligible change when additional controls were added</w:t>
      </w:r>
      <w:r>
        <w:rPr>
          <w:rStyle w:val="Strong"/>
          <w:b w:val="0"/>
        </w:rPr>
        <w:t>.</w:t>
      </w:r>
      <w:r>
        <w:t xml:space="preserve"> </w:t>
      </w:r>
      <w:r>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r w:rsidR="00802883">
        <w:rPr>
          <w:rStyle w:val="Strong"/>
          <w:b w:val="0"/>
        </w:rPr>
        <w:t xml:space="preserve"> </w:t>
      </w:r>
      <w:r>
        <w:t xml:space="preserve">Working-age population also plays an important role. The interaction with population is positive and precisely estimated, </w:t>
      </w:r>
      <w:r w:rsidR="00CB19A3">
        <w:t>which demonstrates</w:t>
      </w:r>
      <w:r>
        <w:t xml:space="preserve"> that the contraction was further attenuated in demographically larger origin countries, where UK higher education is one option among a broader domestic and international set. By contrast, the interaction with youth unemployment is positive but statistically indistinguishable from zero in the fully interacted specification, so weaker youth labour markets do not measurably change the response to the fee shock.</w:t>
      </w:r>
    </w:p>
    <w:p w14:paraId="2905C496" w14:textId="143D6A2C" w:rsidR="00E065B9" w:rsidRPr="00802883" w:rsidRDefault="00E065B9" w:rsidP="00CB19A3">
      <w:pPr>
        <w:pStyle w:val="NormalWeb"/>
        <w:spacing w:before="0" w:beforeAutospacing="0" w:after="0" w:afterAutospacing="0" w:line="360" w:lineRule="auto"/>
        <w:ind w:firstLine="360"/>
        <w:rPr>
          <w:bCs/>
        </w:rPr>
      </w:pPr>
      <w:r>
        <w:rPr>
          <w:bCs/>
        </w:rPr>
        <w:t xml:space="preserve">Figure 7 reports the country specific demand elasticities assuming homogeneous </w:t>
      </w:r>
      <m:oMath>
        <m:sSub>
          <m:sSubPr>
            <m:ctrlPr>
              <w:rPr>
                <w:rFonts w:ascii="Cambria Math" w:hAnsi="Cambria Math"/>
                <w:bCs/>
                <w:i/>
              </w:rPr>
            </m:ctrlPr>
          </m:sSubPr>
          <m:e>
            <m:r>
              <w:rPr>
                <w:rFonts w:ascii="Cambria Math" w:hAnsi="Cambria Math"/>
              </w:rPr>
              <m:t>k</m:t>
            </m:r>
          </m:e>
          <m:sub>
            <m:r>
              <w:rPr>
                <w:rFonts w:ascii="Cambria Math" w:hAnsi="Cambria Math"/>
              </w:rPr>
              <m:t>j</m:t>
            </m:r>
          </m:sub>
        </m:sSub>
      </m:oMath>
      <w:r>
        <w:rPr>
          <w:bCs/>
        </w:rPr>
        <w:t xml:space="preserve"> and as visible no significant changes in the estimated parameters are visible. The only change is slight downward shift in the estimated ATT coefficient but the change is not sufficient to grant deeper investigation.</w:t>
      </w:r>
    </w:p>
    <w:p w14:paraId="3B836411" w14:textId="77777777" w:rsidR="00C64D22" w:rsidRDefault="00C64D22" w:rsidP="00C64D22">
      <w:pPr>
        <w:pStyle w:val="Caption"/>
        <w:keepNext/>
        <w:spacing w:after="0" w:line="360" w:lineRule="auto"/>
        <w:rPr>
          <w:rFonts w:ascii="Times New Roman" w:hAnsi="Times New Roman" w:cs="Times New Roman"/>
          <w:b/>
          <w:color w:val="000000" w:themeColor="text1"/>
        </w:rPr>
      </w:pPr>
    </w:p>
    <w:p w14:paraId="6933DCD8" w14:textId="1B26D343" w:rsidR="00943E8D" w:rsidRPr="00943E8D" w:rsidRDefault="00943E8D" w:rsidP="00802883">
      <w:pPr>
        <w:pStyle w:val="Caption"/>
        <w:keepNext/>
        <w:spacing w:after="0" w:line="360" w:lineRule="auto"/>
        <w:ind w:firstLine="360"/>
        <w:rPr>
          <w:rFonts w:ascii="Times New Roman" w:hAnsi="Times New Roman" w:cs="Times New Roman"/>
          <w:color w:val="000000" w:themeColor="text1"/>
        </w:rPr>
      </w:pPr>
      <w:r>
        <w:rPr>
          <w:rFonts w:ascii="Times New Roman" w:hAnsi="Times New Roman" w:cs="Times New Roman"/>
          <w:b/>
          <w:color w:val="000000" w:themeColor="text1"/>
        </w:rPr>
        <w:t>Figure 7.</w:t>
      </w:r>
      <w:r>
        <w:rPr>
          <w:rFonts w:ascii="Times New Roman" w:hAnsi="Times New Roman" w:cs="Times New Roman"/>
          <w:color w:val="000000" w:themeColor="text1"/>
        </w:rPr>
        <w:t xml:space="preserve"> Saturated DiD specifications with macroeconomic controls added. Namely GDP per capita (PPP, constant prices), population and the percentage of youth unemployment as separate models. </w:t>
      </w:r>
    </w:p>
    <w:p w14:paraId="36885447" w14:textId="2DA1BF0C" w:rsidR="002151F7" w:rsidRDefault="001214DF" w:rsidP="00B962FA">
      <w:pPr>
        <w:spacing w:line="360" w:lineRule="auto"/>
        <w:ind w:firstLine="360"/>
        <w:jc w:val="center"/>
        <w:rPr>
          <w:rStyle w:val="Strong"/>
          <w:rFonts w:ascii="Times New Roman" w:eastAsia="Times New Roman" w:hAnsi="Times New Roman" w:cs="Times New Roman"/>
          <w:b w:val="0"/>
          <w:bCs w:val="0"/>
          <w:kern w:val="0"/>
          <w14:ligatures w14:val="none"/>
        </w:rPr>
      </w:pPr>
      <w:r>
        <w:rPr>
          <w:rStyle w:val="Strong"/>
          <w:rFonts w:ascii="Times New Roman" w:eastAsia="Times New Roman" w:hAnsi="Times New Roman" w:cs="Times New Roman"/>
          <w:b w:val="0"/>
          <w:bCs w:val="0"/>
          <w:noProof/>
          <w:kern w:val="0"/>
          <w14:ligatures w14:val="none"/>
        </w:rPr>
        <w:drawing>
          <wp:inline distT="0" distB="0" distL="0" distR="0" wp14:anchorId="52898452" wp14:editId="5A4610B6">
            <wp:extent cx="5731510" cy="4093936"/>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93936"/>
                    </a:xfrm>
                    <a:prstGeom prst="rect">
                      <a:avLst/>
                    </a:prstGeom>
                  </pic:spPr>
                </pic:pic>
              </a:graphicData>
            </a:graphic>
          </wp:inline>
        </w:drawing>
      </w:r>
    </w:p>
    <w:p w14:paraId="312B0681" w14:textId="37F373FF" w:rsidR="001214DF" w:rsidRPr="004069CC" w:rsidRDefault="001214DF" w:rsidP="004069CC">
      <w:pPr>
        <w:spacing w:line="360" w:lineRule="auto"/>
        <w:rPr>
          <w:rStyle w:val="Strong"/>
          <w:rFonts w:ascii="Times New Roman" w:hAnsi="Times New Roman" w:cs="Times New Roman"/>
          <w:b w:val="0"/>
          <w:bCs w:val="0"/>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All saturated models use the demeaned version of the free covariates – namely, the GDP per capita, the population and the youth unemployment. Used are</w:t>
      </w:r>
      <w:r>
        <w:t xml:space="preserve"> </w:t>
      </w:r>
      <w:r>
        <w:rPr>
          <w:rFonts w:ascii="Times New Roman" w:hAnsi="Times New Roman" w:cs="Times New Roman"/>
          <w:iCs/>
          <w:sz w:val="18"/>
          <w:szCs w:val="18"/>
        </w:rPr>
        <w:t xml:space="preserve">Driscoll-Kraay (L=1) standard errors consistently and across all the presented models. Details in the online appendix. </w:t>
      </w:r>
    </w:p>
    <w:p w14:paraId="2F3D59E0" w14:textId="45FE15B5" w:rsidR="00FA65DA" w:rsidRPr="001E429C" w:rsidRDefault="004F7F53"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Robustness</w:t>
      </w:r>
    </w:p>
    <w:p w14:paraId="0433A124" w14:textId="2DDD42B5" w:rsidR="00D45F56" w:rsidRPr="009B5DFB" w:rsidRDefault="00D45F56" w:rsidP="00D45F56">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lastRenderedPageBreak/>
        <w:t xml:space="preserve">Control group robustness </w:t>
      </w:r>
    </w:p>
    <w:p w14:paraId="0910056A" w14:textId="5657DFDA" w:rsidR="002C1BC1" w:rsidRPr="002C1BC1" w:rsidRDefault="002C1BC1" w:rsidP="002C1BC1">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We assess the robustness of the baseline results mainly against the choice of the control group. This is because previous work has already confirmed that (Clifton-Sprigg et al. (2025)):</w:t>
      </w:r>
    </w:p>
    <w:p w14:paraId="46AC5659" w14:textId="0C175CD9"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The Brexit shock was indeed a valid quasi-experiment with stable pre-trends</w:t>
      </w:r>
    </w:p>
    <w:p w14:paraId="5C797FED" w14:textId="4137696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There were no anticipation effects and no major spillovers from the Brexit referendum in 2016 </w:t>
      </w:r>
    </w:p>
    <w:p w14:paraId="3C2DA102" w14:textId="05D2ADB2" w:rsidR="002C1BC1" w:rsidRPr="002C1BC1" w:rsidRDefault="002C1BC1" w:rsidP="002C1BC1">
      <w:pPr>
        <w:pStyle w:val="Caption"/>
        <w:keepNext/>
        <w:numPr>
          <w:ilvl w:val="0"/>
          <w:numId w:val="42"/>
        </w:numPr>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Clifton-Sprigg even performed a robustness exercise by using the Croatian case that in itself created quasi-experimental evidence when the country joined the Union.</w:t>
      </w:r>
    </w:p>
    <w:p w14:paraId="19325713" w14:textId="585A9A9D" w:rsidR="002C1BC1" w:rsidRDefault="002C1BC1" w:rsidP="002C1BC1">
      <w:pPr>
        <w:pStyle w:val="Caption"/>
        <w:keepNext/>
        <w:spacing w:after="0"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What remains is to ensure that the result is not dependent on the choice of the control group and that, regardless of its construction, we should not expect grossly different results on average. To achieve that goal, we construct four alternative control groups to our own, namely very poor countries (14 in total), very rich countries (13 in total), only OECD countries (14 in total), and Ireland as a single-country comparison. The three multi-country compositions are described in further detail in Table 4</w:t>
      </w:r>
    </w:p>
    <w:p w14:paraId="1C446F27" w14:textId="77777777" w:rsidR="002C1BC1" w:rsidRDefault="002C1BC1" w:rsidP="002C1BC1">
      <w:pPr>
        <w:pStyle w:val="Caption"/>
        <w:keepNext/>
        <w:spacing w:after="0" w:line="360" w:lineRule="auto"/>
        <w:rPr>
          <w:rFonts w:ascii="Times New Roman" w:hAnsi="Times New Roman" w:cs="Times New Roman"/>
          <w:b/>
          <w:color w:val="000000" w:themeColor="text1"/>
        </w:rPr>
      </w:pPr>
    </w:p>
    <w:p w14:paraId="34C0DBCA" w14:textId="3B433491" w:rsidR="00943E8D" w:rsidRPr="00943E8D" w:rsidRDefault="00943E8D" w:rsidP="002C1BC1">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4. </w:t>
      </w:r>
      <w:r>
        <w:rPr>
          <w:rFonts w:ascii="Times New Roman" w:hAnsi="Times New Roman" w:cs="Times New Roman"/>
          <w:color w:val="000000" w:themeColor="text1"/>
        </w:rPr>
        <w:t>Sample compositions for the alternative control groups</w:t>
      </w: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546"/>
        <w:gridCol w:w="2416"/>
        <w:gridCol w:w="2268"/>
      </w:tblGrid>
      <w:tr w:rsidR="002C1BC1" w:rsidRPr="002C1BC1" w14:paraId="5CA30D3A" w14:textId="77777777" w:rsidTr="003A34D7">
        <w:trPr>
          <w:trHeight w:val="288"/>
          <w:jc w:val="center"/>
        </w:trPr>
        <w:tc>
          <w:tcPr>
            <w:tcW w:w="1560" w:type="dxa"/>
            <w:shd w:val="clear" w:color="auto" w:fill="auto"/>
            <w:vAlign w:val="center"/>
            <w:hideMark/>
          </w:tcPr>
          <w:p w14:paraId="111AEE3B" w14:textId="77777777" w:rsidR="002C1BC1" w:rsidRPr="002C1BC1" w:rsidRDefault="002C1BC1" w:rsidP="00E25058">
            <w:pPr>
              <w:spacing w:line="360" w:lineRule="auto"/>
              <w:rPr>
                <w:rFonts w:ascii="Times New Roman" w:eastAsia="Times New Roman" w:hAnsi="Times New Roman" w:cs="Times New Roman"/>
                <w:kern w:val="0"/>
                <w14:ligatures w14:val="none"/>
              </w:rPr>
            </w:pPr>
          </w:p>
        </w:tc>
        <w:tc>
          <w:tcPr>
            <w:tcW w:w="2546" w:type="dxa"/>
            <w:shd w:val="clear" w:color="auto" w:fill="auto"/>
            <w:vAlign w:val="center"/>
            <w:hideMark/>
          </w:tcPr>
          <w:p w14:paraId="072E72C0"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Poor</w:t>
            </w:r>
          </w:p>
        </w:tc>
        <w:tc>
          <w:tcPr>
            <w:tcW w:w="2416" w:type="dxa"/>
            <w:shd w:val="clear" w:color="auto" w:fill="auto"/>
            <w:vAlign w:val="center"/>
            <w:hideMark/>
          </w:tcPr>
          <w:p w14:paraId="1BF4E4BA"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Rich</w:t>
            </w:r>
          </w:p>
        </w:tc>
        <w:tc>
          <w:tcPr>
            <w:tcW w:w="2268" w:type="dxa"/>
            <w:shd w:val="clear" w:color="auto" w:fill="auto"/>
            <w:vAlign w:val="center"/>
            <w:hideMark/>
          </w:tcPr>
          <w:p w14:paraId="1CF77728" w14:textId="77777777" w:rsidR="002C1BC1" w:rsidRPr="002C1BC1" w:rsidRDefault="002C1BC1" w:rsidP="002C1BC1">
            <w:pPr>
              <w:spacing w:line="360" w:lineRule="auto"/>
              <w:jc w:val="center"/>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OECD</w:t>
            </w:r>
          </w:p>
        </w:tc>
      </w:tr>
      <w:tr w:rsidR="002C1BC1" w:rsidRPr="002C1BC1" w14:paraId="00C549F4" w14:textId="77777777" w:rsidTr="003A34D7">
        <w:trPr>
          <w:trHeight w:val="123"/>
          <w:jc w:val="center"/>
        </w:trPr>
        <w:tc>
          <w:tcPr>
            <w:tcW w:w="1560" w:type="dxa"/>
            <w:shd w:val="clear" w:color="auto" w:fill="auto"/>
            <w:vAlign w:val="center"/>
            <w:hideMark/>
          </w:tcPr>
          <w:p w14:paraId="763F3FC9" w14:textId="2D29229B" w:rsidR="002C1BC1" w:rsidRPr="002C1BC1" w:rsidRDefault="009B1D9C"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Control group composition</w:t>
            </w:r>
          </w:p>
        </w:tc>
        <w:tc>
          <w:tcPr>
            <w:tcW w:w="2546" w:type="dxa"/>
            <w:shd w:val="clear" w:color="auto" w:fill="auto"/>
            <w:vAlign w:val="center"/>
            <w:hideMark/>
          </w:tcPr>
          <w:p w14:paraId="69FE04F8" w14:textId="00105C6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 Nepal, Bangladesh, Ethiopia, Uganda,</w:t>
            </w:r>
          </w:p>
          <w:p w14:paraId="51118F29" w14:textId="01F4D8B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Tanzania, United Republic of, Rwanda, Mozambique, Malawi,</w:t>
            </w:r>
          </w:p>
          <w:p w14:paraId="29ADF568" w14:textId="75080B2B"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Sierra Leone, Ghana, Nigeria, Kenya, Zimbabwe</w:t>
            </w:r>
          </w:p>
          <w:p w14:paraId="695A23E7" w14:textId="49FD072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p>
        </w:tc>
        <w:tc>
          <w:tcPr>
            <w:tcW w:w="2416" w:type="dxa"/>
            <w:shd w:val="clear" w:color="auto" w:fill="auto"/>
            <w:vAlign w:val="center"/>
            <w:hideMark/>
          </w:tcPr>
          <w:p w14:paraId="41C2F3F6" w14:textId="79B253E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 Canada, Australia, Norway, Switzerland,</w:t>
            </w:r>
          </w:p>
          <w:p w14:paraId="6F15F546" w14:textId="5BF0AA2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Singapore, Qatar, United Arab Emirates, Kuwait, Saudi Arabia,</w:t>
            </w:r>
          </w:p>
          <w:p w14:paraId="42203BF2" w14:textId="34594CB6"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Israel, Japan, Hong Kong</w:t>
            </w:r>
          </w:p>
        </w:tc>
        <w:tc>
          <w:tcPr>
            <w:tcW w:w="2268" w:type="dxa"/>
            <w:shd w:val="clear" w:color="auto" w:fill="auto"/>
            <w:vAlign w:val="center"/>
            <w:hideMark/>
          </w:tcPr>
          <w:p w14:paraId="254E8AEF" w14:textId="1F16C5D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Australia, Canada, Chile, Colombia, Iceland, Israel, Japan,</w:t>
            </w:r>
          </w:p>
          <w:p w14:paraId="5134A746" w14:textId="78C80F5C"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Korea, Republic of, Mexico, New Zealand, Norway, Switzerland,</w:t>
            </w:r>
          </w:p>
          <w:p w14:paraId="69A88363" w14:textId="49DA32A0"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xml:space="preserve">  Turkey, United States of America</w:t>
            </w:r>
          </w:p>
        </w:tc>
      </w:tr>
      <w:tr w:rsidR="002C1BC1" w:rsidRPr="002C1BC1" w14:paraId="654DEFEF" w14:textId="77777777" w:rsidTr="00EA3D01">
        <w:trPr>
          <w:trHeight w:val="288"/>
          <w:jc w:val="center"/>
        </w:trPr>
        <w:tc>
          <w:tcPr>
            <w:tcW w:w="1560" w:type="dxa"/>
            <w:shd w:val="clear" w:color="auto" w:fill="auto"/>
            <w:vAlign w:val="center"/>
            <w:hideMark/>
          </w:tcPr>
          <w:p w14:paraId="2BB2D914"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EU group</w:t>
            </w:r>
          </w:p>
        </w:tc>
        <w:tc>
          <w:tcPr>
            <w:tcW w:w="7230" w:type="dxa"/>
            <w:gridSpan w:val="3"/>
            <w:shd w:val="clear" w:color="auto" w:fill="auto"/>
            <w:vAlign w:val="center"/>
            <w:hideMark/>
          </w:tcPr>
          <w:p w14:paraId="62014200" w14:textId="318104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26</w:t>
            </w:r>
          </w:p>
        </w:tc>
      </w:tr>
      <w:tr w:rsidR="002C1BC1" w:rsidRPr="002C1BC1" w14:paraId="7AA3E229" w14:textId="77777777" w:rsidTr="003A34D7">
        <w:trPr>
          <w:trHeight w:val="288"/>
          <w:jc w:val="center"/>
        </w:trPr>
        <w:tc>
          <w:tcPr>
            <w:tcW w:w="1560" w:type="dxa"/>
            <w:shd w:val="clear" w:color="auto" w:fill="auto"/>
            <w:vAlign w:val="center"/>
            <w:hideMark/>
          </w:tcPr>
          <w:p w14:paraId="79FAA047" w14:textId="77777777" w:rsidR="002C1BC1" w:rsidRPr="002C1BC1" w:rsidRDefault="002C1BC1"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Observations</w:t>
            </w:r>
          </w:p>
        </w:tc>
        <w:tc>
          <w:tcPr>
            <w:tcW w:w="2546" w:type="dxa"/>
            <w:shd w:val="clear" w:color="auto" w:fill="auto"/>
            <w:vAlign w:val="center"/>
            <w:hideMark/>
          </w:tcPr>
          <w:p w14:paraId="2130D2D7"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c>
          <w:tcPr>
            <w:tcW w:w="2416" w:type="dxa"/>
            <w:shd w:val="clear" w:color="auto" w:fill="auto"/>
            <w:vAlign w:val="center"/>
            <w:hideMark/>
          </w:tcPr>
          <w:p w14:paraId="69153D99"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390</w:t>
            </w:r>
          </w:p>
        </w:tc>
        <w:tc>
          <w:tcPr>
            <w:tcW w:w="2268" w:type="dxa"/>
            <w:shd w:val="clear" w:color="auto" w:fill="auto"/>
            <w:vAlign w:val="center"/>
            <w:hideMark/>
          </w:tcPr>
          <w:p w14:paraId="6EE8F8F6" w14:textId="77777777" w:rsidR="002C1BC1" w:rsidRPr="002C1BC1" w:rsidRDefault="002C1BC1" w:rsidP="002C1BC1">
            <w:pPr>
              <w:spacing w:line="360" w:lineRule="auto"/>
              <w:jc w:val="cente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400</w:t>
            </w:r>
          </w:p>
        </w:tc>
      </w:tr>
    </w:tbl>
    <w:p w14:paraId="776522DD" w14:textId="2531183B" w:rsidR="005540A2" w:rsidRDefault="00943E8D" w:rsidP="00E25058">
      <w:pPr>
        <w:pStyle w:val="Caption"/>
        <w:spacing w:after="0" w:line="360" w:lineRule="auto"/>
        <w:rPr>
          <w:rFonts w:ascii="Times New Roman" w:hAnsi="Times New Roman" w:cs="Times New Roman"/>
          <w:i w:val="0"/>
          <w:noProof/>
        </w:rPr>
      </w:pPr>
      <w:r>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statistical description of the used groups is provided in the supplementary materials section. </w:t>
      </w:r>
    </w:p>
    <w:p w14:paraId="7616422A" w14:textId="34821662" w:rsidR="009054D1" w:rsidRDefault="009054D1" w:rsidP="009054D1">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sidRPr="009054D1">
        <w:rPr>
          <w:rFonts w:ascii="Times New Roman" w:eastAsia="Times New Roman" w:hAnsi="Times New Roman" w:cs="Times New Roman"/>
          <w:i w:val="0"/>
          <w:iCs w:val="0"/>
          <w:color w:val="auto"/>
          <w:kern w:val="0"/>
          <w:sz w:val="24"/>
          <w:szCs w:val="24"/>
          <w:lang w:eastAsia="en-GB"/>
          <w14:ligatures w14:val="none"/>
        </w:rPr>
        <w:t xml:space="preserve">A further concern is that the Graduate Route, introduced in July 2021, may have increased the attractiveness of UK higher education independently of the tuition reform by </w:t>
      </w:r>
      <w:r w:rsidRPr="009054D1">
        <w:rPr>
          <w:rFonts w:ascii="Times New Roman" w:eastAsia="Times New Roman" w:hAnsi="Times New Roman" w:cs="Times New Roman"/>
          <w:i w:val="0"/>
          <w:iCs w:val="0"/>
          <w:color w:val="auto"/>
          <w:kern w:val="0"/>
          <w:sz w:val="24"/>
          <w:szCs w:val="24"/>
          <w:lang w:eastAsia="en-GB"/>
          <w14:ligatures w14:val="none"/>
        </w:rPr>
        <w:lastRenderedPageBreak/>
        <w:t xml:space="preserve">allowing international graduates to remain in the UK for up to two years after completing their studies (Home Office, 2021). This concern is mitigated in </w:t>
      </w:r>
      <w:r w:rsidR="00183949">
        <w:rPr>
          <w:rFonts w:ascii="Times New Roman" w:eastAsia="Times New Roman" w:hAnsi="Times New Roman" w:cs="Times New Roman"/>
          <w:i w:val="0"/>
          <w:iCs w:val="0"/>
          <w:color w:val="auto"/>
          <w:kern w:val="0"/>
          <w:sz w:val="24"/>
          <w:szCs w:val="24"/>
          <w:lang w:eastAsia="en-GB"/>
          <w14:ligatures w14:val="none"/>
        </w:rPr>
        <w:t>several ways</w:t>
      </w:r>
      <w:r w:rsidRPr="009054D1">
        <w:rPr>
          <w:rFonts w:ascii="Times New Roman" w:eastAsia="Times New Roman" w:hAnsi="Times New Roman" w:cs="Times New Roman"/>
          <w:i w:val="0"/>
          <w:iCs w:val="0"/>
          <w:color w:val="auto"/>
          <w:kern w:val="0"/>
          <w:sz w:val="24"/>
          <w:szCs w:val="24"/>
          <w:lang w:eastAsia="en-GB"/>
          <w14:ligatures w14:val="none"/>
        </w:rPr>
        <w:t xml:space="preserve">. First, because the Graduate Route became available to both treated and control countries after 2021, any common increase in the attractiveness of UK study is absorbed by the year fixed effects and therefore cannot identify the difference-in-differences coefficient. </w:t>
      </w:r>
      <w:r w:rsidR="00183949">
        <w:rPr>
          <w:rFonts w:ascii="Times New Roman" w:eastAsia="Times New Roman" w:hAnsi="Times New Roman" w:cs="Times New Roman"/>
          <w:i w:val="0"/>
          <w:iCs w:val="0"/>
          <w:color w:val="auto"/>
          <w:kern w:val="0"/>
          <w:sz w:val="24"/>
          <w:szCs w:val="24"/>
          <w:lang w:eastAsia="en-GB"/>
          <w14:ligatures w14:val="none"/>
        </w:rPr>
        <w:t xml:space="preserve">Additional </w:t>
      </w:r>
      <w:r>
        <w:rPr>
          <w:rFonts w:ascii="Times New Roman" w:eastAsia="Times New Roman" w:hAnsi="Times New Roman" w:cs="Times New Roman"/>
          <w:i w:val="0"/>
          <w:iCs w:val="0"/>
          <w:color w:val="auto"/>
          <w:kern w:val="0"/>
          <w:sz w:val="24"/>
          <w:szCs w:val="24"/>
          <w:lang w:eastAsia="en-GB"/>
          <w14:ligatures w14:val="none"/>
        </w:rPr>
        <w:t>robustness insurance against</w:t>
      </w:r>
      <w:r w:rsidR="00183949">
        <w:rPr>
          <w:rFonts w:ascii="Times New Roman" w:eastAsia="Times New Roman" w:hAnsi="Times New Roman" w:cs="Times New Roman"/>
          <w:i w:val="0"/>
          <w:iCs w:val="0"/>
          <w:color w:val="auto"/>
          <w:kern w:val="0"/>
          <w:sz w:val="24"/>
          <w:szCs w:val="24"/>
          <w:lang w:eastAsia="en-GB"/>
          <w14:ligatures w14:val="none"/>
        </w:rPr>
        <w:t xml:space="preserve"> the </w:t>
      </w:r>
      <w:r w:rsidR="00183949" w:rsidRPr="009054D1">
        <w:rPr>
          <w:rFonts w:ascii="Times New Roman" w:eastAsia="Times New Roman" w:hAnsi="Times New Roman" w:cs="Times New Roman"/>
          <w:i w:val="0"/>
          <w:iCs w:val="0"/>
          <w:color w:val="auto"/>
          <w:kern w:val="0"/>
          <w:sz w:val="24"/>
          <w:szCs w:val="24"/>
          <w:lang w:eastAsia="en-GB"/>
          <w14:ligatures w14:val="none"/>
        </w:rPr>
        <w:t>Graduate Route</w:t>
      </w:r>
      <w:r w:rsidR="00183949">
        <w:rPr>
          <w:rFonts w:ascii="Times New Roman" w:eastAsia="Times New Roman" w:hAnsi="Times New Roman" w:cs="Times New Roman"/>
          <w:i w:val="0"/>
          <w:iCs w:val="0"/>
          <w:color w:val="auto"/>
          <w:kern w:val="0"/>
          <w:sz w:val="24"/>
          <w:szCs w:val="24"/>
          <w:lang w:eastAsia="en-GB"/>
          <w14:ligatures w14:val="none"/>
        </w:rPr>
        <w:t xml:space="preserve"> problem</w:t>
      </w:r>
      <w:r>
        <w:rPr>
          <w:rFonts w:ascii="Times New Roman" w:eastAsia="Times New Roman" w:hAnsi="Times New Roman" w:cs="Times New Roman"/>
          <w:i w:val="0"/>
          <w:iCs w:val="0"/>
          <w:color w:val="auto"/>
          <w:kern w:val="0"/>
          <w:sz w:val="24"/>
          <w:szCs w:val="24"/>
          <w:lang w:eastAsia="en-GB"/>
          <w14:ligatures w14:val="none"/>
        </w:rPr>
        <w:t xml:space="preserve"> is </w:t>
      </w:r>
      <w:r w:rsidRPr="009054D1">
        <w:rPr>
          <w:rFonts w:ascii="Times New Roman" w:eastAsia="Times New Roman" w:hAnsi="Times New Roman" w:cs="Times New Roman"/>
          <w:i w:val="0"/>
          <w:iCs w:val="0"/>
          <w:color w:val="auto"/>
          <w:kern w:val="0"/>
          <w:sz w:val="24"/>
          <w:szCs w:val="24"/>
          <w:lang w:eastAsia="en-GB"/>
          <w14:ligatures w14:val="none"/>
        </w:rPr>
        <w:t>the Ireland-only robustness specification.</w:t>
      </w:r>
      <w:r>
        <w:rPr>
          <w:rFonts w:ascii="Times New Roman" w:eastAsia="Times New Roman" w:hAnsi="Times New Roman" w:cs="Times New Roman"/>
          <w:i w:val="0"/>
          <w:iCs w:val="0"/>
          <w:color w:val="auto"/>
          <w:kern w:val="0"/>
          <w:sz w:val="24"/>
          <w:szCs w:val="24"/>
          <w:lang w:eastAsia="en-GB"/>
          <w14:ligatures w14:val="none"/>
        </w:rPr>
        <w:t xml:space="preserve"> This is because</w:t>
      </w:r>
      <w:r w:rsidRPr="009054D1">
        <w:rPr>
          <w:rFonts w:ascii="Times New Roman" w:eastAsia="Times New Roman" w:hAnsi="Times New Roman" w:cs="Times New Roman"/>
          <w:i w:val="0"/>
          <w:iCs w:val="0"/>
          <w:color w:val="auto"/>
          <w:kern w:val="0"/>
          <w:sz w:val="24"/>
          <w:szCs w:val="24"/>
          <w:lang w:eastAsia="en-GB"/>
          <w14:ligatures w14:val="none"/>
        </w:rPr>
        <w:t xml:space="preserve"> Irish citizens retained Common Travel Area rights and were therefore not reliant on the Graduate Route in the same way as other international students</w:t>
      </w:r>
      <w:r w:rsidR="00183949">
        <w:rPr>
          <w:rFonts w:ascii="Times New Roman" w:eastAsia="Times New Roman" w:hAnsi="Times New Roman" w:cs="Times New Roman"/>
          <w:i w:val="0"/>
          <w:iCs w:val="0"/>
          <w:color w:val="auto"/>
          <w:kern w:val="0"/>
          <w:sz w:val="24"/>
          <w:szCs w:val="24"/>
          <w:lang w:eastAsia="en-GB"/>
          <w14:ligatures w14:val="none"/>
        </w:rPr>
        <w:t xml:space="preserve"> which addresses the problem with the possible control group contamination. </w:t>
      </w:r>
    </w:p>
    <w:p w14:paraId="677B557D" w14:textId="26EA6934" w:rsidR="002C1BC1" w:rsidRDefault="002C1BC1" w:rsidP="009054D1">
      <w:pPr>
        <w:spacing w:line="360" w:lineRule="auto"/>
        <w:ind w:firstLine="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Since under this new design the construction of the control group is not based on constrained optimization we use the following formula for the weighting of the counterfactual: </w:t>
      </w:r>
    </w:p>
    <w:p w14:paraId="26D962DF" w14:textId="044251DC" w:rsidR="00B5127F" w:rsidRPr="00B5127F" w:rsidRDefault="00ED3FB9" w:rsidP="009B1D9C">
      <w:pPr>
        <w:spacing w:line="360" w:lineRule="auto"/>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+0.001</m:t>
                  </m:r>
                </m:den>
              </m:f>
            </m:num>
            <m:den>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J</m:t>
                  </m:r>
                </m:den>
              </m:f>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k=1</m:t>
                  </m:r>
                </m:sub>
                <m:sup>
                  <m:r>
                    <w:rPr>
                      <w:rFonts w:ascii="Cambria Math" w:eastAsia="Times New Roman" w:hAnsi="Cambria Math" w:cs="Times New Roman"/>
                      <w:kern w:val="0"/>
                      <w:lang w:eastAsia="en-GB"/>
                      <w14:ligatures w14:val="none"/>
                    </w:rPr>
                    <m:t>J</m:t>
                  </m:r>
                </m:sup>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+0.001</m:t>
                      </m:r>
                    </m:den>
                  </m:f>
                </m:e>
              </m:nary>
            </m:den>
          </m:f>
        </m:oMath>
      </m:oMathPara>
    </w:p>
    <w:p w14:paraId="7F4B098F" w14:textId="7CBAAC54" w:rsidR="00B5127F" w:rsidRDefault="00B5127F" w:rsidP="009B1D9C">
      <w:pPr>
        <w:spacing w:line="360" w:lineRule="auto"/>
        <w:rPr>
          <w:rFonts w:ascii="Times New Roman" w:eastAsia="Times New Roman" w:hAnsi="Times New Roman" w:cs="Times New Roman"/>
          <w:kern w:val="0"/>
          <w:lang w:eastAsia="en-GB"/>
          <w14:ligatures w14:val="none"/>
        </w:rPr>
      </w:pPr>
    </w:p>
    <w:p w14:paraId="7B740B7A" w14:textId="270CD73B" w:rsidR="00B5127F" w:rsidRDefault="00B5127F" w:rsidP="009B1D9C">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d</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rad>
          <m:radPr>
            <m:degHide m:val="1"/>
            <m:ctrlPr>
              <w:rPr>
                <w:rFonts w:ascii="Cambria Math" w:eastAsia="Times New Roman" w:hAnsi="Cambria Math" w:cs="Times New Roman"/>
                <w:i/>
                <w:kern w:val="0"/>
                <w:lang w:eastAsia="en-GB"/>
                <w14:ligatures w14:val="none"/>
              </w:rPr>
            </m:ctrlPr>
          </m:radPr>
          <m:deg/>
          <m:e>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T</m:t>
                </m:r>
              </m:den>
            </m:f>
            <m:sSup>
              <m:sSupPr>
                <m:ctrlPr>
                  <w:rPr>
                    <w:rFonts w:ascii="Cambria Math" w:eastAsia="Times New Roman" w:hAnsi="Cambria Math" w:cs="Times New Roman"/>
                    <w:i/>
                    <w:kern w:val="0"/>
                    <w:lang w:eastAsia="en-GB"/>
                    <w14:ligatures w14:val="none"/>
                  </w:rPr>
                </m:ctrlPr>
              </m:sSupPr>
              <m:e>
                <m:nary>
                  <m:naryPr>
                    <m:chr m:val="∑"/>
                    <m:limLoc m:val="undOvr"/>
                    <m:ctrlPr>
                      <w:rPr>
                        <w:rFonts w:ascii="Cambria Math" w:eastAsia="Times New Roman" w:hAnsi="Cambria Math" w:cs="Times New Roman"/>
                        <w:i/>
                        <w:kern w:val="0"/>
                        <w:lang w:eastAsia="en-GB"/>
                        <w14:ligatures w14:val="none"/>
                      </w:rPr>
                    </m:ctrlPr>
                  </m:naryPr>
                  <m:sub>
                    <m:r>
                      <w:rPr>
                        <w:rFonts w:ascii="Cambria Math" w:eastAsia="Times New Roman" w:hAnsi="Cambria Math" w:cs="Times New Roman"/>
                        <w:kern w:val="0"/>
                        <w:lang w:eastAsia="en-GB"/>
                        <w14:ligatures w14:val="none"/>
                      </w:rPr>
                      <m:t>t&lt;2021</m:t>
                    </m:r>
                  </m:sub>
                  <m:sup>
                    <m:r>
                      <w:rPr>
                        <w:rFonts w:ascii="Cambria Math" w:eastAsia="Times New Roman" w:hAnsi="Cambria Math" w:cs="Times New Roman"/>
                        <w:kern w:val="0"/>
                        <w:lang w:eastAsia="en-GB"/>
                        <w14:ligatures w14:val="none"/>
                      </w:rPr>
                      <m:t xml:space="preserve"> </m:t>
                    </m:r>
                  </m:sup>
                  <m:e>
                    <m:d>
                      <m:dPr>
                        <m:ctrlPr>
                          <w:rPr>
                            <w:rFonts w:ascii="Cambria Math" w:eastAsia="Times New Roman" w:hAnsi="Cambria Math" w:cs="Times New Roman"/>
                            <w:i/>
                            <w:kern w:val="0"/>
                            <w:lang w:eastAsia="en-GB"/>
                            <w14:ligatures w14:val="none"/>
                          </w:rPr>
                        </m:ctrlPr>
                      </m:d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jt</m:t>
                                    </m:r>
                                  </m:sub>
                                </m:sSub>
                              </m:e>
                            </m:d>
                          </m:e>
                        </m:func>
                        <m:r>
                          <w:rPr>
                            <w:rFonts w:ascii="Cambria Math" w:eastAsia="Times New Roman" w:hAnsi="Cambria Math" w:cs="Times New Roman"/>
                            <w:kern w:val="0"/>
                            <w:lang w:eastAsia="en-GB"/>
                            <w14:ligatures w14:val="none"/>
                          </w:rPr>
                          <m:t>-</m:t>
                        </m:r>
                        <m:bar>
                          <m:barPr>
                            <m:pos m:val="top"/>
                            <m:ctrlPr>
                              <w:rPr>
                                <w:rFonts w:ascii="Cambria Math" w:eastAsia="Times New Roman" w:hAnsi="Cambria Math" w:cs="Times New Roman"/>
                                <w:i/>
                                <w:kern w:val="0"/>
                                <w:lang w:eastAsia="en-GB"/>
                                <w14:ligatures w14:val="none"/>
                              </w:rPr>
                            </m:ctrlPr>
                          </m:barP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sSubSup>
                                      <m:sSubSupPr>
                                        <m:ctrlPr>
                                          <w:rPr>
                                            <w:rFonts w:ascii="Cambria Math" w:eastAsia="Times New Roman" w:hAnsi="Cambria Math" w:cs="Times New Roman"/>
                                            <w:i/>
                                            <w:kern w:val="0"/>
                                            <w:lang w:eastAsia="en-GB"/>
                                            <w14:ligatures w14:val="none"/>
                                          </w:rPr>
                                        </m:ctrlPr>
                                      </m:sSubSup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t</m:t>
                                        </m:r>
                                      </m:sub>
                                      <m:sup>
                                        <m:r>
                                          <w:rPr>
                                            <w:rFonts w:ascii="Cambria Math" w:eastAsia="Times New Roman" w:hAnsi="Cambria Math" w:cs="Times New Roman"/>
                                            <w:kern w:val="0"/>
                                            <w:lang w:eastAsia="en-GB"/>
                                            <w14:ligatures w14:val="none"/>
                                          </w:rPr>
                                          <m:t>EU</m:t>
                                        </m:r>
                                      </m:sup>
                                    </m:sSubSup>
                                  </m:e>
                                </m:d>
                              </m:e>
                            </m:func>
                          </m:e>
                        </m:bar>
                      </m:e>
                    </m:d>
                  </m:e>
                </m:nary>
              </m:e>
              <m:sup>
                <m:r>
                  <w:rPr>
                    <w:rFonts w:ascii="Cambria Math" w:eastAsia="Times New Roman" w:hAnsi="Cambria Math" w:cs="Times New Roman"/>
                    <w:kern w:val="0"/>
                    <w:lang w:eastAsia="en-GB"/>
                    <w14:ligatures w14:val="none"/>
                  </w:rPr>
                  <m:t>2</m:t>
                </m:r>
              </m:sup>
            </m:sSup>
          </m:e>
        </m:rad>
      </m:oMath>
      <w:r>
        <w:rPr>
          <w:rFonts w:ascii="Times New Roman" w:eastAsia="Times New Roman" w:hAnsi="Times New Roman" w:cs="Times New Roman"/>
          <w:kern w:val="0"/>
          <w:lang w:eastAsia="en-GB"/>
          <w14:ligatures w14:val="none"/>
        </w:rPr>
        <w:t xml:space="preserve">. The results are presented in Figures 8 and 9 for the ATT and the country-specific responses, respectively. </w:t>
      </w:r>
    </w:p>
    <w:p w14:paraId="2E8CC978" w14:textId="65B0B8A3" w:rsidR="009B1D9C" w:rsidRDefault="009B1D9C" w:rsidP="009B1D9C">
      <w:pPr>
        <w:spacing w:line="360" w:lineRule="auto"/>
        <w:rPr>
          <w:rFonts w:ascii="Times New Roman" w:eastAsia="Times New Roman" w:hAnsi="Times New Roman" w:cs="Times New Roman"/>
          <w:kern w:val="0"/>
          <w:lang w:eastAsia="en-GB"/>
          <w14:ligatures w14:val="none"/>
        </w:rPr>
      </w:pPr>
    </w:p>
    <w:p w14:paraId="47A835E8" w14:textId="1B28E651" w:rsidR="00183949" w:rsidRDefault="00183949" w:rsidP="009B1D9C">
      <w:pPr>
        <w:spacing w:line="360" w:lineRule="auto"/>
        <w:rPr>
          <w:rFonts w:ascii="Times New Roman" w:eastAsia="Times New Roman" w:hAnsi="Times New Roman" w:cs="Times New Roman"/>
          <w:kern w:val="0"/>
          <w:lang w:eastAsia="en-GB"/>
          <w14:ligatures w14:val="none"/>
        </w:rPr>
      </w:pPr>
    </w:p>
    <w:p w14:paraId="0B186D86" w14:textId="432E54B8" w:rsidR="00183949" w:rsidRDefault="00183949" w:rsidP="009B1D9C">
      <w:pPr>
        <w:spacing w:line="360" w:lineRule="auto"/>
        <w:rPr>
          <w:rFonts w:ascii="Times New Roman" w:eastAsia="Times New Roman" w:hAnsi="Times New Roman" w:cs="Times New Roman"/>
          <w:kern w:val="0"/>
          <w:lang w:eastAsia="en-GB"/>
          <w14:ligatures w14:val="none"/>
        </w:rPr>
      </w:pPr>
    </w:p>
    <w:p w14:paraId="6374E2AB" w14:textId="1628B36F" w:rsidR="00183949" w:rsidRDefault="00183949" w:rsidP="009B1D9C">
      <w:pPr>
        <w:spacing w:line="360" w:lineRule="auto"/>
        <w:rPr>
          <w:rFonts w:ascii="Times New Roman" w:eastAsia="Times New Roman" w:hAnsi="Times New Roman" w:cs="Times New Roman"/>
          <w:kern w:val="0"/>
          <w:lang w:eastAsia="en-GB"/>
          <w14:ligatures w14:val="none"/>
        </w:rPr>
      </w:pPr>
    </w:p>
    <w:p w14:paraId="32785FB9" w14:textId="4EFD111A" w:rsidR="00183949" w:rsidRDefault="00183949" w:rsidP="009B1D9C">
      <w:pPr>
        <w:spacing w:line="360" w:lineRule="auto"/>
        <w:rPr>
          <w:rFonts w:ascii="Times New Roman" w:eastAsia="Times New Roman" w:hAnsi="Times New Roman" w:cs="Times New Roman"/>
          <w:kern w:val="0"/>
          <w:lang w:eastAsia="en-GB"/>
          <w14:ligatures w14:val="none"/>
        </w:rPr>
      </w:pPr>
    </w:p>
    <w:p w14:paraId="5D85E491" w14:textId="749E6B82" w:rsidR="00183949" w:rsidRDefault="00183949" w:rsidP="009B1D9C">
      <w:pPr>
        <w:spacing w:line="360" w:lineRule="auto"/>
        <w:rPr>
          <w:rFonts w:ascii="Times New Roman" w:eastAsia="Times New Roman" w:hAnsi="Times New Roman" w:cs="Times New Roman"/>
          <w:kern w:val="0"/>
          <w:lang w:eastAsia="en-GB"/>
          <w14:ligatures w14:val="none"/>
        </w:rPr>
      </w:pPr>
    </w:p>
    <w:p w14:paraId="7C8F5C73" w14:textId="22DA9C4B" w:rsidR="00183949" w:rsidRDefault="00183949" w:rsidP="009B1D9C">
      <w:pPr>
        <w:spacing w:line="360" w:lineRule="auto"/>
        <w:rPr>
          <w:rFonts w:ascii="Times New Roman" w:eastAsia="Times New Roman" w:hAnsi="Times New Roman" w:cs="Times New Roman"/>
          <w:kern w:val="0"/>
          <w:lang w:eastAsia="en-GB"/>
          <w14:ligatures w14:val="none"/>
        </w:rPr>
      </w:pPr>
    </w:p>
    <w:p w14:paraId="37AAAE1B" w14:textId="29E618E0" w:rsidR="00183949" w:rsidRDefault="00183949" w:rsidP="009B1D9C">
      <w:pPr>
        <w:spacing w:line="360" w:lineRule="auto"/>
        <w:rPr>
          <w:rFonts w:ascii="Times New Roman" w:eastAsia="Times New Roman" w:hAnsi="Times New Roman" w:cs="Times New Roman"/>
          <w:kern w:val="0"/>
          <w:lang w:eastAsia="en-GB"/>
          <w14:ligatures w14:val="none"/>
        </w:rPr>
      </w:pPr>
    </w:p>
    <w:p w14:paraId="7B5525C2" w14:textId="0C968242" w:rsidR="00183949" w:rsidRDefault="00183949" w:rsidP="009B1D9C">
      <w:pPr>
        <w:spacing w:line="360" w:lineRule="auto"/>
        <w:rPr>
          <w:rFonts w:ascii="Times New Roman" w:eastAsia="Times New Roman" w:hAnsi="Times New Roman" w:cs="Times New Roman"/>
          <w:kern w:val="0"/>
          <w:lang w:eastAsia="en-GB"/>
          <w14:ligatures w14:val="none"/>
        </w:rPr>
      </w:pPr>
    </w:p>
    <w:p w14:paraId="050FDE58" w14:textId="4CD18A91" w:rsidR="00183949" w:rsidRDefault="00183949" w:rsidP="009B1D9C">
      <w:pPr>
        <w:spacing w:line="360" w:lineRule="auto"/>
        <w:rPr>
          <w:rFonts w:ascii="Times New Roman" w:eastAsia="Times New Roman" w:hAnsi="Times New Roman" w:cs="Times New Roman"/>
          <w:kern w:val="0"/>
          <w:lang w:eastAsia="en-GB"/>
          <w14:ligatures w14:val="none"/>
        </w:rPr>
      </w:pPr>
    </w:p>
    <w:p w14:paraId="1DBDCA26" w14:textId="1500D5BF" w:rsidR="00183949" w:rsidRDefault="00183949" w:rsidP="009B1D9C">
      <w:pPr>
        <w:spacing w:line="360" w:lineRule="auto"/>
        <w:rPr>
          <w:rFonts w:ascii="Times New Roman" w:eastAsia="Times New Roman" w:hAnsi="Times New Roman" w:cs="Times New Roman"/>
          <w:kern w:val="0"/>
          <w:lang w:eastAsia="en-GB"/>
          <w14:ligatures w14:val="none"/>
        </w:rPr>
      </w:pPr>
    </w:p>
    <w:p w14:paraId="5C14ADDE" w14:textId="205F014E" w:rsidR="00183949" w:rsidRDefault="00183949" w:rsidP="009B1D9C">
      <w:pPr>
        <w:spacing w:line="360" w:lineRule="auto"/>
        <w:rPr>
          <w:rFonts w:ascii="Times New Roman" w:eastAsia="Times New Roman" w:hAnsi="Times New Roman" w:cs="Times New Roman"/>
          <w:kern w:val="0"/>
          <w:lang w:eastAsia="en-GB"/>
          <w14:ligatures w14:val="none"/>
        </w:rPr>
      </w:pPr>
    </w:p>
    <w:p w14:paraId="77C1D723" w14:textId="626756B2" w:rsidR="00183949" w:rsidRDefault="00183949" w:rsidP="009B1D9C">
      <w:pPr>
        <w:spacing w:line="360" w:lineRule="auto"/>
        <w:rPr>
          <w:rFonts w:ascii="Times New Roman" w:eastAsia="Times New Roman" w:hAnsi="Times New Roman" w:cs="Times New Roman"/>
          <w:kern w:val="0"/>
          <w:lang w:eastAsia="en-GB"/>
          <w14:ligatures w14:val="none"/>
        </w:rPr>
      </w:pPr>
    </w:p>
    <w:p w14:paraId="7C9F8A95" w14:textId="0F94798E" w:rsidR="00183949" w:rsidRDefault="00183949" w:rsidP="009B1D9C">
      <w:pPr>
        <w:spacing w:line="360" w:lineRule="auto"/>
        <w:rPr>
          <w:rFonts w:ascii="Times New Roman" w:eastAsia="Times New Roman" w:hAnsi="Times New Roman" w:cs="Times New Roman"/>
          <w:kern w:val="0"/>
          <w:lang w:eastAsia="en-GB"/>
          <w14:ligatures w14:val="none"/>
        </w:rPr>
      </w:pPr>
    </w:p>
    <w:p w14:paraId="4E080724" w14:textId="77777777" w:rsidR="00183949" w:rsidRDefault="00183949" w:rsidP="009B1D9C">
      <w:pPr>
        <w:spacing w:line="360" w:lineRule="auto"/>
        <w:rPr>
          <w:rFonts w:ascii="Times New Roman" w:eastAsia="Times New Roman" w:hAnsi="Times New Roman" w:cs="Times New Roman"/>
          <w:kern w:val="0"/>
          <w:lang w:eastAsia="en-GB"/>
          <w14:ligatures w14:val="none"/>
        </w:rPr>
      </w:pPr>
    </w:p>
    <w:p w14:paraId="35AD4AEF"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8.</w:t>
      </w:r>
      <w:r>
        <w:rPr>
          <w:rFonts w:ascii="Times New Roman" w:hAnsi="Times New Roman" w:cs="Times New Roman"/>
          <w:color w:val="000000" w:themeColor="text1"/>
        </w:rPr>
        <w:t xml:space="preserve"> Robustness of the Brexit effect across alternative control-group definitions (pooled DiD estimates).</w:t>
      </w:r>
    </w:p>
    <w:p w14:paraId="7DABB7C3" w14:textId="77777777" w:rsidR="00117857" w:rsidRDefault="00117857" w:rsidP="009B1D9C">
      <w:pPr>
        <w:spacing w:line="360" w:lineRule="auto"/>
        <w:rPr>
          <w:rFonts w:ascii="Times New Roman" w:eastAsia="Times New Roman" w:hAnsi="Times New Roman" w:cs="Times New Roman"/>
          <w:kern w:val="0"/>
          <w:lang w:eastAsia="en-GB"/>
          <w14:ligatures w14:val="none"/>
        </w:rPr>
      </w:pPr>
    </w:p>
    <w:p w14:paraId="7FE54381" w14:textId="6A19CFF1"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5114113D" wp14:editId="04360DC6">
            <wp:extent cx="5731510" cy="4093936"/>
            <wp:effectExtent l="0" t="0" r="254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93936"/>
                    </a:xfrm>
                    <a:prstGeom prst="rect">
                      <a:avLst/>
                    </a:prstGeom>
                  </pic:spPr>
                </pic:pic>
              </a:graphicData>
            </a:graphic>
          </wp:inline>
        </w:drawing>
      </w:r>
    </w:p>
    <w:p w14:paraId="01197C1B" w14:textId="088B24D1" w:rsidR="00117857" w:rsidRDefault="009B1D9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2F091547" w14:textId="77777777" w:rsidR="00117857" w:rsidRDefault="00117857" w:rsidP="00117857">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9.</w:t>
      </w:r>
      <w:r>
        <w:rPr>
          <w:rFonts w:ascii="Times New Roman" w:hAnsi="Times New Roman" w:cs="Times New Roman"/>
          <w:color w:val="000000" w:themeColor="text1"/>
        </w:rPr>
        <w:t xml:space="preserve"> Saturated difference-in-differences robustness across control-group specifications.</w:t>
      </w:r>
    </w:p>
    <w:p w14:paraId="1B35A24D" w14:textId="77777777" w:rsidR="00117857" w:rsidRDefault="00117857">
      <w:pPr>
        <w:spacing w:line="360" w:lineRule="auto"/>
        <w:rPr>
          <w:rFonts w:ascii="Times New Roman" w:hAnsi="Times New Roman" w:cs="Times New Roman"/>
          <w:iCs/>
          <w:sz w:val="18"/>
          <w:szCs w:val="18"/>
        </w:rPr>
      </w:pPr>
    </w:p>
    <w:p w14:paraId="7B4B3819" w14:textId="331C9160" w:rsidR="009B1D9C" w:rsidRDefault="009B1D9C" w:rsidP="002C1BC1">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lastRenderedPageBreak/>
        <w:drawing>
          <wp:inline distT="0" distB="0" distL="0" distR="0" wp14:anchorId="22307936" wp14:editId="3CDC8463">
            <wp:extent cx="5731510" cy="4093936"/>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93936"/>
                    </a:xfrm>
                    <a:prstGeom prst="rect">
                      <a:avLst/>
                    </a:prstGeom>
                  </pic:spPr>
                </pic:pic>
              </a:graphicData>
            </a:graphic>
          </wp:inline>
        </w:drawing>
      </w:r>
    </w:p>
    <w:p w14:paraId="1A2B3C04" w14:textId="1A2B3C04" w:rsidR="00F6246D" w:rsidRDefault="00F6246D">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Grey lines show country-specific dynamic treatment trajectories under each alternative control-group specification; the black line marks the cross-specification average. Malta (blue) and Lithuania (red) mark the upper and lower bounds of the estimated effects.</w:t>
      </w:r>
    </w:p>
    <w:p w14:paraId="6A01E4FE" w14:textId="77777777" w:rsidR="00F6246D" w:rsidRPr="00B5127F" w:rsidRDefault="00F6246D" w:rsidP="002C1BC1">
      <w:pPr>
        <w:rPr>
          <w:rFonts w:ascii="Times New Roman" w:eastAsia="Times New Roman" w:hAnsi="Times New Roman" w:cs="Times New Roman"/>
          <w:kern w:val="0"/>
          <w:lang w:eastAsia="en-GB"/>
          <w14:ligatures w14:val="none"/>
        </w:rPr>
      </w:pPr>
    </w:p>
    <w:p w14:paraId="50FA079D" w14:textId="77777777" w:rsidR="009B5DFB" w:rsidRPr="009B5DFB" w:rsidRDefault="009B5DFB" w:rsidP="009B5DFB">
      <w:pPr>
        <w:spacing w:line="360" w:lineRule="auto"/>
        <w:rPr>
          <w:rFonts w:ascii="Times New Roman" w:hAnsi="Times New Roman" w:cs="Times New Roman"/>
          <w:noProof/>
        </w:rPr>
      </w:pPr>
      <w:r>
        <w:rPr>
          <w:rFonts w:ascii="Times New Roman" w:hAnsi="Times New Roman" w:cs="Times New Roman"/>
          <w:noProof/>
        </w:rPr>
        <w:t>The robustness exercises on Figures 8 and 9 show that the estimated Brexit effect is not an artifact of a particular donor-pool construction. Across all alternative control groups, the coefficient on EU × Post remains large, negative, and far from zero. Whether the control group is built from the baseline synthetic donor pool, OECD countries, high-income countries, low-income countries, or Ireland alone, the estimated collapse in EU applications remains of similar order of magnitude. The point estimates move because each donor pool implies a different untreated benchmark, but none of the alternative specifications changes the substantive conclusion.</w:t>
      </w:r>
    </w:p>
    <w:p w14:paraId="13C7A14D" w14:textId="09D91FFF" w:rsidR="009B5DFB" w:rsidRDefault="009B5DFB" w:rsidP="009B5DFB">
      <w:pPr>
        <w:spacing w:line="360" w:lineRule="auto"/>
        <w:ind w:firstLine="720"/>
        <w:rPr>
          <w:rFonts w:ascii="Times New Roman" w:hAnsi="Times New Roman" w:cs="Times New Roman"/>
          <w:noProof/>
        </w:rPr>
      </w:pPr>
      <w:r>
        <w:rPr>
          <w:rFonts w:ascii="Times New Roman" w:hAnsi="Times New Roman" w:cs="Times New Roman"/>
          <w:noProof/>
        </w:rPr>
        <w:t xml:space="preserve">The poor-country control group generates the most negative estimates. This is informative because it shows that the decline is not a generic post-pandemic fall in applications from low-income origins. If that were the mechanism, low-income non-EU countries should absorb much of the EU decline and push the coefficient toward zero.  The Ireland-only specification is also useful as a diagnostic. Ireland is deeply connected to the UK higher-education market through language, proximity, and institutional familiarity, so it provides a demanding comparison. It is also the only EU country not affected by the shift in </w:t>
      </w:r>
      <w:r>
        <w:rPr>
          <w:rFonts w:ascii="Times New Roman" w:hAnsi="Times New Roman" w:cs="Times New Roman"/>
          <w:noProof/>
        </w:rPr>
        <w:lastRenderedPageBreak/>
        <w:t>tuitions. If the result were driven by common shocks to nearby or culturally connected markets, the comparison with Ireland should substantially weaken the estimate. It does not. The estimate remains close to the other robustness results, reinforcing the interpretation that the post-2021 break reflects the EU-specific loss of Home Fee status and loan access. Figure 9 also strengthens the robustness of the main results by showing that the ranking of the post-Brexit responses is preserved regardless of the chosen baseline. Another important point is that the weighting of the control group appears to affect the final estimates only at the margin, providing robust evidence that both the order and the magnitude of the collapse were stable enough for the inferences made in this paper. As a further check that does not rely on the constrained donor weights, we estimate the average treatment effect on the full donor pool with the standalone synthetic difference-in-differences estimator of Arkhangelsky et al. (2021). The estimator returns an ATT of -1.23 (jackknife standard error 0.10, with a 95% confidence interval from -1.43 to -1.02), which falls squarely within the range of the pooled and saturated estimates reported above and confirms that the headline collapse in EU applications does not hinge on how the counterfactual is weighted.</w:t>
      </w:r>
    </w:p>
    <w:p w14:paraId="07272072" w14:textId="77777777" w:rsidR="00737CEF" w:rsidRPr="009B5DFB" w:rsidRDefault="00737CEF" w:rsidP="00737CEF">
      <w:pPr>
        <w:spacing w:line="360" w:lineRule="auto"/>
        <w:rPr>
          <w:rFonts w:ascii="Times New Roman" w:eastAsiaTheme="minorEastAsia" w:hAnsi="Times New Roman" w:cs="Times New Roman"/>
          <w:noProof/>
        </w:rPr>
      </w:pPr>
    </w:p>
    <w:p w14:paraId="786418D8" w14:textId="7031D498" w:rsidR="00D45F56" w:rsidRPr="009B5DFB" w:rsidRDefault="009B5DFB" w:rsidP="009B5DFB">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eastAsia="en-GB"/>
          <w14:ligatures w14:val="none"/>
        </w:rPr>
        <w:t xml:space="preserve"> </w:t>
      </w:r>
      <m:oMath>
        <m:sSub>
          <m:sSubPr>
            <m:ctrlPr>
              <w:rPr>
                <w:rFonts w:ascii="Cambria Math" w:eastAsia="Times New Roman" w:hAnsi="Cambria Math" w:cs="Times New Roman"/>
                <w:b/>
                <w:iCs w:val="0"/>
                <w:color w:val="auto"/>
                <w:kern w:val="0"/>
                <w:sz w:val="24"/>
                <w:szCs w:val="24"/>
                <w:lang w:eastAsia="en-GB"/>
                <w14:ligatures w14:val="none"/>
              </w:rPr>
            </m:ctrlPr>
          </m:sSubPr>
          <m:e>
            <m:r>
              <m:rPr>
                <m:sty m:val="bi"/>
              </m:rPr>
              <w:rPr>
                <w:rFonts w:ascii="Cambria Math" w:eastAsia="Times New Roman" w:hAnsi="Cambria Math" w:cs="Times New Roman"/>
                <w:color w:val="auto"/>
                <w:kern w:val="0"/>
                <w:sz w:val="24"/>
                <w:szCs w:val="24"/>
                <w:lang w:eastAsia="en-GB"/>
                <w14:ligatures w14:val="none"/>
              </w:rPr>
              <m:t>k</m:t>
            </m:r>
          </m:e>
          <m:sub>
            <m:r>
              <m:rPr>
                <m:sty m:val="bi"/>
              </m:rPr>
              <w:rPr>
                <w:rFonts w:ascii="Cambria Math" w:eastAsia="Times New Roman" w:hAnsi="Cambria Math" w:cs="Times New Roman"/>
                <w:color w:val="auto"/>
                <w:kern w:val="0"/>
                <w:sz w:val="24"/>
                <w:szCs w:val="24"/>
                <w:lang w:eastAsia="en-GB"/>
                <w14:ligatures w14:val="none"/>
              </w:rPr>
              <m:t>j</m:t>
            </m:r>
          </m:sub>
        </m:sSub>
      </m:oMath>
      <w:r>
        <w:rPr>
          <w:rFonts w:ascii="Times New Roman" w:eastAsia="Times New Roman" w:hAnsi="Times New Roman" w:cs="Times New Roman"/>
          <w:b/>
          <w:iCs w:val="0"/>
          <w:color w:val="auto"/>
          <w:kern w:val="0"/>
          <w:sz w:val="24"/>
          <w:szCs w:val="24"/>
          <w:lang w:eastAsia="en-GB"/>
          <w14:ligatures w14:val="none"/>
        </w:rPr>
        <w:t xml:space="preserve"> robustness </w:t>
      </w:r>
    </w:p>
    <w:p w14:paraId="6D89B0A0" w14:textId="7C437190" w:rsidR="002867A3" w:rsidRPr="002867A3" w:rsidRDefault="002867A3" w:rsidP="00F920C9">
      <w:pPr>
        <w:spacing w:line="360" w:lineRule="auto"/>
        <w:rPr>
          <w:rFonts w:ascii="Times New Roman" w:hAnsi="Times New Roman" w:cs="Times New Roman"/>
          <w:noProof/>
        </w:rPr>
      </w:pPr>
      <w:r>
        <w:rPr>
          <w:rFonts w:ascii="Times New Roman" w:hAnsi="Times New Roman" w:cs="Times New Roman"/>
          <w:noProof/>
        </w:rPr>
        <w:t xml:space="preserve">A natural objection to the loan correction is mechanical. Because the loan-adjusted price change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falls with income, dividing the estimated effect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by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will attenuate any income gradient almost automatically, so the collapse of the gradient could reflect nothing more than division by an income-correlated quantity and not necessarily the economic content of the loan. To separate these, we construct a placebo denominator that carries the income dependence of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but none of its structure. We take log wages as a pure monotone income signal, with no repayment threshold, no finite horizon, and no discounting, and rescale it by a min-max transformation onto the exact range spanned by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Writing the rescaling explicitly:</w:t>
      </w:r>
    </w:p>
    <w:p w14:paraId="213A5A15" w14:textId="78EA5921" w:rsidR="009B5DFB" w:rsidRPr="002867A3" w:rsidRDefault="00ED3FB9" w:rsidP="002867A3">
      <w:pPr>
        <w:spacing w:line="360" w:lineRule="auto"/>
        <w:rPr>
          <w:rFonts w:ascii="Times New Roman" w:hAnsi="Times New Roman" w:cs="Times New Roman"/>
          <w:noProof/>
        </w:rPr>
      </w:pPr>
      <m:oMathPara>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r>
            <w:rPr>
              <w:rFonts w:ascii="Cambria Math" w:hAnsi="Cambria Math" w:cs="Times New Roman"/>
              <w:noProof/>
            </w:rPr>
            <m:t>=</m:t>
          </m:r>
          <m:d>
            <m:dPr>
              <m:begChr m:val="["/>
              <m:endChr m:val="]"/>
              <m:ctrlPr>
                <w:rPr>
                  <w:rFonts w:ascii="Cambria Math" w:hAnsi="Cambria Math" w:cs="Times New Roman"/>
                  <w:i/>
                  <w:noProof/>
                </w:rPr>
              </m:ctrlPr>
            </m:dPr>
            <m:e>
              <m:f>
                <m:fPr>
                  <m:ctrlPr>
                    <w:rPr>
                      <w:rFonts w:ascii="Cambria Math" w:hAnsi="Cambria Math" w:cs="Times New Roman"/>
                      <w:i/>
                      <w:noProof/>
                    </w:rPr>
                  </m:ctrlPr>
                </m:fPr>
                <m:num>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j</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d>
                    </m:e>
                  </m:func>
                </m:num>
                <m:den>
                  <m:func>
                    <m:funcPr>
                      <m:ctrlPr>
                        <w:rPr>
                          <w:rFonts w:ascii="Cambria Math" w:hAnsi="Cambria Math" w:cs="Times New Roman"/>
                          <w:i/>
                          <w:noProof/>
                        </w:rPr>
                      </m:ctrlPr>
                    </m:funcPr>
                    <m:fName>
                      <m:r>
                        <m:rPr>
                          <m:sty m:val="p"/>
                        </m:rPr>
                        <w:rPr>
                          <w:rFonts w:ascii="Cambria Math" w:hAnsi="Cambria Math" w:cs="Times New Roman"/>
                          <w:noProof/>
                        </w:rPr>
                        <m:t>max</m:t>
                      </m:r>
                    </m:fName>
                    <m:e>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func>
                        <m:funcPr>
                          <m:ctrlPr>
                            <w:rPr>
                              <w:rFonts w:ascii="Cambria Math" w:hAnsi="Cambria Math" w:cs="Times New Roman"/>
                              <w:i/>
                              <w:noProof/>
                            </w:rPr>
                          </m:ctrlPr>
                        </m:funcPr>
                        <m:fName>
                          <m:r>
                            <m:rPr>
                              <m:sty m:val="p"/>
                            </m:rPr>
                            <w:rPr>
                              <w:rFonts w:ascii="Cambria Math" w:hAnsi="Cambria Math" w:cs="Times New Roman"/>
                              <w:noProof/>
                            </w:rPr>
                            <m:t>(log</m:t>
                          </m:r>
                        </m:fName>
                        <m:e>
                          <m:sSub>
                            <m:sSubPr>
                              <m:ctrlPr>
                                <w:rPr>
                                  <w:rFonts w:ascii="Cambria Math" w:hAnsi="Cambria Math" w:cs="Times New Roman"/>
                                  <w:i/>
                                  <w:noProof/>
                                </w:rPr>
                              </m:ctrlPr>
                            </m:sSubPr>
                            <m:e>
                              <m:r>
                                <w:rPr>
                                  <w:rFonts w:ascii="Cambria Math" w:hAnsi="Cambria Math" w:cs="Times New Roman"/>
                                  <w:noProof/>
                                </w:rPr>
                                <m:t>w</m:t>
                              </m:r>
                            </m:e>
                            <m:sub>
                              <m:r>
                                <w:rPr>
                                  <w:rFonts w:ascii="Cambria Math" w:hAnsi="Cambria Math" w:cs="Times New Roman"/>
                                  <w:noProof/>
                                </w:rPr>
                                <m:t>i</m:t>
                              </m:r>
                            </m:sub>
                          </m:sSub>
                        </m:e>
                      </m:func>
                      <m:r>
                        <w:rPr>
                          <w:rFonts w:ascii="Cambria Math" w:hAnsi="Cambria Math" w:cs="Times New Roman"/>
                          <w:noProof/>
                        </w:rPr>
                        <m:t>)</m:t>
                      </m:r>
                    </m:e>
                  </m:func>
                  <m:r>
                    <w:rPr>
                      <w:rFonts w:ascii="Cambria Math" w:hAnsi="Cambria Math" w:cs="Times New Roman"/>
                      <w:noProof/>
                    </w:rPr>
                    <m:t xml:space="preserve"> </m:t>
                  </m:r>
                </m:den>
              </m:f>
            </m:e>
          </m:d>
          <m:r>
            <w:rPr>
              <w:rFonts w:ascii="Cambria Math" w:hAnsi="Cambria Math" w:cs="Times New Roman"/>
              <w:noProof/>
            </w:rPr>
            <m:t>×</m:t>
          </m:r>
          <m:d>
            <m:dPr>
              <m:ctrlPr>
                <w:rPr>
                  <w:rFonts w:ascii="Cambria Math" w:hAnsi="Cambria Math" w:cs="Times New Roman"/>
                  <w:i/>
                  <w:noProof/>
                </w:rPr>
              </m:ctrlPr>
            </m:dPr>
            <m:e>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e>
          </m:d>
          <m:r>
            <w:rPr>
              <w:rFonts w:ascii="Cambria Math" w:hAnsi="Cambria Math" w:cs="Times New Roman"/>
              <w:noProof/>
            </w:rPr>
            <m:t>+</m:t>
          </m:r>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m:oMathPara>
    </w:p>
    <w:p w14:paraId="6CDA8865" w14:textId="64B34B3A" w:rsidR="002867A3" w:rsidRPr="002867A3" w:rsidRDefault="002867A3" w:rsidP="002867A3">
      <w:pPr>
        <w:spacing w:line="360" w:lineRule="auto"/>
        <w:rPr>
          <w:rFonts w:ascii="Times New Roman" w:hAnsi="Times New Roman" w:cs="Times New Roman"/>
          <w:noProof/>
        </w:rPr>
      </w:pPr>
      <w:r>
        <w:rPr>
          <w:rFonts w:ascii="Times New Roman" w:hAnsi="Times New Roman" w:cs="Times New Roman"/>
          <w:noProof/>
        </w:rPr>
        <w:t xml:space="preserve">By construction,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spans the identical interval to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with its minimum and maximum pinned to </w:t>
      </w:r>
      <m:oMath>
        <m:func>
          <m:funcPr>
            <m:ctrlPr>
              <w:rPr>
                <w:rFonts w:ascii="Cambria Math" w:hAnsi="Cambria Math" w:cs="Times New Roman"/>
                <w:i/>
                <w:noProof/>
              </w:rPr>
            </m:ctrlPr>
          </m:funcPr>
          <m:fName>
            <m:r>
              <m:rPr>
                <m:sty m:val="p"/>
              </m:rPr>
              <w:rPr>
                <w:rFonts w:ascii="Cambria Math" w:hAnsi="Cambria Math" w:cs="Times New Roman"/>
                <w:noProof/>
              </w:rPr>
              <m:t>min</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oMath>
      <w:r>
        <w:rPr>
          <w:rFonts w:ascii="Times New Roman" w:hAnsi="Times New Roman" w:cs="Times New Roman"/>
          <w:noProof/>
        </w:rPr>
        <w:t xml:space="preserve"> and </w:t>
      </w:r>
      <m:oMath>
        <m:func>
          <m:funcPr>
            <m:ctrlPr>
              <w:rPr>
                <w:rFonts w:ascii="Cambria Math" w:hAnsi="Cambria Math" w:cs="Times New Roman"/>
                <w:i/>
                <w:noProof/>
              </w:rPr>
            </m:ctrlPr>
          </m:funcPr>
          <m:fName>
            <m:r>
              <m:rPr>
                <m:sty m:val="p"/>
              </m:rPr>
              <w:rPr>
                <w:rFonts w:ascii="Cambria Math" w:hAnsi="Cambria Math" w:cs="Times New Roman"/>
                <w:noProof/>
              </w:rPr>
              <m:t>max</m:t>
            </m:r>
          </m:fName>
          <m:e>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i</m:t>
                </m:r>
              </m:sub>
            </m:sSub>
          </m:e>
        </m:func>
        <m:r>
          <w:rPr>
            <w:rFonts w:ascii="Cambria Math" w:hAnsi="Cambria Math" w:cs="Times New Roman"/>
            <w:noProof/>
          </w:rPr>
          <m:t xml:space="preserve"> </m:t>
        </m:r>
      </m:oMath>
      <w:r>
        <w:rPr>
          <w:rFonts w:ascii="Times New Roman" w:hAnsi="Times New Roman" w:cs="Times New Roman"/>
          <w:noProof/>
        </w:rPr>
        <w:t xml:space="preserve">, so the two denominators differ only in how they map income onto that interval and not in scale. The real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bends through the present value of the income-contingent loan, saturating at higher incomes as graduates repay the full principal, whereas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rises monotonically in log income without saturating. We then form placebo elasticities  </w:t>
      </w:r>
      <m:oMath>
        <m:sSub>
          <m:sSubPr>
            <m:ctrlPr>
              <w:rPr>
                <w:rFonts w:ascii="Cambria Math" w:hAnsi="Cambria Math" w:cs="Times New Roman"/>
                <w:i/>
                <w:noProof/>
              </w:rPr>
            </m:ctrlPr>
          </m:sSubPr>
          <m:e>
            <m:acc>
              <m:accPr>
                <m:ctrlPr>
                  <w:rPr>
                    <w:rFonts w:ascii="Cambria Math" w:hAnsi="Cambria Math" w:cs="Times New Roman"/>
                    <w:i/>
                    <w:noProof/>
                  </w:rPr>
                </m:ctrlPr>
              </m:accPr>
              <m:e>
                <m:r>
                  <w:rPr>
                    <w:rFonts w:ascii="Cambria Math" w:hAnsi="Cambria Math" w:cs="Times New Roman"/>
                    <w:noProof/>
                  </w:rPr>
                  <m:t>β</m:t>
                </m:r>
              </m:e>
            </m:acc>
          </m:e>
          <m:sub>
            <m:r>
              <w:rPr>
                <w:rFonts w:ascii="Cambria Math" w:hAnsi="Cambria Math" w:cs="Times New Roman"/>
                <w:noProof/>
              </w:rPr>
              <m:t>j</m:t>
            </m:r>
          </m:sub>
        </m:sSub>
      </m:oMath>
      <w:r>
        <w:rPr>
          <w:rFonts w:ascii="Times New Roman" w:hAnsi="Times New Roman" w:cs="Times New Roman"/>
          <w:noProof/>
        </w:rPr>
        <w:t xml:space="preserve"> divided by </w:t>
      </w:r>
      <m:oMath>
        <m:sSubSup>
          <m:sSubSupPr>
            <m:ctrlPr>
              <w:rPr>
                <w:rFonts w:ascii="Cambria Math" w:hAnsi="Cambria Math" w:cs="Times New Roman"/>
                <w:i/>
                <w:noProof/>
              </w:rPr>
            </m:ctrlPr>
          </m:sSubSupPr>
          <m:e>
            <m:r>
              <w:rPr>
                <w:rFonts w:ascii="Cambria Math" w:hAnsi="Cambria Math" w:cs="Times New Roman"/>
                <w:noProof/>
              </w:rPr>
              <m:t>k</m:t>
            </m:r>
          </m:e>
          <m:sub>
            <m:r>
              <w:rPr>
                <w:rFonts w:ascii="Cambria Math" w:hAnsi="Cambria Math" w:cs="Times New Roman"/>
                <w:noProof/>
              </w:rPr>
              <m:t>j</m:t>
            </m:r>
          </m:sub>
          <m:sup>
            <m:r>
              <w:rPr>
                <w:rFonts w:ascii="Cambria Math" w:hAnsi="Cambria Math" w:cs="Times New Roman"/>
                <w:noProof/>
              </w:rPr>
              <m:t>placebo</m:t>
            </m:r>
          </m:sup>
        </m:sSubSup>
      </m:oMath>
      <w:r>
        <w:rPr>
          <w:rFonts w:ascii="Times New Roman" w:hAnsi="Times New Roman" w:cs="Times New Roman"/>
          <w:noProof/>
        </w:rPr>
        <w:t xml:space="preserve"> and re-estimate the income gradient.</w:t>
      </w:r>
    </w:p>
    <w:p w14:paraId="16AF80EE" w14:textId="554010EA" w:rsidR="002867A3" w:rsidRDefault="002867A3" w:rsidP="009B5DFB">
      <w:pPr>
        <w:spacing w:line="360" w:lineRule="auto"/>
        <w:ind w:firstLine="360"/>
        <w:rPr>
          <w:rFonts w:ascii="Times New Roman" w:hAnsi="Times New Roman" w:cs="Times New Roman"/>
          <w:noProof/>
        </w:rPr>
      </w:pPr>
      <w:r>
        <w:rPr>
          <w:rFonts w:ascii="Times New Roman" w:hAnsi="Times New Roman" w:cs="Times New Roman"/>
          <w:noProof/>
        </w:rPr>
        <w:t>The results isolate the loan mechanism. Under a common price change the gradient is steep and significant (</w:t>
      </w:r>
      <m:oMath>
        <m:r>
          <w:rPr>
            <w:rFonts w:ascii="Cambria Math" w:hAnsi="Cambria Math" w:cs="Times New Roman"/>
            <w:noProof/>
          </w:rPr>
          <m:t>γ</m:t>
        </m:r>
      </m:oMath>
      <w:r>
        <w:rPr>
          <w:rFonts w:ascii="Times New Roman" w:hAnsi="Times New Roman" w:cs="Times New Roman"/>
          <w:noProof/>
        </w:rPr>
        <w:t xml:space="preserve">= 1.11, p = 0.001, n=25). Under the real loan-adjusted </w:t>
      </w:r>
      <m:oMath>
        <m:sSub>
          <m:sSubPr>
            <m:ctrlPr>
              <w:rPr>
                <w:rFonts w:ascii="Cambria Math" w:hAnsi="Cambria Math" w:cs="Times New Roman"/>
                <w:i/>
                <w:noProof/>
              </w:rPr>
            </m:ctrlPr>
          </m:sSubPr>
          <m:e>
            <m:r>
              <w:rPr>
                <w:rFonts w:ascii="Cambria Math" w:hAnsi="Cambria Math" w:cs="Times New Roman"/>
                <w:noProof/>
              </w:rPr>
              <m:t>k</m:t>
            </m:r>
          </m:e>
          <m:sub>
            <m:r>
              <w:rPr>
                <w:rFonts w:ascii="Cambria Math" w:hAnsi="Cambria Math" w:cs="Times New Roman"/>
                <w:noProof/>
              </w:rPr>
              <m:t>j</m:t>
            </m:r>
          </m:sub>
        </m:sSub>
      </m:oMath>
      <w:r>
        <w:rPr>
          <w:rFonts w:ascii="Times New Roman" w:hAnsi="Times New Roman" w:cs="Times New Roman"/>
          <w:noProof/>
        </w:rPr>
        <w:t xml:space="preserve"> it flattens to insignificance (</w:t>
      </w:r>
      <m:oMath>
        <m:r>
          <w:rPr>
            <w:rFonts w:ascii="Cambria Math" w:hAnsi="Cambria Math" w:cs="Times New Roman"/>
            <w:noProof/>
          </w:rPr>
          <m:t>γ</m:t>
        </m:r>
      </m:oMath>
      <w:r>
        <w:rPr>
          <w:rFonts w:ascii="Times New Roman" w:hAnsi="Times New Roman" w:cs="Times New Roman"/>
          <w:noProof/>
        </w:rPr>
        <w:t xml:space="preserve"> = -0.37, p = 0.23, with a confidence interval spanning zero, n=25). Under the placebo income-only denominator, rescaled to the same range, the gradient remains steep and significant (</w:t>
      </w:r>
      <m:oMath>
        <m:r>
          <w:rPr>
            <w:rFonts w:ascii="Cambria Math" w:hAnsi="Cambria Math" w:cs="Times New Roman"/>
            <w:noProof/>
          </w:rPr>
          <m:t>γ</m:t>
        </m:r>
      </m:oMath>
      <w:r>
        <w:rPr>
          <w:rFonts w:ascii="Times New Roman" w:hAnsi="Times New Roman" w:cs="Times New Roman"/>
          <w:noProof/>
        </w:rPr>
        <w:t xml:space="preserve"> = 0.87, p = 0.038. n=25). A monotone income divisor therefore does not reproduce the collapse. What dissolves the income gradient is not division by an income-correlated quantity in general, but specifically the curvature the income-contingent loan imposes on the effective price change, in particular its saturation at higher expected earnings. This is direct evidence that the loan-valuation channel, not the mechanical income rescaling, drives the disappearance of the income gradient and it serves as the most fundamental defence of the general mechanism presented here. </w:t>
      </w:r>
    </w:p>
    <w:p w14:paraId="7ED87344" w14:textId="1F045A61" w:rsidR="00177FF5" w:rsidRDefault="00E244D0" w:rsidP="009B5DFB">
      <w:pPr>
        <w:spacing w:line="360" w:lineRule="auto"/>
        <w:ind w:firstLine="360"/>
        <w:rPr>
          <w:rFonts w:ascii="Times New Roman" w:hAnsi="Times New Roman" w:cs="Times New Roman"/>
          <w:noProof/>
        </w:rPr>
      </w:pPr>
      <w:r>
        <w:rPr>
          <w:rFonts w:ascii="Times New Roman" w:hAnsi="Times New Roman" w:cs="Times New Roman"/>
          <w:noProof/>
        </w:rPr>
        <w:t>Another criticism faced during peer review is the sensitivity of the present value calculation to changes in the calibrated parameters. To address this, we recompute the present values and reestimate the correlations with the following loan-correction mechanisms. This is shown in Figure 10. Across the discount-rate sweep the loan-adjusted income gradient stays statistically insignificant throughout, with its p-value sitting above the 5% line at every calibration. The wage-growth sweep is more nuanced. The gradient is significant only at the two lowest calibrations, g = 0 (p ≈ 0.04) and g = 0.5% (p ≈ 0.05), and becomes statistically insignificant from g = 1% onward. The underlying slope moves across the sweep as well, running from about -0.722 at a growth rate of 0% to about 0.291 at 4% as it reverses sign, while the standard errors stay largely unchanged. The disappearance of the income gradient therefore holds across the discount-rate sweep and across the baseline and most plausible positive wage-growth calibrations, though not across the entire parameter space.</w:t>
      </w:r>
    </w:p>
    <w:p w14:paraId="050BF0BE" w14:textId="361F50A9" w:rsidR="00E27E7D" w:rsidRDefault="00E27E7D" w:rsidP="009B5DFB">
      <w:pPr>
        <w:spacing w:line="360" w:lineRule="auto"/>
        <w:ind w:firstLine="360"/>
        <w:rPr>
          <w:rFonts w:ascii="Times New Roman" w:hAnsi="Times New Roman" w:cs="Times New Roman"/>
          <w:noProof/>
        </w:rPr>
      </w:pPr>
    </w:p>
    <w:p w14:paraId="6A66409A" w14:textId="6FC952A5" w:rsidR="00E27E7D" w:rsidRDefault="00E27E7D" w:rsidP="009B5DFB">
      <w:pPr>
        <w:spacing w:line="360" w:lineRule="auto"/>
        <w:ind w:firstLine="360"/>
        <w:rPr>
          <w:rFonts w:ascii="Times New Roman" w:hAnsi="Times New Roman" w:cs="Times New Roman"/>
          <w:noProof/>
        </w:rPr>
      </w:pPr>
    </w:p>
    <w:p w14:paraId="19748A11" w14:textId="26E1670C" w:rsidR="00E27E7D" w:rsidRDefault="00E27E7D" w:rsidP="009B5DFB">
      <w:pPr>
        <w:spacing w:line="360" w:lineRule="auto"/>
        <w:ind w:firstLine="360"/>
        <w:rPr>
          <w:rFonts w:ascii="Times New Roman" w:hAnsi="Times New Roman" w:cs="Times New Roman"/>
          <w:noProof/>
        </w:rPr>
      </w:pPr>
    </w:p>
    <w:p w14:paraId="303B0C08" w14:textId="64494C1F" w:rsidR="00E27E7D" w:rsidRDefault="00E27E7D" w:rsidP="009B5DFB">
      <w:pPr>
        <w:spacing w:line="360" w:lineRule="auto"/>
        <w:ind w:firstLine="360"/>
        <w:rPr>
          <w:rFonts w:ascii="Times New Roman" w:hAnsi="Times New Roman" w:cs="Times New Roman"/>
          <w:noProof/>
        </w:rPr>
      </w:pPr>
    </w:p>
    <w:p w14:paraId="6AFA2A75" w14:textId="1A3BCB9C" w:rsidR="00E27E7D" w:rsidRDefault="00E27E7D" w:rsidP="009B5DFB">
      <w:pPr>
        <w:spacing w:line="360" w:lineRule="auto"/>
        <w:ind w:firstLine="360"/>
        <w:rPr>
          <w:rFonts w:ascii="Times New Roman" w:hAnsi="Times New Roman" w:cs="Times New Roman"/>
          <w:noProof/>
        </w:rPr>
      </w:pPr>
    </w:p>
    <w:p w14:paraId="02FED1F4" w14:textId="77777777" w:rsidR="00E27E7D" w:rsidRDefault="00E27E7D" w:rsidP="009B5DFB">
      <w:pPr>
        <w:spacing w:line="360" w:lineRule="auto"/>
        <w:ind w:firstLine="360"/>
        <w:rPr>
          <w:rFonts w:ascii="Times New Roman" w:hAnsi="Times New Roman" w:cs="Times New Roman"/>
          <w:noProof/>
        </w:rPr>
      </w:pPr>
    </w:p>
    <w:p w14:paraId="79A75D99" w14:textId="04C92C8D" w:rsidR="00F920C9" w:rsidRPr="00E27E7D" w:rsidRDefault="00BA1D5C" w:rsidP="00E27E7D">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10.</w:t>
      </w:r>
      <w:r>
        <w:rPr>
          <w:rFonts w:ascii="Times New Roman" w:hAnsi="Times New Roman" w:cs="Times New Roman"/>
          <w:color w:val="000000" w:themeColor="text1"/>
        </w:rPr>
        <w:t xml:space="preserve"> Sensitivity of the loan-corrected income gradient to the discount rate and wage growth rate assumptions.</w:t>
      </w:r>
    </w:p>
    <w:p w14:paraId="28B5ECD9" w14:textId="3D9AEFA5" w:rsidR="00D45F56" w:rsidRDefault="00177FF5" w:rsidP="00D45F56">
      <w:pPr>
        <w:spacing w:line="360" w:lineRule="auto"/>
        <w:rPr>
          <w:rFonts w:ascii="Times New Roman" w:hAnsi="Times New Roman" w:cs="Times New Roman"/>
          <w:noProof/>
        </w:rPr>
      </w:pPr>
      <w:r>
        <w:rPr>
          <w:rFonts w:ascii="Times New Roman" w:hAnsi="Times New Roman" w:cs="Times New Roman"/>
          <w:noProof/>
        </w:rPr>
        <w:drawing>
          <wp:inline distT="0" distB="0" distL="0" distR="0" wp14:anchorId="69B55A0D" wp14:editId="71C6F654">
            <wp:extent cx="5731510" cy="327514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75149"/>
                    </a:xfrm>
                    <a:prstGeom prst="rect">
                      <a:avLst/>
                    </a:prstGeom>
                  </pic:spPr>
                </pic:pic>
              </a:graphicData>
            </a:graphic>
          </wp:inline>
        </w:drawing>
      </w:r>
    </w:p>
    <w:p w14:paraId="00AA1002" w14:textId="130A3865" w:rsidR="00BA1D5C" w:rsidRDefault="00BA1D5C">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The figure plots the p-value of the income gradient, that is the slope of the loan-corrected elasticity on log GDP per capita (PPP) as the discount rate (δ) and the annual wage growth rate (g) are varied around their baseline calibration (δ = 3%, g = 2%), holding all other parameters at the values described in the main text. GDP per capita is in PPP terms (constant international dollars) with data from 2022. The dashed line marks the 5% significance level, so points above it indicate calibrations where the income gradient is not statistically significant.</w:t>
      </w:r>
    </w:p>
    <w:p w14:paraId="00AA1003" w14:textId="00AA1003" w:rsidR="00BA1D5C" w:rsidRDefault="00BA1D5C">
      <w:pPr>
        <w:spacing w:line="360" w:lineRule="auto"/>
        <w:rPr>
          <w:rFonts w:ascii="Times New Roman" w:hAnsi="Times New Roman" w:cs="Times New Roman"/>
          <w:iCs/>
          <w:sz w:val="18"/>
          <w:szCs w:val="18"/>
        </w:rPr>
      </w:pPr>
    </w:p>
    <w:p w14:paraId="76AFD618" w14:textId="1D408617" w:rsidR="00BA1D5C" w:rsidRPr="00496476" w:rsidRDefault="00BA1D5C" w:rsidP="00BA1D5C">
      <w:pPr>
        <w:pStyle w:val="Caption"/>
        <w:keepNext/>
        <w:numPr>
          <w:ilvl w:val="1"/>
          <w:numId w:val="35"/>
        </w:numPr>
        <w:spacing w:line="360" w:lineRule="auto"/>
        <w:rPr>
          <w:rFonts w:ascii="Times New Roman" w:eastAsia="Times New Roman" w:hAnsi="Times New Roman" w:cs="Times New Roman"/>
          <w:b/>
          <w:iCs w:val="0"/>
          <w:color w:val="auto"/>
          <w:kern w:val="0"/>
          <w:sz w:val="24"/>
          <w:szCs w:val="24"/>
          <w:lang w:eastAsia="en-GB"/>
          <w14:ligatures w14:val="none"/>
        </w:rPr>
      </w:pPr>
      <w:r>
        <w:rPr>
          <w:rFonts w:ascii="Times New Roman" w:eastAsia="Times New Roman" w:hAnsi="Times New Roman" w:cs="Times New Roman"/>
          <w:b/>
          <w:iCs w:val="0"/>
          <w:color w:val="auto"/>
          <w:kern w:val="0"/>
          <w:sz w:val="24"/>
          <w:szCs w:val="24"/>
          <w:lang w:val="bg-BG" w:eastAsia="en-GB"/>
          <w14:ligatures w14:val="none"/>
        </w:rPr>
        <w:t xml:space="preserve"> </w:t>
      </w:r>
      <w:r>
        <w:rPr>
          <w:rFonts w:ascii="Times New Roman" w:hAnsi="Times New Roman" w:cs="Times New Roman"/>
          <w:b/>
          <w:bCs/>
          <w:color w:val="000000" w:themeColor="text1"/>
          <w:sz w:val="24"/>
          <w:szCs w:val="24"/>
        </w:rPr>
        <w:t>Rambachan-Roth parallel-trends checks and synthetic difference-in-differences comparison</w:t>
      </w:r>
    </w:p>
    <w:p w14:paraId="57B96A51" w14:textId="6DC66648" w:rsidR="006A402C" w:rsidRDefault="00496476" w:rsidP="0047476F">
      <w:pPr>
        <w:spacing w:line="360" w:lineRule="auto"/>
        <w:ind w:firstLine="720"/>
        <w:rPr>
          <w:rFonts w:ascii="Times New Roman" w:hAnsi="Times New Roman" w:cs="Times New Roman"/>
          <w:noProof/>
        </w:rPr>
      </w:pPr>
      <w:r w:rsidRPr="00101B7B">
        <w:rPr>
          <w:rFonts w:ascii="Times New Roman" w:hAnsi="Times New Roman" w:cs="Times New Roman"/>
          <w:noProof/>
          <w:highlight w:val="yellow"/>
        </w:rPr>
        <w:t xml:space="preserve">In response to a further round of peer review we run two additional robustness checks. The first re-examines the parallel-trends assumption behind the event study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w:t>
      </w:r>
      <w:r w:rsidR="006A402C" w:rsidRPr="006A402C">
        <w:rPr>
          <w:rFonts w:ascii="Times New Roman" w:hAnsi="Times New Roman" w:cs="Times New Roman"/>
          <w:noProof/>
        </w:rPr>
        <w:t xml:space="preserve">Because the pre-treatment leads are jointly indistinguishable from zero (a joint Wald test gives p = 0.96) and are about two orders of magnitude smaller than the post-treatment coefficients, the loan-driven collapse in EU applications survives the relative-magnitudes 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w:t>
      </w:r>
      <w:r w:rsidR="006A402C" w:rsidRPr="006A402C">
        <w:rPr>
          <w:rFonts w:ascii="Times New Roman" w:hAnsi="Times New Roman" w:cs="Times New Roman"/>
          <w:noProof/>
        </w:rPr>
        <w:lastRenderedPageBreak/>
        <w:t>breakdown value therefore exceeds two, so the result is not an artifact of an assumed pre-trend (Roth, 2022).</w:t>
      </w:r>
    </w:p>
    <w:p w14:paraId="4F64EB22" w14:textId="113274D9" w:rsidR="0047476F" w:rsidRDefault="00496476" w:rsidP="0047476F">
      <w:pPr>
        <w:spacing w:line="360" w:lineRule="auto"/>
        <w:ind w:firstLine="720"/>
        <w:rPr>
          <w:rFonts w:ascii="Times New Roman" w:eastAsiaTheme="minorEastAsia" w:hAnsi="Times New Roman" w:cs="Times New Roman"/>
          <w:noProof/>
        </w:rPr>
      </w:pPr>
      <w:r>
        <w:rPr>
          <w:rFonts w:ascii="Times New Roman" w:hAnsi="Times New Roman" w:cs="Times New Roman"/>
          <w:noProof/>
        </w:rPr>
        <w:t xml:space="preserve">The second check re-estimates 26 separate synthetic difference-in-differences regressions, one for each treated country, to demonstrate the robustness of the estimator. </w:t>
      </w:r>
      <w:r>
        <w:rPr>
          <w:rFonts w:ascii="Times New Roman" w:eastAsiaTheme="minorEastAsia" w:hAnsi="Times New Roman" w:cs="Times New Roman"/>
          <w:noProof/>
        </w:rPr>
        <w:t xml:space="preserve">In this specification the Arkhangelsky et al. (2021) estimator collapses to </w:t>
      </w: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N</m:t>
            </m:r>
          </m:e>
          <m:sub>
            <m:r>
              <w:rPr>
                <w:rFonts w:ascii="Cambria Math" w:eastAsiaTheme="minorEastAsia" w:hAnsi="Cambria Math" w:cs="Times New Roman"/>
                <w:noProof/>
              </w:rPr>
              <m:t>tr</m:t>
            </m:r>
          </m:sub>
        </m:sSub>
        <m:r>
          <w:rPr>
            <w:rFonts w:ascii="Cambria Math" w:eastAsiaTheme="minorEastAsia" w:hAnsi="Cambria Math" w:cs="Times New Roman"/>
            <w:noProof/>
          </w:rPr>
          <m:t>=1</m:t>
        </m:r>
      </m:oMath>
      <w:r>
        <w:rPr>
          <w:rFonts w:ascii="Times New Roman" w:eastAsiaTheme="minorEastAsia" w:hAnsi="Times New Roman" w:cs="Times New Roman"/>
          <w:noProof/>
        </w:rPr>
        <w:t>:</w:t>
      </w:r>
    </w:p>
    <w:p w14:paraId="6D9D5BD4" w14:textId="77777777" w:rsidR="0047476F" w:rsidRDefault="00ED3FB9" w:rsidP="0047476F">
      <w:pPr>
        <w:spacing w:line="360" w:lineRule="auto"/>
        <w:ind w:firstLine="720"/>
        <w:rPr>
          <w:rFonts w:ascii="Times New Roman" w:eastAsiaTheme="minorEastAsia" w:hAnsi="Times New Roman" w:cs="Times New Roman"/>
          <w:noProof/>
        </w:rPr>
      </w:pPr>
      <m:oMathPara>
        <m:oMath>
          <m:sSubSup>
            <m:sSubSupPr>
              <m:ctrlPr>
                <w:rPr>
                  <w:rFonts w:ascii="Cambria Math" w:eastAsiaTheme="minorEastAsia" w:hAnsi="Cambria Math" w:cs="Times New Roman"/>
                  <w:i/>
                  <w:noProof/>
                </w:rPr>
              </m:ctrlPr>
            </m:sSubSupPr>
            <m:e>
              <m:acc>
                <m:accPr>
                  <m:ctrlPr>
                    <w:rPr>
                      <w:rFonts w:ascii="Cambria Math" w:eastAsiaTheme="minorEastAsia" w:hAnsi="Cambria Math" w:cs="Times New Roman"/>
                      <w:i/>
                      <w:noProof/>
                    </w:rPr>
                  </m:ctrlPr>
                </m:accPr>
                <m:e>
                  <m:r>
                    <w:rPr>
                      <w:rFonts w:ascii="Cambria Math" w:eastAsiaTheme="minorEastAsia" w:hAnsi="Cambria Math" w:cs="Times New Roman"/>
                      <w:noProof/>
                    </w:rPr>
                    <m:t>τ</m:t>
                  </m:r>
                </m:e>
              </m:acc>
            </m:e>
            <m:sub>
              <m:r>
                <w:rPr>
                  <w:rFonts w:ascii="Cambria Math" w:eastAsiaTheme="minorEastAsia" w:hAnsi="Cambria Math" w:cs="Times New Roman"/>
                  <w:noProof/>
                </w:rPr>
                <m:t>j</m:t>
              </m:r>
            </m:sub>
            <m:sup>
              <m:r>
                <w:rPr>
                  <w:rFonts w:ascii="Cambria Math" w:eastAsiaTheme="minorEastAsia" w:hAnsi="Cambria Math" w:cs="Times New Roman"/>
                  <w:noProof/>
                </w:rPr>
                <m:t>sdid</m:t>
              </m:r>
            </m:sup>
          </m:sSubSup>
          <m:r>
            <w:rPr>
              <w:rFonts w:ascii="Cambria Math" w:eastAsiaTheme="minorEastAsia" w:hAnsi="Cambria Math" w:cs="Times New Roman"/>
              <w:noProof/>
            </w:rPr>
            <m:t>=</m:t>
          </m:r>
          <m:d>
            <m:dPr>
              <m:ctrlPr>
                <w:rPr>
                  <w:rFonts w:ascii="Cambria Math" w:eastAsiaTheme="minorEastAsia" w:hAnsi="Cambria Math" w:cs="Times New Roman"/>
                  <w:i/>
                  <w:noProof/>
                </w:rPr>
              </m:ctrlPr>
            </m:dPr>
            <m:e>
              <m:sSub>
                <m:sSubPr>
                  <m:ctrlPr>
                    <w:rPr>
                      <w:rFonts w:ascii="Cambria Math" w:eastAsiaTheme="minorEastAsia" w:hAnsi="Cambria Math" w:cs="Times New Roman"/>
                      <w:i/>
                      <w:noProof/>
                    </w:rPr>
                  </m:ctrlPr>
                </m:sSubPr>
                <m:e>
                  <m:bar>
                    <m:barPr>
                      <m:pos m:val="top"/>
                      <m:ctrlPr>
                        <w:rPr>
                          <w:rFonts w:ascii="Cambria Math" w:eastAsiaTheme="minorEastAsia" w:hAnsi="Cambria Math" w:cs="Times New Roman"/>
                          <w:i/>
                          <w:noProof/>
                        </w:rPr>
                      </m:ctrlPr>
                    </m:barPr>
                    <m:e>
                      <m:r>
                        <w:rPr>
                          <w:rFonts w:ascii="Cambria Math" w:eastAsiaTheme="minorEastAsia" w:hAnsi="Cambria Math" w:cs="Times New Roman"/>
                          <w:noProof/>
                        </w:rPr>
                        <m:t>Y</m:t>
                      </m:r>
                    </m:e>
                  </m:bar>
                </m:e>
                <m:sub>
                  <m:r>
                    <w:rPr>
                      <w:rFonts w:ascii="Cambria Math" w:eastAsiaTheme="minorEastAsia" w:hAnsi="Cambria Math" w:cs="Times New Roman"/>
                      <w:noProof/>
                    </w:rPr>
                    <m:t>j,post</m:t>
                  </m:r>
                </m:sub>
              </m:sSub>
              <m:r>
                <w:rPr>
                  <w:rFonts w:ascii="Cambria Math" w:eastAsiaTheme="minorEastAsia" w:hAnsi="Cambria Math" w:cs="Times New Roman"/>
                  <w:noProof/>
                </w:rPr>
                <m:t>-</m:t>
              </m:r>
              <m:nary>
                <m:naryPr>
                  <m:chr m:val="∑"/>
                  <m:limLoc m:val="undOvr"/>
                  <m:ctrlPr>
                    <w:rPr>
                      <w:rFonts w:ascii="Cambria Math" w:eastAsiaTheme="minorEastAsia" w:hAnsi="Cambria Math" w:cs="Times New Roman"/>
                      <w:i/>
                      <w:noProof/>
                    </w:rPr>
                  </m:ctrlPr>
                </m:naryPr>
                <m:sub>
                  <m:r>
                    <w:rPr>
                      <w:rFonts w:ascii="Cambria Math" w:eastAsiaTheme="minorEastAsia" w:hAnsi="Cambria Math" w:cs="Times New Roman"/>
                      <w:noProof/>
                    </w:rPr>
                    <m:t>t≤</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0</m:t>
                      </m:r>
                    </m:sub>
                  </m:sSub>
                </m:sub>
                <m:sup>
                  <m:r>
                    <w:rPr>
                      <w:rFonts w:ascii="Cambria Math" w:eastAsiaTheme="minorEastAsia" w:hAnsi="Cambria Math" w:cs="Times New Roman"/>
                      <w:noProof/>
                    </w:rPr>
                    <m:t xml:space="preserve"> </m:t>
                  </m:r>
                </m:sup>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λ</m:t>
                      </m:r>
                    </m:e>
                    <m:sub>
                      <m:r>
                        <w:rPr>
                          <w:rFonts w:ascii="Cambria Math" w:eastAsiaTheme="minorEastAsia" w:hAnsi="Cambria Math" w:cs="Times New Roman"/>
                          <w:noProof/>
                        </w:rPr>
                        <m:t>t</m:t>
                      </m:r>
                    </m:sub>
                    <m:sup>
                      <m:r>
                        <w:rPr>
                          <w:rFonts w:ascii="Cambria Math" w:eastAsiaTheme="minorEastAsia" w:hAnsi="Cambria Math" w:cs="Times New Roman"/>
                          <w:noProof/>
                        </w:rPr>
                        <m:t>j</m:t>
                      </m:r>
                    </m:sup>
                  </m:sSubSup>
                </m:e>
              </m:nary>
              <m:sSub>
                <m:sSubPr>
                  <m:ctrlPr>
                    <w:rPr>
                      <w:rFonts w:ascii="Cambria Math" w:eastAsiaTheme="minorEastAsia" w:hAnsi="Cambria Math" w:cs="Times New Roman"/>
                      <w:i/>
                      <w:noProof/>
                    </w:rPr>
                  </m:ctrlPr>
                </m:sSubPr>
                <m:e>
                  <m:r>
                    <w:rPr>
                      <w:rFonts w:ascii="Cambria Math" w:eastAsiaTheme="minorEastAsia" w:hAnsi="Cambria Math" w:cs="Times New Roman"/>
                      <w:noProof/>
                    </w:rPr>
                    <m:t>Y</m:t>
                  </m:r>
                </m:e>
                <m:sub>
                  <m:r>
                    <w:rPr>
                      <w:rFonts w:ascii="Cambria Math" w:eastAsiaTheme="minorEastAsia" w:hAnsi="Cambria Math" w:cs="Times New Roman"/>
                      <w:noProof/>
                    </w:rPr>
                    <m:t>jt</m:t>
                  </m:r>
                </m:sub>
              </m:sSub>
            </m:e>
          </m:d>
          <m:r>
            <w:rPr>
              <w:rFonts w:ascii="Cambria Math" w:eastAsiaTheme="minorEastAsia" w:hAnsi="Cambria Math" w:cs="Times New Roman"/>
              <w:noProof/>
            </w:rPr>
            <m:t>-</m:t>
          </m:r>
          <m:nary>
            <m:naryPr>
              <m:chr m:val="∑"/>
              <m:limLoc m:val="undOvr"/>
              <m:supHide m:val="1"/>
              <m:ctrlPr>
                <w:rPr>
                  <w:rFonts w:ascii="Cambria Math" w:eastAsiaTheme="minorEastAsia" w:hAnsi="Cambria Math" w:cs="Times New Roman"/>
                  <w:i/>
                  <w:noProof/>
                </w:rPr>
              </m:ctrlPr>
            </m:naryPr>
            <m:sub>
              <m:r>
                <w:rPr>
                  <w:rFonts w:ascii="Cambria Math" w:eastAsiaTheme="minorEastAsia" w:hAnsi="Cambria Math" w:cs="Times New Roman"/>
                  <w:noProof/>
                </w:rPr>
                <m:t>i∈D</m:t>
              </m:r>
            </m:sub>
            <m:sup/>
            <m:e>
              <m:acc>
                <m:accPr>
                  <m:ctrlPr>
                    <w:rPr>
                      <w:rFonts w:ascii="Cambria Math" w:eastAsiaTheme="minorEastAsia" w:hAnsi="Cambria Math" w:cs="Times New Roman"/>
                      <w:i/>
                      <w:noProof/>
                    </w:rPr>
                  </m:ctrlPr>
                </m:accPr>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ω</m:t>
                      </m:r>
                    </m:e>
                    <m:sub>
                      <m:r>
                        <w:rPr>
                          <w:rFonts w:ascii="Cambria Math" w:eastAsiaTheme="minorEastAsia" w:hAnsi="Cambria Math" w:cs="Times New Roman"/>
                          <w:noProof/>
                        </w:rPr>
                        <m:t>i</m:t>
                      </m:r>
                    </m:sub>
                    <m:sup>
                      <m:r>
                        <w:rPr>
                          <w:rFonts w:ascii="Cambria Math" w:eastAsiaTheme="minorEastAsia" w:hAnsi="Cambria Math" w:cs="Times New Roman"/>
                          <w:noProof/>
                        </w:rPr>
                        <m:t>j</m:t>
                      </m:r>
                    </m:sup>
                  </m:sSubSup>
                </m:e>
              </m:acc>
            </m:e>
          </m:nary>
          <m:d>
            <m:dPr>
              <m:ctrlPr>
                <w:rPr>
                  <w:rFonts w:ascii="Cambria Math" w:eastAsiaTheme="minorEastAsia" w:hAnsi="Cambria Math" w:cs="Times New Roman"/>
                  <w:i/>
                  <w:noProof/>
                </w:rPr>
              </m:ctrlPr>
            </m:dPr>
            <m:e>
              <m:sSub>
                <m:sSubPr>
                  <m:ctrlPr>
                    <w:rPr>
                      <w:rFonts w:ascii="Cambria Math" w:eastAsiaTheme="minorEastAsia" w:hAnsi="Cambria Math" w:cs="Times New Roman"/>
                      <w:i/>
                      <w:noProof/>
                    </w:rPr>
                  </m:ctrlPr>
                </m:sSubPr>
                <m:e>
                  <m:bar>
                    <m:barPr>
                      <m:pos m:val="top"/>
                      <m:ctrlPr>
                        <w:rPr>
                          <w:rFonts w:ascii="Cambria Math" w:eastAsiaTheme="minorEastAsia" w:hAnsi="Cambria Math" w:cs="Times New Roman"/>
                          <w:i/>
                          <w:noProof/>
                        </w:rPr>
                      </m:ctrlPr>
                    </m:barPr>
                    <m:e>
                      <m:r>
                        <w:rPr>
                          <w:rFonts w:ascii="Cambria Math" w:eastAsiaTheme="minorEastAsia" w:hAnsi="Cambria Math" w:cs="Times New Roman"/>
                          <w:noProof/>
                        </w:rPr>
                        <m:t>Y</m:t>
                      </m:r>
                    </m:e>
                  </m:bar>
                </m:e>
                <m:sub>
                  <m:r>
                    <w:rPr>
                      <w:rFonts w:ascii="Cambria Math" w:eastAsiaTheme="minorEastAsia" w:hAnsi="Cambria Math" w:cs="Times New Roman"/>
                      <w:noProof/>
                    </w:rPr>
                    <m:t>i, post</m:t>
                  </m:r>
                </m:sub>
              </m:sSub>
              <m:r>
                <w:rPr>
                  <w:rFonts w:ascii="Cambria Math" w:eastAsiaTheme="minorEastAsia" w:hAnsi="Cambria Math" w:cs="Times New Roman"/>
                  <w:noProof/>
                </w:rPr>
                <m:t>-</m:t>
              </m:r>
              <m:nary>
                <m:naryPr>
                  <m:chr m:val="∑"/>
                  <m:limLoc m:val="undOvr"/>
                  <m:ctrlPr>
                    <w:rPr>
                      <w:rFonts w:ascii="Cambria Math" w:eastAsiaTheme="minorEastAsia" w:hAnsi="Cambria Math" w:cs="Times New Roman"/>
                      <w:i/>
                      <w:noProof/>
                    </w:rPr>
                  </m:ctrlPr>
                </m:naryPr>
                <m:sub>
                  <m:r>
                    <w:rPr>
                      <w:rFonts w:ascii="Cambria Math" w:eastAsiaTheme="minorEastAsia" w:hAnsi="Cambria Math" w:cs="Times New Roman"/>
                      <w:noProof/>
                    </w:rPr>
                    <m:t>t≤</m:t>
                  </m:r>
                  <m:sSub>
                    <m:sSubPr>
                      <m:ctrlPr>
                        <w:rPr>
                          <w:rFonts w:ascii="Cambria Math" w:eastAsiaTheme="minorEastAsia" w:hAnsi="Cambria Math" w:cs="Times New Roman"/>
                          <w:i/>
                          <w:noProof/>
                        </w:rPr>
                      </m:ctrlPr>
                    </m:sSubPr>
                    <m:e>
                      <m:r>
                        <w:rPr>
                          <w:rFonts w:ascii="Cambria Math" w:eastAsiaTheme="minorEastAsia" w:hAnsi="Cambria Math" w:cs="Times New Roman"/>
                          <w:noProof/>
                        </w:rPr>
                        <m:t>T</m:t>
                      </m:r>
                    </m:e>
                    <m:sub>
                      <m:r>
                        <w:rPr>
                          <w:rFonts w:ascii="Cambria Math" w:eastAsiaTheme="minorEastAsia" w:hAnsi="Cambria Math" w:cs="Times New Roman"/>
                          <w:noProof/>
                        </w:rPr>
                        <m:t>0</m:t>
                      </m:r>
                    </m:sub>
                  </m:sSub>
                </m:sub>
                <m:sup>
                  <m:r>
                    <w:rPr>
                      <w:rFonts w:ascii="Cambria Math" w:eastAsiaTheme="minorEastAsia" w:hAnsi="Cambria Math" w:cs="Times New Roman"/>
                      <w:noProof/>
                    </w:rPr>
                    <m:t xml:space="preserve"> </m:t>
                  </m:r>
                </m:sup>
                <m:e>
                  <m:sSubSup>
                    <m:sSubSupPr>
                      <m:ctrlPr>
                        <w:rPr>
                          <w:rFonts w:ascii="Cambria Math" w:eastAsiaTheme="minorEastAsia" w:hAnsi="Cambria Math" w:cs="Times New Roman"/>
                          <w:i/>
                          <w:noProof/>
                        </w:rPr>
                      </m:ctrlPr>
                    </m:sSubSupPr>
                    <m:e>
                      <m:r>
                        <w:rPr>
                          <w:rFonts w:ascii="Cambria Math" w:eastAsiaTheme="minorEastAsia" w:hAnsi="Cambria Math" w:cs="Times New Roman"/>
                          <w:noProof/>
                        </w:rPr>
                        <m:t>λ</m:t>
                      </m:r>
                    </m:e>
                    <m:sub>
                      <m:r>
                        <w:rPr>
                          <w:rFonts w:ascii="Cambria Math" w:eastAsiaTheme="minorEastAsia" w:hAnsi="Cambria Math" w:cs="Times New Roman"/>
                          <w:noProof/>
                        </w:rPr>
                        <m:t>t</m:t>
                      </m:r>
                    </m:sub>
                    <m:sup>
                      <m:r>
                        <w:rPr>
                          <w:rFonts w:ascii="Cambria Math" w:eastAsiaTheme="minorEastAsia" w:hAnsi="Cambria Math" w:cs="Times New Roman"/>
                          <w:noProof/>
                        </w:rPr>
                        <m:t>j</m:t>
                      </m:r>
                    </m:sup>
                  </m:sSubSup>
                </m:e>
              </m:nary>
              <m:sSub>
                <m:sSubPr>
                  <m:ctrlPr>
                    <w:rPr>
                      <w:rFonts w:ascii="Cambria Math" w:eastAsiaTheme="minorEastAsia" w:hAnsi="Cambria Math" w:cs="Times New Roman"/>
                      <w:i/>
                      <w:noProof/>
                    </w:rPr>
                  </m:ctrlPr>
                </m:sSubPr>
                <m:e>
                  <m:r>
                    <w:rPr>
                      <w:rFonts w:ascii="Cambria Math" w:eastAsiaTheme="minorEastAsia" w:hAnsi="Cambria Math" w:cs="Times New Roman"/>
                      <w:noProof/>
                    </w:rPr>
                    <m:t>Y</m:t>
                  </m:r>
                </m:e>
                <m:sub>
                  <m:r>
                    <w:rPr>
                      <w:rFonts w:ascii="Cambria Math" w:eastAsiaTheme="minorEastAsia" w:hAnsi="Cambria Math" w:cs="Times New Roman"/>
                      <w:noProof/>
                    </w:rPr>
                    <m:t>it</m:t>
                  </m:r>
                </m:sub>
              </m:sSub>
            </m:e>
          </m:d>
        </m:oMath>
      </m:oMathPara>
    </w:p>
    <w:p w14:paraId="48D8C41C" w14:textId="469FC4EF" w:rsidR="0047476F" w:rsidRDefault="0047476F" w:rsidP="0047476F">
      <w:pPr>
        <w:spacing w:line="360" w:lineRule="auto"/>
        <w:rPr>
          <w:rFonts w:ascii="Times New Roman" w:eastAsiaTheme="minorEastAsia" w:hAnsi="Times New Roman" w:cs="Times New Roman"/>
          <w:noProof/>
        </w:rPr>
      </w:pPr>
      <w:r>
        <w:rPr>
          <w:rFonts w:ascii="Times New Roman" w:eastAsiaTheme="minorEastAsia" w:hAnsi="Times New Roman" w:cs="Times New Roman"/>
          <w:noProof/>
        </w:rPr>
        <w:t xml:space="preserve">We then compare these estimated coefficients to the ones obtained from the saturated weighted DiD regression. This comparison is reported in Table 5. As the table shows, the difference between the two estimators is small, with a mean absolute difference of 0.13 log points and a correlation of 0.97 across the 26 countries, and the ranking of the country-specific effects is preserved across both designs. The largest single discrepancy is Portugal (0.41 log points), which is consistent with the UCAS reporting issue for the 2021 Portuguese cycle documented earlier. This provides a further and perhaps final confirmation of the robustness of the results reported above. </w:t>
      </w:r>
    </w:p>
    <w:p w14:paraId="34C0DBCB" w14:textId="34C0DBCB" w:rsidR="00943E8D" w:rsidRPr="00943E8D" w:rsidRDefault="00943E8D" w:rsidP="002C1BC1">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5. </w:t>
      </w:r>
      <w:r>
        <w:rPr>
          <w:rFonts w:ascii="Times New Roman" w:hAnsi="Times New Roman" w:cs="Times New Roman"/>
          <w:color w:val="000000" w:themeColor="text1"/>
        </w:rPr>
        <w:t>Per-country saturated DiD (TWFE) and synthetic difference-in-differences estimates</w:t>
      </w:r>
    </w:p>
    <w:tbl>
      <w:tblPr>
        <w:tblW w:w="5159" w:type="dxa"/>
        <w:jc w:val="center"/>
        <w:tblLook w:val="04A0" w:firstRow="1" w:lastRow="0" w:firstColumn="1" w:lastColumn="0" w:noHBand="0" w:noVBand="1"/>
      </w:tblPr>
      <w:tblGrid>
        <w:gridCol w:w="2275"/>
        <w:gridCol w:w="1093"/>
        <w:gridCol w:w="1049"/>
        <w:gridCol w:w="1150"/>
      </w:tblGrid>
      <w:tr w:rsidR="00D1200E" w:rsidRPr="00D1200E" w14:paraId="40B015B2" w14:textId="77777777" w:rsidTr="00D1200E">
        <w:trPr>
          <w:trHeight w:val="288"/>
          <w:jc w:val="center"/>
        </w:trPr>
        <w:tc>
          <w:tcPr>
            <w:tcW w:w="22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E1EC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Country</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5201FD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Saturated TWFE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C719F77"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Synthetic DiD</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14:paraId="2DFF92D1"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Difference</w:t>
            </w:r>
          </w:p>
        </w:tc>
      </w:tr>
      <w:tr w:rsidR="00D1200E" w:rsidRPr="00D1200E" w14:paraId="6C39CF80"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3E3D293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Lithuania</w:t>
            </w:r>
          </w:p>
        </w:tc>
        <w:tc>
          <w:tcPr>
            <w:tcW w:w="960" w:type="dxa"/>
            <w:tcBorders>
              <w:top w:val="nil"/>
              <w:left w:val="nil"/>
              <w:bottom w:val="single" w:sz="4" w:space="0" w:color="auto"/>
              <w:right w:val="single" w:sz="4" w:space="0" w:color="auto"/>
            </w:tcBorders>
            <w:shd w:val="clear" w:color="auto" w:fill="auto"/>
            <w:noWrap/>
            <w:vAlign w:val="bottom"/>
            <w:hideMark/>
          </w:tcPr>
          <w:p w14:paraId="4B636E8F"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-2.173</w:t>
            </w:r>
          </w:p>
        </w:tc>
        <w:tc>
          <w:tcPr>
            <w:tcW w:w="960" w:type="dxa"/>
            <w:tcBorders>
              <w:top w:val="nil"/>
              <w:left w:val="nil"/>
              <w:bottom w:val="single" w:sz="4" w:space="0" w:color="auto"/>
              <w:right w:val="single" w:sz="4" w:space="0" w:color="auto"/>
            </w:tcBorders>
            <w:shd w:val="clear" w:color="auto" w:fill="auto"/>
            <w:noWrap/>
            <w:vAlign w:val="bottom"/>
            <w:hideMark/>
          </w:tcPr>
          <w:p w14:paraId="409551A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-2.203</w:t>
            </w:r>
          </w:p>
        </w:tc>
        <w:tc>
          <w:tcPr>
            <w:tcW w:w="964" w:type="dxa"/>
            <w:tcBorders>
              <w:top w:val="nil"/>
              <w:left w:val="nil"/>
              <w:bottom w:val="single" w:sz="4" w:space="0" w:color="auto"/>
              <w:right w:val="single" w:sz="4" w:space="0" w:color="auto"/>
            </w:tcBorders>
            <w:shd w:val="clear" w:color="auto" w:fill="auto"/>
            <w:noWrap/>
            <w:vAlign w:val="bottom"/>
            <w:hideMark/>
          </w:tcPr>
          <w:p w14:paraId="3B69FDC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w:t>
            </w:r>
          </w:p>
        </w:tc>
      </w:tr>
      <w:tr w:rsidR="00D1200E" w:rsidRPr="00D1200E" w14:paraId="2B7DB20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00DA464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Bulgaria</w:t>
            </w:r>
          </w:p>
        </w:tc>
        <w:tc>
          <w:tcPr>
            <w:tcW w:w="960" w:type="dxa"/>
            <w:tcBorders>
              <w:top w:val="nil"/>
              <w:left w:val="nil"/>
              <w:bottom w:val="single" w:sz="4" w:space="0" w:color="auto"/>
              <w:right w:val="single" w:sz="4" w:space="0" w:color="auto"/>
            </w:tcBorders>
            <w:shd w:val="clear" w:color="auto" w:fill="auto"/>
            <w:noWrap/>
            <w:vAlign w:val="bottom"/>
            <w:hideMark/>
          </w:tcPr>
          <w:p w14:paraId="50C6F77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-1.887</w:t>
            </w:r>
          </w:p>
        </w:tc>
        <w:tc>
          <w:tcPr>
            <w:tcW w:w="960" w:type="dxa"/>
            <w:tcBorders>
              <w:top w:val="nil"/>
              <w:left w:val="nil"/>
              <w:bottom w:val="single" w:sz="4" w:space="0" w:color="auto"/>
              <w:right w:val="single" w:sz="4" w:space="0" w:color="auto"/>
            </w:tcBorders>
            <w:shd w:val="clear" w:color="auto" w:fill="auto"/>
            <w:noWrap/>
            <w:vAlign w:val="bottom"/>
            <w:hideMark/>
          </w:tcPr>
          <w:p w14:paraId="7C10A31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-1.876</w:t>
            </w:r>
          </w:p>
        </w:tc>
        <w:tc>
          <w:tcPr>
            <w:tcW w:w="964" w:type="dxa"/>
            <w:tcBorders>
              <w:top w:val="nil"/>
              <w:left w:val="nil"/>
              <w:bottom w:val="single" w:sz="4" w:space="0" w:color="auto"/>
              <w:right w:val="single" w:sz="4" w:space="0" w:color="auto"/>
            </w:tcBorders>
            <w:shd w:val="clear" w:color="auto" w:fill="auto"/>
            <w:noWrap/>
            <w:vAlign w:val="bottom"/>
            <w:hideMark/>
          </w:tcPr>
          <w:p w14:paraId="254D8F4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-0.011</w:t>
            </w:r>
          </w:p>
        </w:tc>
      </w:tr>
      <w:tr w:rsidR="00D1200E" w:rsidRPr="00D1200E" w14:paraId="340450FF"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023118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Finland</w:t>
            </w:r>
          </w:p>
        </w:tc>
        <w:tc>
          <w:tcPr>
            <w:tcW w:w="960" w:type="dxa"/>
            <w:tcBorders>
              <w:top w:val="nil"/>
              <w:left w:val="nil"/>
              <w:bottom w:val="single" w:sz="4" w:space="0" w:color="auto"/>
              <w:right w:val="single" w:sz="4" w:space="0" w:color="auto"/>
            </w:tcBorders>
            <w:shd w:val="clear" w:color="auto" w:fill="auto"/>
            <w:noWrap/>
            <w:vAlign w:val="bottom"/>
            <w:hideMark/>
          </w:tcPr>
          <w:p w14:paraId="2C644C3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-1.756</w:t>
            </w:r>
          </w:p>
        </w:tc>
        <w:tc>
          <w:tcPr>
            <w:tcW w:w="960" w:type="dxa"/>
            <w:tcBorders>
              <w:top w:val="nil"/>
              <w:left w:val="nil"/>
              <w:bottom w:val="single" w:sz="4" w:space="0" w:color="auto"/>
              <w:right w:val="single" w:sz="4" w:space="0" w:color="auto"/>
            </w:tcBorders>
            <w:shd w:val="clear" w:color="auto" w:fill="auto"/>
            <w:noWrap/>
            <w:vAlign w:val="bottom"/>
            <w:hideMark/>
          </w:tcPr>
          <w:p w14:paraId="1ECCFAE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-1.721</w:t>
            </w:r>
          </w:p>
        </w:tc>
        <w:tc>
          <w:tcPr>
            <w:tcW w:w="964" w:type="dxa"/>
            <w:tcBorders>
              <w:top w:val="nil"/>
              <w:left w:val="nil"/>
              <w:bottom w:val="single" w:sz="4" w:space="0" w:color="auto"/>
              <w:right w:val="single" w:sz="4" w:space="0" w:color="auto"/>
            </w:tcBorders>
            <w:shd w:val="clear" w:color="auto" w:fill="auto"/>
            <w:noWrap/>
            <w:vAlign w:val="bottom"/>
            <w:hideMark/>
          </w:tcPr>
          <w:p w14:paraId="38C3363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-0.035</w:t>
            </w:r>
          </w:p>
        </w:tc>
      </w:tr>
      <w:tr w:rsidR="00D1200E" w:rsidRPr="00D1200E" w14:paraId="5854C3A8"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24A41F21"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Romania</w:t>
            </w:r>
          </w:p>
        </w:tc>
        <w:tc>
          <w:tcPr>
            <w:tcW w:w="960" w:type="dxa"/>
            <w:tcBorders>
              <w:top w:val="nil"/>
              <w:left w:val="nil"/>
              <w:bottom w:val="single" w:sz="4" w:space="0" w:color="auto"/>
              <w:right w:val="single" w:sz="4" w:space="0" w:color="auto"/>
            </w:tcBorders>
            <w:shd w:val="clear" w:color="auto" w:fill="auto"/>
            <w:noWrap/>
            <w:vAlign w:val="bottom"/>
            <w:hideMark/>
          </w:tcPr>
          <w:p w14:paraId="474AFC5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-1.711</w:t>
            </w:r>
          </w:p>
        </w:tc>
        <w:tc>
          <w:tcPr>
            <w:tcW w:w="960" w:type="dxa"/>
            <w:tcBorders>
              <w:top w:val="nil"/>
              <w:left w:val="nil"/>
              <w:bottom w:val="single" w:sz="4" w:space="0" w:color="auto"/>
              <w:right w:val="single" w:sz="4" w:space="0" w:color="auto"/>
            </w:tcBorders>
            <w:shd w:val="clear" w:color="auto" w:fill="auto"/>
            <w:noWrap/>
            <w:vAlign w:val="bottom"/>
            <w:hideMark/>
          </w:tcPr>
          <w:p w14:paraId="22BEACA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-1.883</w:t>
            </w:r>
          </w:p>
        </w:tc>
        <w:tc>
          <w:tcPr>
            <w:tcW w:w="964" w:type="dxa"/>
            <w:tcBorders>
              <w:top w:val="nil"/>
              <w:left w:val="nil"/>
              <w:bottom w:val="single" w:sz="4" w:space="0" w:color="auto"/>
              <w:right w:val="single" w:sz="4" w:space="0" w:color="auto"/>
            </w:tcBorders>
            <w:shd w:val="clear" w:color="auto" w:fill="auto"/>
            <w:noWrap/>
            <w:vAlign w:val="bottom"/>
            <w:hideMark/>
          </w:tcPr>
          <w:p w14:paraId="07F18A5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0.172</w:t>
            </w:r>
          </w:p>
        </w:tc>
      </w:tr>
      <w:tr w:rsidR="00D1200E" w:rsidRPr="00D1200E" w14:paraId="6AD43FB0"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6E2E9A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Poland</w:t>
            </w:r>
          </w:p>
        </w:tc>
        <w:tc>
          <w:tcPr>
            <w:tcW w:w="960" w:type="dxa"/>
            <w:tcBorders>
              <w:top w:val="nil"/>
              <w:left w:val="nil"/>
              <w:bottom w:val="single" w:sz="4" w:space="0" w:color="auto"/>
              <w:right w:val="single" w:sz="4" w:space="0" w:color="auto"/>
            </w:tcBorders>
            <w:shd w:val="clear" w:color="auto" w:fill="auto"/>
            <w:noWrap/>
            <w:vAlign w:val="bottom"/>
            <w:hideMark/>
          </w:tcPr>
          <w:p w14:paraId="0A29D16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-1.668</w:t>
            </w:r>
          </w:p>
        </w:tc>
        <w:tc>
          <w:tcPr>
            <w:tcW w:w="960" w:type="dxa"/>
            <w:tcBorders>
              <w:top w:val="nil"/>
              <w:left w:val="nil"/>
              <w:bottom w:val="single" w:sz="4" w:space="0" w:color="auto"/>
              <w:right w:val="single" w:sz="4" w:space="0" w:color="auto"/>
            </w:tcBorders>
            <w:shd w:val="clear" w:color="auto" w:fill="auto"/>
            <w:noWrap/>
            <w:vAlign w:val="bottom"/>
            <w:hideMark/>
          </w:tcPr>
          <w:p w14:paraId="015254C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-1.948</w:t>
            </w:r>
          </w:p>
        </w:tc>
        <w:tc>
          <w:tcPr>
            <w:tcW w:w="964" w:type="dxa"/>
            <w:tcBorders>
              <w:top w:val="nil"/>
              <w:left w:val="nil"/>
              <w:bottom w:val="single" w:sz="4" w:space="0" w:color="auto"/>
              <w:right w:val="single" w:sz="4" w:space="0" w:color="auto"/>
            </w:tcBorders>
            <w:shd w:val="clear" w:color="auto" w:fill="auto"/>
            <w:noWrap/>
            <w:vAlign w:val="bottom"/>
            <w:hideMark/>
          </w:tcPr>
          <w:p w14:paraId="4E8BF8C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0.28</w:t>
            </w:r>
          </w:p>
        </w:tc>
      </w:tr>
      <w:tr w:rsidR="00D1200E" w:rsidRPr="00D1200E" w14:paraId="77A99A8C"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6B9C343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Croatia</w:t>
            </w:r>
          </w:p>
        </w:tc>
        <w:tc>
          <w:tcPr>
            <w:tcW w:w="960" w:type="dxa"/>
            <w:tcBorders>
              <w:top w:val="nil"/>
              <w:left w:val="nil"/>
              <w:bottom w:val="single" w:sz="4" w:space="0" w:color="auto"/>
              <w:right w:val="single" w:sz="4" w:space="0" w:color="auto"/>
            </w:tcBorders>
            <w:shd w:val="clear" w:color="auto" w:fill="auto"/>
            <w:noWrap/>
            <w:vAlign w:val="bottom"/>
            <w:hideMark/>
          </w:tcPr>
          <w:p w14:paraId="628C877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-1.655</w:t>
            </w:r>
          </w:p>
        </w:tc>
        <w:tc>
          <w:tcPr>
            <w:tcW w:w="960" w:type="dxa"/>
            <w:tcBorders>
              <w:top w:val="nil"/>
              <w:left w:val="nil"/>
              <w:bottom w:val="single" w:sz="4" w:space="0" w:color="auto"/>
              <w:right w:val="single" w:sz="4" w:space="0" w:color="auto"/>
            </w:tcBorders>
            <w:shd w:val="clear" w:color="auto" w:fill="auto"/>
            <w:noWrap/>
            <w:vAlign w:val="bottom"/>
            <w:hideMark/>
          </w:tcPr>
          <w:p w14:paraId="443687F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-1.768</w:t>
            </w:r>
          </w:p>
        </w:tc>
        <w:tc>
          <w:tcPr>
            <w:tcW w:w="964" w:type="dxa"/>
            <w:tcBorders>
              <w:top w:val="nil"/>
              <w:left w:val="nil"/>
              <w:bottom w:val="single" w:sz="4" w:space="0" w:color="auto"/>
              <w:right w:val="single" w:sz="4" w:space="0" w:color="auto"/>
            </w:tcBorders>
            <w:shd w:val="clear" w:color="auto" w:fill="auto"/>
            <w:noWrap/>
            <w:vAlign w:val="bottom"/>
            <w:hideMark/>
          </w:tcPr>
          <w:p w14:paraId="7B0B32D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0.114</w:t>
            </w:r>
          </w:p>
        </w:tc>
      </w:tr>
      <w:tr w:rsidR="00D1200E" w:rsidRPr="00D1200E" w14:paraId="37F55F25"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09ADB3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Slovakia</w:t>
            </w:r>
          </w:p>
        </w:tc>
        <w:tc>
          <w:tcPr>
            <w:tcW w:w="960" w:type="dxa"/>
            <w:tcBorders>
              <w:top w:val="nil"/>
              <w:left w:val="nil"/>
              <w:bottom w:val="single" w:sz="4" w:space="0" w:color="auto"/>
              <w:right w:val="single" w:sz="4" w:space="0" w:color="auto"/>
            </w:tcBorders>
            <w:shd w:val="clear" w:color="auto" w:fill="auto"/>
            <w:noWrap/>
            <w:vAlign w:val="bottom"/>
            <w:hideMark/>
          </w:tcPr>
          <w:p w14:paraId="0FD92F5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-1.516</w:t>
            </w:r>
          </w:p>
        </w:tc>
        <w:tc>
          <w:tcPr>
            <w:tcW w:w="960" w:type="dxa"/>
            <w:tcBorders>
              <w:top w:val="nil"/>
              <w:left w:val="nil"/>
              <w:bottom w:val="single" w:sz="4" w:space="0" w:color="auto"/>
              <w:right w:val="single" w:sz="4" w:space="0" w:color="auto"/>
            </w:tcBorders>
            <w:shd w:val="clear" w:color="auto" w:fill="auto"/>
            <w:noWrap/>
            <w:vAlign w:val="bottom"/>
            <w:hideMark/>
          </w:tcPr>
          <w:p w14:paraId="19F9EC5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-1.851</w:t>
            </w:r>
          </w:p>
        </w:tc>
        <w:tc>
          <w:tcPr>
            <w:tcW w:w="964" w:type="dxa"/>
            <w:tcBorders>
              <w:top w:val="nil"/>
              <w:left w:val="nil"/>
              <w:bottom w:val="single" w:sz="4" w:space="0" w:color="auto"/>
              <w:right w:val="single" w:sz="4" w:space="0" w:color="auto"/>
            </w:tcBorders>
            <w:shd w:val="clear" w:color="auto" w:fill="auto"/>
            <w:noWrap/>
            <w:vAlign w:val="bottom"/>
            <w:hideMark/>
          </w:tcPr>
          <w:p w14:paraId="23EC368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0.335</w:t>
            </w:r>
          </w:p>
        </w:tc>
      </w:tr>
      <w:tr w:rsidR="00D1200E" w:rsidRPr="00D1200E" w14:paraId="043A622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B4FD07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Latvia</w:t>
            </w:r>
          </w:p>
        </w:tc>
        <w:tc>
          <w:tcPr>
            <w:tcW w:w="960" w:type="dxa"/>
            <w:tcBorders>
              <w:top w:val="nil"/>
              <w:left w:val="nil"/>
              <w:bottom w:val="single" w:sz="4" w:space="0" w:color="auto"/>
              <w:right w:val="single" w:sz="4" w:space="0" w:color="auto"/>
            </w:tcBorders>
            <w:shd w:val="clear" w:color="auto" w:fill="auto"/>
            <w:noWrap/>
            <w:vAlign w:val="bottom"/>
            <w:hideMark/>
          </w:tcPr>
          <w:p w14:paraId="1FFCCCF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-1.512</w:t>
            </w:r>
          </w:p>
        </w:tc>
        <w:tc>
          <w:tcPr>
            <w:tcW w:w="960" w:type="dxa"/>
            <w:tcBorders>
              <w:top w:val="nil"/>
              <w:left w:val="nil"/>
              <w:bottom w:val="single" w:sz="4" w:space="0" w:color="auto"/>
              <w:right w:val="single" w:sz="4" w:space="0" w:color="auto"/>
            </w:tcBorders>
            <w:shd w:val="clear" w:color="auto" w:fill="auto"/>
            <w:noWrap/>
            <w:vAlign w:val="bottom"/>
            <w:hideMark/>
          </w:tcPr>
          <w:p w14:paraId="404F8C2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-1.715</w:t>
            </w:r>
          </w:p>
        </w:tc>
        <w:tc>
          <w:tcPr>
            <w:tcW w:w="964" w:type="dxa"/>
            <w:tcBorders>
              <w:top w:val="nil"/>
              <w:left w:val="nil"/>
              <w:bottom w:val="single" w:sz="4" w:space="0" w:color="auto"/>
              <w:right w:val="single" w:sz="4" w:space="0" w:color="auto"/>
            </w:tcBorders>
            <w:shd w:val="clear" w:color="auto" w:fill="auto"/>
            <w:noWrap/>
            <w:vAlign w:val="bottom"/>
            <w:hideMark/>
          </w:tcPr>
          <w:p w14:paraId="46C1648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0.203</w:t>
            </w:r>
          </w:p>
        </w:tc>
      </w:tr>
      <w:tr w:rsidR="00D1200E" w:rsidRPr="00D1200E" w14:paraId="641D80B9"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ED3C36A"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Estonia</w:t>
            </w:r>
          </w:p>
        </w:tc>
        <w:tc>
          <w:tcPr>
            <w:tcW w:w="960" w:type="dxa"/>
            <w:tcBorders>
              <w:top w:val="nil"/>
              <w:left w:val="nil"/>
              <w:bottom w:val="single" w:sz="4" w:space="0" w:color="auto"/>
              <w:right w:val="single" w:sz="4" w:space="0" w:color="auto"/>
            </w:tcBorders>
            <w:shd w:val="clear" w:color="auto" w:fill="auto"/>
            <w:noWrap/>
            <w:vAlign w:val="bottom"/>
            <w:hideMark/>
          </w:tcPr>
          <w:p w14:paraId="2CFC862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-1.447</w:t>
            </w:r>
          </w:p>
        </w:tc>
        <w:tc>
          <w:tcPr>
            <w:tcW w:w="960" w:type="dxa"/>
            <w:tcBorders>
              <w:top w:val="nil"/>
              <w:left w:val="nil"/>
              <w:bottom w:val="single" w:sz="4" w:space="0" w:color="auto"/>
              <w:right w:val="single" w:sz="4" w:space="0" w:color="auto"/>
            </w:tcBorders>
            <w:shd w:val="clear" w:color="auto" w:fill="auto"/>
            <w:noWrap/>
            <w:vAlign w:val="bottom"/>
            <w:hideMark/>
          </w:tcPr>
          <w:p w14:paraId="6EB3A5C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-1.504</w:t>
            </w:r>
          </w:p>
        </w:tc>
        <w:tc>
          <w:tcPr>
            <w:tcW w:w="964" w:type="dxa"/>
            <w:tcBorders>
              <w:top w:val="nil"/>
              <w:left w:val="nil"/>
              <w:bottom w:val="single" w:sz="4" w:space="0" w:color="auto"/>
              <w:right w:val="single" w:sz="4" w:space="0" w:color="auto"/>
            </w:tcBorders>
            <w:shd w:val="clear" w:color="auto" w:fill="auto"/>
            <w:noWrap/>
            <w:vAlign w:val="bottom"/>
            <w:hideMark/>
          </w:tcPr>
          <w:p w14:paraId="7CEB25F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0.056</w:t>
            </w:r>
          </w:p>
        </w:tc>
      </w:tr>
      <w:tr w:rsidR="00D1200E" w:rsidRPr="00D1200E" w14:paraId="6550A541"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AE0385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Slovenia</w:t>
            </w:r>
          </w:p>
        </w:tc>
        <w:tc>
          <w:tcPr>
            <w:tcW w:w="960" w:type="dxa"/>
            <w:tcBorders>
              <w:top w:val="nil"/>
              <w:left w:val="nil"/>
              <w:bottom w:val="single" w:sz="4" w:space="0" w:color="auto"/>
              <w:right w:val="single" w:sz="4" w:space="0" w:color="auto"/>
            </w:tcBorders>
            <w:shd w:val="clear" w:color="auto" w:fill="auto"/>
            <w:noWrap/>
            <w:vAlign w:val="bottom"/>
            <w:hideMark/>
          </w:tcPr>
          <w:p w14:paraId="66DF04A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-1.28</w:t>
            </w:r>
          </w:p>
        </w:tc>
        <w:tc>
          <w:tcPr>
            <w:tcW w:w="960" w:type="dxa"/>
            <w:tcBorders>
              <w:top w:val="nil"/>
              <w:left w:val="nil"/>
              <w:bottom w:val="single" w:sz="4" w:space="0" w:color="auto"/>
              <w:right w:val="single" w:sz="4" w:space="0" w:color="auto"/>
            </w:tcBorders>
            <w:shd w:val="clear" w:color="auto" w:fill="auto"/>
            <w:noWrap/>
            <w:vAlign w:val="bottom"/>
            <w:hideMark/>
          </w:tcPr>
          <w:p w14:paraId="14C15AD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-1.25</w:t>
            </w:r>
          </w:p>
        </w:tc>
        <w:tc>
          <w:tcPr>
            <w:tcW w:w="964" w:type="dxa"/>
            <w:tcBorders>
              <w:top w:val="nil"/>
              <w:left w:val="nil"/>
              <w:bottom w:val="single" w:sz="4" w:space="0" w:color="auto"/>
              <w:right w:val="single" w:sz="4" w:space="0" w:color="auto"/>
            </w:tcBorders>
            <w:shd w:val="clear" w:color="auto" w:fill="auto"/>
            <w:noWrap/>
            <w:vAlign w:val="bottom"/>
            <w:hideMark/>
          </w:tcPr>
          <w:p w14:paraId="58C6FFD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-0.029</w:t>
            </w:r>
          </w:p>
        </w:tc>
      </w:tr>
      <w:tr w:rsidR="00D1200E" w:rsidRPr="00D1200E" w14:paraId="20F44608"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61E08E85"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Czech Republic</w:t>
            </w:r>
          </w:p>
        </w:tc>
        <w:tc>
          <w:tcPr>
            <w:tcW w:w="960" w:type="dxa"/>
            <w:tcBorders>
              <w:top w:val="nil"/>
              <w:left w:val="nil"/>
              <w:bottom w:val="single" w:sz="4" w:space="0" w:color="auto"/>
              <w:right w:val="single" w:sz="4" w:space="0" w:color="auto"/>
            </w:tcBorders>
            <w:shd w:val="clear" w:color="auto" w:fill="auto"/>
            <w:noWrap/>
            <w:vAlign w:val="bottom"/>
            <w:hideMark/>
          </w:tcPr>
          <w:p w14:paraId="7EC8715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-1.137</w:t>
            </w:r>
          </w:p>
        </w:tc>
        <w:tc>
          <w:tcPr>
            <w:tcW w:w="960" w:type="dxa"/>
            <w:tcBorders>
              <w:top w:val="nil"/>
              <w:left w:val="nil"/>
              <w:bottom w:val="single" w:sz="4" w:space="0" w:color="auto"/>
              <w:right w:val="single" w:sz="4" w:space="0" w:color="auto"/>
            </w:tcBorders>
            <w:shd w:val="clear" w:color="auto" w:fill="auto"/>
            <w:noWrap/>
            <w:vAlign w:val="bottom"/>
            <w:hideMark/>
          </w:tcPr>
          <w:p w14:paraId="6AB0D51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-1.388</w:t>
            </w:r>
          </w:p>
        </w:tc>
        <w:tc>
          <w:tcPr>
            <w:tcW w:w="964" w:type="dxa"/>
            <w:tcBorders>
              <w:top w:val="nil"/>
              <w:left w:val="nil"/>
              <w:bottom w:val="single" w:sz="4" w:space="0" w:color="auto"/>
              <w:right w:val="single" w:sz="4" w:space="0" w:color="auto"/>
            </w:tcBorders>
            <w:shd w:val="clear" w:color="auto" w:fill="auto"/>
            <w:noWrap/>
            <w:vAlign w:val="bottom"/>
            <w:hideMark/>
          </w:tcPr>
          <w:p w14:paraId="1CEBE67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0.251</w:t>
            </w:r>
          </w:p>
        </w:tc>
      </w:tr>
      <w:tr w:rsidR="00D1200E" w:rsidRPr="00D1200E" w14:paraId="2079E802"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62F7799"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Hungary</w:t>
            </w:r>
          </w:p>
        </w:tc>
        <w:tc>
          <w:tcPr>
            <w:tcW w:w="960" w:type="dxa"/>
            <w:tcBorders>
              <w:top w:val="nil"/>
              <w:left w:val="nil"/>
              <w:bottom w:val="single" w:sz="4" w:space="0" w:color="auto"/>
              <w:right w:val="single" w:sz="4" w:space="0" w:color="auto"/>
            </w:tcBorders>
            <w:shd w:val="clear" w:color="auto" w:fill="auto"/>
            <w:noWrap/>
            <w:vAlign w:val="bottom"/>
            <w:hideMark/>
          </w:tcPr>
          <w:p w14:paraId="760C087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-1.114</w:t>
            </w:r>
          </w:p>
        </w:tc>
        <w:tc>
          <w:tcPr>
            <w:tcW w:w="960" w:type="dxa"/>
            <w:tcBorders>
              <w:top w:val="nil"/>
              <w:left w:val="nil"/>
              <w:bottom w:val="single" w:sz="4" w:space="0" w:color="auto"/>
              <w:right w:val="single" w:sz="4" w:space="0" w:color="auto"/>
            </w:tcBorders>
            <w:shd w:val="clear" w:color="auto" w:fill="auto"/>
            <w:noWrap/>
            <w:vAlign w:val="bottom"/>
            <w:hideMark/>
          </w:tcPr>
          <w:p w14:paraId="46AE906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-1.352</w:t>
            </w:r>
          </w:p>
        </w:tc>
        <w:tc>
          <w:tcPr>
            <w:tcW w:w="964" w:type="dxa"/>
            <w:tcBorders>
              <w:top w:val="nil"/>
              <w:left w:val="nil"/>
              <w:bottom w:val="single" w:sz="4" w:space="0" w:color="auto"/>
              <w:right w:val="single" w:sz="4" w:space="0" w:color="auto"/>
            </w:tcBorders>
            <w:shd w:val="clear" w:color="auto" w:fill="auto"/>
            <w:noWrap/>
            <w:vAlign w:val="bottom"/>
            <w:hideMark/>
          </w:tcPr>
          <w:p w14:paraId="31E7B0E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0.237</w:t>
            </w:r>
          </w:p>
        </w:tc>
      </w:tr>
      <w:tr w:rsidR="00D1200E" w:rsidRPr="00D1200E" w14:paraId="69ABBFFE"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FC64BA5"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Denmark</w:t>
            </w:r>
          </w:p>
        </w:tc>
        <w:tc>
          <w:tcPr>
            <w:tcW w:w="960" w:type="dxa"/>
            <w:tcBorders>
              <w:top w:val="nil"/>
              <w:left w:val="nil"/>
              <w:bottom w:val="single" w:sz="4" w:space="0" w:color="auto"/>
              <w:right w:val="single" w:sz="4" w:space="0" w:color="auto"/>
            </w:tcBorders>
            <w:shd w:val="clear" w:color="auto" w:fill="auto"/>
            <w:noWrap/>
            <w:vAlign w:val="bottom"/>
            <w:hideMark/>
          </w:tcPr>
          <w:p w14:paraId="7550FE9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-1.046</w:t>
            </w:r>
          </w:p>
        </w:tc>
        <w:tc>
          <w:tcPr>
            <w:tcW w:w="960" w:type="dxa"/>
            <w:tcBorders>
              <w:top w:val="nil"/>
              <w:left w:val="nil"/>
              <w:bottom w:val="single" w:sz="4" w:space="0" w:color="auto"/>
              <w:right w:val="single" w:sz="4" w:space="0" w:color="auto"/>
            </w:tcBorders>
            <w:shd w:val="clear" w:color="auto" w:fill="auto"/>
            <w:noWrap/>
            <w:vAlign w:val="bottom"/>
            <w:hideMark/>
          </w:tcPr>
          <w:p w14:paraId="3F44A8A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-1.085</w:t>
            </w:r>
          </w:p>
        </w:tc>
        <w:tc>
          <w:tcPr>
            <w:tcW w:w="964" w:type="dxa"/>
            <w:tcBorders>
              <w:top w:val="nil"/>
              <w:left w:val="nil"/>
              <w:bottom w:val="single" w:sz="4" w:space="0" w:color="auto"/>
              <w:right w:val="single" w:sz="4" w:space="0" w:color="auto"/>
            </w:tcBorders>
            <w:shd w:val="clear" w:color="auto" w:fill="auto"/>
            <w:noWrap/>
            <w:vAlign w:val="bottom"/>
            <w:hideMark/>
          </w:tcPr>
          <w:p w14:paraId="4807AE05"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0.039</w:t>
            </w:r>
          </w:p>
        </w:tc>
      </w:tr>
      <w:tr w:rsidR="00D1200E" w:rsidRPr="00D1200E" w14:paraId="0E9DF43E"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CF16CBB"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Sweden</w:t>
            </w:r>
          </w:p>
        </w:tc>
        <w:tc>
          <w:tcPr>
            <w:tcW w:w="960" w:type="dxa"/>
            <w:tcBorders>
              <w:top w:val="nil"/>
              <w:left w:val="nil"/>
              <w:bottom w:val="single" w:sz="4" w:space="0" w:color="auto"/>
              <w:right w:val="single" w:sz="4" w:space="0" w:color="auto"/>
            </w:tcBorders>
            <w:shd w:val="clear" w:color="auto" w:fill="auto"/>
            <w:noWrap/>
            <w:vAlign w:val="bottom"/>
            <w:hideMark/>
          </w:tcPr>
          <w:p w14:paraId="54E52CA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-0.967</w:t>
            </w:r>
          </w:p>
        </w:tc>
        <w:tc>
          <w:tcPr>
            <w:tcW w:w="960" w:type="dxa"/>
            <w:tcBorders>
              <w:top w:val="nil"/>
              <w:left w:val="nil"/>
              <w:bottom w:val="single" w:sz="4" w:space="0" w:color="auto"/>
              <w:right w:val="single" w:sz="4" w:space="0" w:color="auto"/>
            </w:tcBorders>
            <w:shd w:val="clear" w:color="auto" w:fill="auto"/>
            <w:noWrap/>
            <w:vAlign w:val="bottom"/>
            <w:hideMark/>
          </w:tcPr>
          <w:p w14:paraId="76EE0F80"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-0.998</w:t>
            </w:r>
          </w:p>
        </w:tc>
        <w:tc>
          <w:tcPr>
            <w:tcW w:w="964" w:type="dxa"/>
            <w:tcBorders>
              <w:top w:val="nil"/>
              <w:left w:val="nil"/>
              <w:bottom w:val="single" w:sz="4" w:space="0" w:color="auto"/>
              <w:right w:val="single" w:sz="4" w:space="0" w:color="auto"/>
            </w:tcBorders>
            <w:shd w:val="clear" w:color="auto" w:fill="auto"/>
            <w:noWrap/>
            <w:vAlign w:val="bottom"/>
            <w:hideMark/>
          </w:tcPr>
          <w:p w14:paraId="25D59AB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0.032</w:t>
            </w:r>
          </w:p>
        </w:tc>
      </w:tr>
      <w:tr w:rsidR="00D1200E" w:rsidRPr="00D1200E" w14:paraId="3DD8CA4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5CAFAF1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Portugal</w:t>
            </w:r>
          </w:p>
        </w:tc>
        <w:tc>
          <w:tcPr>
            <w:tcW w:w="960" w:type="dxa"/>
            <w:tcBorders>
              <w:top w:val="nil"/>
              <w:left w:val="nil"/>
              <w:bottom w:val="single" w:sz="4" w:space="0" w:color="auto"/>
              <w:right w:val="single" w:sz="4" w:space="0" w:color="auto"/>
            </w:tcBorders>
            <w:shd w:val="clear" w:color="auto" w:fill="auto"/>
            <w:noWrap/>
            <w:vAlign w:val="bottom"/>
            <w:hideMark/>
          </w:tcPr>
          <w:p w14:paraId="5ADDB50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-0.939</w:t>
            </w:r>
          </w:p>
        </w:tc>
        <w:tc>
          <w:tcPr>
            <w:tcW w:w="960" w:type="dxa"/>
            <w:tcBorders>
              <w:top w:val="nil"/>
              <w:left w:val="nil"/>
              <w:bottom w:val="single" w:sz="4" w:space="0" w:color="auto"/>
              <w:right w:val="single" w:sz="4" w:space="0" w:color="auto"/>
            </w:tcBorders>
            <w:shd w:val="clear" w:color="auto" w:fill="auto"/>
            <w:noWrap/>
            <w:vAlign w:val="bottom"/>
            <w:hideMark/>
          </w:tcPr>
          <w:p w14:paraId="067721B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-1.353</w:t>
            </w:r>
          </w:p>
        </w:tc>
        <w:tc>
          <w:tcPr>
            <w:tcW w:w="964" w:type="dxa"/>
            <w:tcBorders>
              <w:top w:val="nil"/>
              <w:left w:val="nil"/>
              <w:bottom w:val="single" w:sz="4" w:space="0" w:color="auto"/>
              <w:right w:val="single" w:sz="4" w:space="0" w:color="auto"/>
            </w:tcBorders>
            <w:shd w:val="clear" w:color="auto" w:fill="auto"/>
            <w:noWrap/>
            <w:vAlign w:val="bottom"/>
            <w:hideMark/>
          </w:tcPr>
          <w:p w14:paraId="2356391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0.413</w:t>
            </w:r>
          </w:p>
        </w:tc>
      </w:tr>
      <w:tr w:rsidR="00D1200E" w:rsidRPr="00D1200E" w14:paraId="3151360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0D4ABA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Italy</w:t>
            </w:r>
          </w:p>
        </w:tc>
        <w:tc>
          <w:tcPr>
            <w:tcW w:w="960" w:type="dxa"/>
            <w:tcBorders>
              <w:top w:val="nil"/>
              <w:left w:val="nil"/>
              <w:bottom w:val="single" w:sz="4" w:space="0" w:color="auto"/>
              <w:right w:val="single" w:sz="4" w:space="0" w:color="auto"/>
            </w:tcBorders>
            <w:shd w:val="clear" w:color="auto" w:fill="auto"/>
            <w:noWrap/>
            <w:vAlign w:val="bottom"/>
            <w:hideMark/>
          </w:tcPr>
          <w:p w14:paraId="39C9354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-0.925</w:t>
            </w:r>
          </w:p>
        </w:tc>
        <w:tc>
          <w:tcPr>
            <w:tcW w:w="960" w:type="dxa"/>
            <w:tcBorders>
              <w:top w:val="nil"/>
              <w:left w:val="nil"/>
              <w:bottom w:val="single" w:sz="4" w:space="0" w:color="auto"/>
              <w:right w:val="single" w:sz="4" w:space="0" w:color="auto"/>
            </w:tcBorders>
            <w:shd w:val="clear" w:color="auto" w:fill="auto"/>
            <w:noWrap/>
            <w:vAlign w:val="bottom"/>
            <w:hideMark/>
          </w:tcPr>
          <w:p w14:paraId="770DACF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-0.948</w:t>
            </w:r>
          </w:p>
        </w:tc>
        <w:tc>
          <w:tcPr>
            <w:tcW w:w="964" w:type="dxa"/>
            <w:tcBorders>
              <w:top w:val="nil"/>
              <w:left w:val="nil"/>
              <w:bottom w:val="single" w:sz="4" w:space="0" w:color="auto"/>
              <w:right w:val="single" w:sz="4" w:space="0" w:color="auto"/>
            </w:tcBorders>
            <w:shd w:val="clear" w:color="auto" w:fill="auto"/>
            <w:noWrap/>
            <w:vAlign w:val="bottom"/>
            <w:hideMark/>
          </w:tcPr>
          <w:p w14:paraId="62B0BD0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0.023</w:t>
            </w:r>
          </w:p>
        </w:tc>
      </w:tr>
      <w:tr w:rsidR="00D1200E" w:rsidRPr="00D1200E" w14:paraId="7D3DEAA7"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39254A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Cyprus (European Union)</w:t>
            </w:r>
          </w:p>
        </w:tc>
        <w:tc>
          <w:tcPr>
            <w:tcW w:w="960" w:type="dxa"/>
            <w:tcBorders>
              <w:top w:val="nil"/>
              <w:left w:val="nil"/>
              <w:bottom w:val="single" w:sz="4" w:space="0" w:color="auto"/>
              <w:right w:val="single" w:sz="4" w:space="0" w:color="auto"/>
            </w:tcBorders>
            <w:shd w:val="clear" w:color="auto" w:fill="auto"/>
            <w:noWrap/>
            <w:vAlign w:val="bottom"/>
            <w:hideMark/>
          </w:tcPr>
          <w:p w14:paraId="6FC667A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-0.902</w:t>
            </w:r>
          </w:p>
        </w:tc>
        <w:tc>
          <w:tcPr>
            <w:tcW w:w="960" w:type="dxa"/>
            <w:tcBorders>
              <w:top w:val="nil"/>
              <w:left w:val="nil"/>
              <w:bottom w:val="single" w:sz="4" w:space="0" w:color="auto"/>
              <w:right w:val="single" w:sz="4" w:space="0" w:color="auto"/>
            </w:tcBorders>
            <w:shd w:val="clear" w:color="auto" w:fill="auto"/>
            <w:noWrap/>
            <w:vAlign w:val="bottom"/>
            <w:hideMark/>
          </w:tcPr>
          <w:p w14:paraId="29835B78"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-0.907</w:t>
            </w:r>
          </w:p>
        </w:tc>
        <w:tc>
          <w:tcPr>
            <w:tcW w:w="964" w:type="dxa"/>
            <w:tcBorders>
              <w:top w:val="nil"/>
              <w:left w:val="nil"/>
              <w:bottom w:val="single" w:sz="4" w:space="0" w:color="auto"/>
              <w:right w:val="single" w:sz="4" w:space="0" w:color="auto"/>
            </w:tcBorders>
            <w:shd w:val="clear" w:color="auto" w:fill="auto"/>
            <w:noWrap/>
            <w:vAlign w:val="bottom"/>
            <w:hideMark/>
          </w:tcPr>
          <w:p w14:paraId="2F58D05A"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0.004</w:t>
            </w:r>
          </w:p>
        </w:tc>
      </w:tr>
      <w:tr w:rsidR="00D1200E" w:rsidRPr="00D1200E" w14:paraId="5059ADE5"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B60005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Greece</w:t>
            </w:r>
          </w:p>
        </w:tc>
        <w:tc>
          <w:tcPr>
            <w:tcW w:w="960" w:type="dxa"/>
            <w:tcBorders>
              <w:top w:val="nil"/>
              <w:left w:val="nil"/>
              <w:bottom w:val="single" w:sz="4" w:space="0" w:color="auto"/>
              <w:right w:val="single" w:sz="4" w:space="0" w:color="auto"/>
            </w:tcBorders>
            <w:shd w:val="clear" w:color="auto" w:fill="auto"/>
            <w:noWrap/>
            <w:vAlign w:val="bottom"/>
            <w:hideMark/>
          </w:tcPr>
          <w:p w14:paraId="3CF9738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-0.866</w:t>
            </w:r>
          </w:p>
        </w:tc>
        <w:tc>
          <w:tcPr>
            <w:tcW w:w="960" w:type="dxa"/>
            <w:tcBorders>
              <w:top w:val="nil"/>
              <w:left w:val="nil"/>
              <w:bottom w:val="single" w:sz="4" w:space="0" w:color="auto"/>
              <w:right w:val="single" w:sz="4" w:space="0" w:color="auto"/>
            </w:tcBorders>
            <w:shd w:val="clear" w:color="auto" w:fill="auto"/>
            <w:noWrap/>
            <w:vAlign w:val="bottom"/>
            <w:hideMark/>
          </w:tcPr>
          <w:p w14:paraId="48D0DF4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-0.963</w:t>
            </w:r>
          </w:p>
        </w:tc>
        <w:tc>
          <w:tcPr>
            <w:tcW w:w="964" w:type="dxa"/>
            <w:tcBorders>
              <w:top w:val="nil"/>
              <w:left w:val="nil"/>
              <w:bottom w:val="single" w:sz="4" w:space="0" w:color="auto"/>
              <w:right w:val="single" w:sz="4" w:space="0" w:color="auto"/>
            </w:tcBorders>
            <w:shd w:val="clear" w:color="auto" w:fill="auto"/>
            <w:noWrap/>
            <w:vAlign w:val="bottom"/>
            <w:hideMark/>
          </w:tcPr>
          <w:p w14:paraId="101352B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0.097</w:t>
            </w:r>
          </w:p>
        </w:tc>
      </w:tr>
      <w:tr w:rsidR="00D1200E" w:rsidRPr="00D1200E" w14:paraId="5197E92A"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B70FB7E"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Germany</w:t>
            </w:r>
          </w:p>
        </w:tc>
        <w:tc>
          <w:tcPr>
            <w:tcW w:w="960" w:type="dxa"/>
            <w:tcBorders>
              <w:top w:val="nil"/>
              <w:left w:val="nil"/>
              <w:bottom w:val="single" w:sz="4" w:space="0" w:color="auto"/>
              <w:right w:val="single" w:sz="4" w:space="0" w:color="auto"/>
            </w:tcBorders>
            <w:shd w:val="clear" w:color="auto" w:fill="auto"/>
            <w:noWrap/>
            <w:vAlign w:val="bottom"/>
            <w:hideMark/>
          </w:tcPr>
          <w:p w14:paraId="586CC75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-0.681</w:t>
            </w:r>
          </w:p>
        </w:tc>
        <w:tc>
          <w:tcPr>
            <w:tcW w:w="960" w:type="dxa"/>
            <w:tcBorders>
              <w:top w:val="nil"/>
              <w:left w:val="nil"/>
              <w:bottom w:val="single" w:sz="4" w:space="0" w:color="auto"/>
              <w:right w:val="single" w:sz="4" w:space="0" w:color="auto"/>
            </w:tcBorders>
            <w:shd w:val="clear" w:color="auto" w:fill="auto"/>
            <w:noWrap/>
            <w:vAlign w:val="bottom"/>
            <w:hideMark/>
          </w:tcPr>
          <w:p w14:paraId="6027779E"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-0.731</w:t>
            </w:r>
          </w:p>
        </w:tc>
        <w:tc>
          <w:tcPr>
            <w:tcW w:w="964" w:type="dxa"/>
            <w:tcBorders>
              <w:top w:val="nil"/>
              <w:left w:val="nil"/>
              <w:bottom w:val="single" w:sz="4" w:space="0" w:color="auto"/>
              <w:right w:val="single" w:sz="4" w:space="0" w:color="auto"/>
            </w:tcBorders>
            <w:shd w:val="clear" w:color="auto" w:fill="auto"/>
            <w:noWrap/>
            <w:vAlign w:val="bottom"/>
            <w:hideMark/>
          </w:tcPr>
          <w:p w14:paraId="6524D8A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0.05</w:t>
            </w:r>
          </w:p>
        </w:tc>
      </w:tr>
      <w:tr w:rsidR="00D1200E" w:rsidRPr="00D1200E" w14:paraId="3128FE63"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BD8C514"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Belgium</w:t>
            </w:r>
          </w:p>
        </w:tc>
        <w:tc>
          <w:tcPr>
            <w:tcW w:w="960" w:type="dxa"/>
            <w:tcBorders>
              <w:top w:val="nil"/>
              <w:left w:val="nil"/>
              <w:bottom w:val="single" w:sz="4" w:space="0" w:color="auto"/>
              <w:right w:val="single" w:sz="4" w:space="0" w:color="auto"/>
            </w:tcBorders>
            <w:shd w:val="clear" w:color="auto" w:fill="auto"/>
            <w:noWrap/>
            <w:vAlign w:val="bottom"/>
            <w:hideMark/>
          </w:tcPr>
          <w:p w14:paraId="560D5B6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-0.603</w:t>
            </w:r>
          </w:p>
        </w:tc>
        <w:tc>
          <w:tcPr>
            <w:tcW w:w="960" w:type="dxa"/>
            <w:tcBorders>
              <w:top w:val="nil"/>
              <w:left w:val="nil"/>
              <w:bottom w:val="single" w:sz="4" w:space="0" w:color="auto"/>
              <w:right w:val="single" w:sz="4" w:space="0" w:color="auto"/>
            </w:tcBorders>
            <w:shd w:val="clear" w:color="auto" w:fill="auto"/>
            <w:noWrap/>
            <w:vAlign w:val="bottom"/>
            <w:hideMark/>
          </w:tcPr>
          <w:p w14:paraId="5978F8D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-0.664</w:t>
            </w:r>
          </w:p>
        </w:tc>
        <w:tc>
          <w:tcPr>
            <w:tcW w:w="964" w:type="dxa"/>
            <w:tcBorders>
              <w:top w:val="nil"/>
              <w:left w:val="nil"/>
              <w:bottom w:val="single" w:sz="4" w:space="0" w:color="auto"/>
              <w:right w:val="single" w:sz="4" w:space="0" w:color="auto"/>
            </w:tcBorders>
            <w:shd w:val="clear" w:color="auto" w:fill="auto"/>
            <w:noWrap/>
            <w:vAlign w:val="bottom"/>
            <w:hideMark/>
          </w:tcPr>
          <w:p w14:paraId="10EEB882"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0.061</w:t>
            </w:r>
          </w:p>
        </w:tc>
      </w:tr>
      <w:tr w:rsidR="00D1200E" w:rsidRPr="00D1200E" w14:paraId="5F4736E6"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0CB3E76C"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France</w:t>
            </w:r>
          </w:p>
        </w:tc>
        <w:tc>
          <w:tcPr>
            <w:tcW w:w="960" w:type="dxa"/>
            <w:tcBorders>
              <w:top w:val="nil"/>
              <w:left w:val="nil"/>
              <w:bottom w:val="single" w:sz="4" w:space="0" w:color="auto"/>
              <w:right w:val="single" w:sz="4" w:space="0" w:color="auto"/>
            </w:tcBorders>
            <w:shd w:val="clear" w:color="auto" w:fill="auto"/>
            <w:noWrap/>
            <w:vAlign w:val="bottom"/>
            <w:hideMark/>
          </w:tcPr>
          <w:p w14:paraId="6CC1CA5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-0.597</w:t>
            </w:r>
          </w:p>
        </w:tc>
        <w:tc>
          <w:tcPr>
            <w:tcW w:w="960" w:type="dxa"/>
            <w:tcBorders>
              <w:top w:val="nil"/>
              <w:left w:val="nil"/>
              <w:bottom w:val="single" w:sz="4" w:space="0" w:color="auto"/>
              <w:right w:val="single" w:sz="4" w:space="0" w:color="auto"/>
            </w:tcBorders>
            <w:shd w:val="clear" w:color="auto" w:fill="auto"/>
            <w:noWrap/>
            <w:vAlign w:val="bottom"/>
            <w:hideMark/>
          </w:tcPr>
          <w:p w14:paraId="617C369B"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-0.707</w:t>
            </w:r>
          </w:p>
        </w:tc>
        <w:tc>
          <w:tcPr>
            <w:tcW w:w="964" w:type="dxa"/>
            <w:tcBorders>
              <w:top w:val="nil"/>
              <w:left w:val="nil"/>
              <w:bottom w:val="single" w:sz="4" w:space="0" w:color="auto"/>
              <w:right w:val="single" w:sz="4" w:space="0" w:color="auto"/>
            </w:tcBorders>
            <w:shd w:val="clear" w:color="auto" w:fill="auto"/>
            <w:noWrap/>
            <w:vAlign w:val="bottom"/>
            <w:hideMark/>
          </w:tcPr>
          <w:p w14:paraId="7547D1C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0.11</w:t>
            </w:r>
          </w:p>
        </w:tc>
      </w:tr>
      <w:tr w:rsidR="00D1200E" w:rsidRPr="00D1200E" w14:paraId="1A850F24"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4A12089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Austria</w:t>
            </w:r>
          </w:p>
        </w:tc>
        <w:tc>
          <w:tcPr>
            <w:tcW w:w="960" w:type="dxa"/>
            <w:tcBorders>
              <w:top w:val="nil"/>
              <w:left w:val="nil"/>
              <w:bottom w:val="single" w:sz="4" w:space="0" w:color="auto"/>
              <w:right w:val="single" w:sz="4" w:space="0" w:color="auto"/>
            </w:tcBorders>
            <w:shd w:val="clear" w:color="auto" w:fill="auto"/>
            <w:noWrap/>
            <w:vAlign w:val="bottom"/>
            <w:hideMark/>
          </w:tcPr>
          <w:p w14:paraId="30DF9BE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-0.549</w:t>
            </w:r>
          </w:p>
        </w:tc>
        <w:tc>
          <w:tcPr>
            <w:tcW w:w="960" w:type="dxa"/>
            <w:tcBorders>
              <w:top w:val="nil"/>
              <w:left w:val="nil"/>
              <w:bottom w:val="single" w:sz="4" w:space="0" w:color="auto"/>
              <w:right w:val="single" w:sz="4" w:space="0" w:color="auto"/>
            </w:tcBorders>
            <w:shd w:val="clear" w:color="auto" w:fill="auto"/>
            <w:noWrap/>
            <w:vAlign w:val="bottom"/>
            <w:hideMark/>
          </w:tcPr>
          <w:p w14:paraId="0D6D0F7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-0.587</w:t>
            </w:r>
          </w:p>
        </w:tc>
        <w:tc>
          <w:tcPr>
            <w:tcW w:w="964" w:type="dxa"/>
            <w:tcBorders>
              <w:top w:val="nil"/>
              <w:left w:val="nil"/>
              <w:bottom w:val="single" w:sz="4" w:space="0" w:color="auto"/>
              <w:right w:val="single" w:sz="4" w:space="0" w:color="auto"/>
            </w:tcBorders>
            <w:shd w:val="clear" w:color="auto" w:fill="auto"/>
            <w:noWrap/>
            <w:vAlign w:val="bottom"/>
            <w:hideMark/>
          </w:tcPr>
          <w:p w14:paraId="2BF614B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0.039</w:t>
            </w:r>
          </w:p>
        </w:tc>
      </w:tr>
      <w:tr w:rsidR="00D1200E" w:rsidRPr="00D1200E" w14:paraId="4FDDFA9F"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DA29212"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Netherlands</w:t>
            </w:r>
          </w:p>
        </w:tc>
        <w:tc>
          <w:tcPr>
            <w:tcW w:w="960" w:type="dxa"/>
            <w:tcBorders>
              <w:top w:val="nil"/>
              <w:left w:val="nil"/>
              <w:bottom w:val="single" w:sz="4" w:space="0" w:color="auto"/>
              <w:right w:val="single" w:sz="4" w:space="0" w:color="auto"/>
            </w:tcBorders>
            <w:shd w:val="clear" w:color="auto" w:fill="auto"/>
            <w:noWrap/>
            <w:vAlign w:val="bottom"/>
            <w:hideMark/>
          </w:tcPr>
          <w:p w14:paraId="60CAAD0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-0.535</w:t>
            </w:r>
          </w:p>
        </w:tc>
        <w:tc>
          <w:tcPr>
            <w:tcW w:w="960" w:type="dxa"/>
            <w:tcBorders>
              <w:top w:val="nil"/>
              <w:left w:val="nil"/>
              <w:bottom w:val="single" w:sz="4" w:space="0" w:color="auto"/>
              <w:right w:val="single" w:sz="4" w:space="0" w:color="auto"/>
            </w:tcBorders>
            <w:shd w:val="clear" w:color="auto" w:fill="auto"/>
            <w:noWrap/>
            <w:vAlign w:val="bottom"/>
            <w:hideMark/>
          </w:tcPr>
          <w:p w14:paraId="5A5BF1ED"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-0.64</w:t>
            </w:r>
          </w:p>
        </w:tc>
        <w:tc>
          <w:tcPr>
            <w:tcW w:w="964" w:type="dxa"/>
            <w:tcBorders>
              <w:top w:val="nil"/>
              <w:left w:val="nil"/>
              <w:bottom w:val="single" w:sz="4" w:space="0" w:color="auto"/>
              <w:right w:val="single" w:sz="4" w:space="0" w:color="auto"/>
            </w:tcBorders>
            <w:shd w:val="clear" w:color="auto" w:fill="auto"/>
            <w:noWrap/>
            <w:vAlign w:val="bottom"/>
            <w:hideMark/>
          </w:tcPr>
          <w:p w14:paraId="145D06E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0.105</w:t>
            </w:r>
          </w:p>
        </w:tc>
      </w:tr>
      <w:tr w:rsidR="00D1200E" w:rsidRPr="00D1200E" w14:paraId="4BB4F34C" w14:textId="77777777" w:rsidTr="00D1200E">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11E47C8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Spain</w:t>
            </w:r>
          </w:p>
        </w:tc>
        <w:tc>
          <w:tcPr>
            <w:tcW w:w="960" w:type="dxa"/>
            <w:tcBorders>
              <w:top w:val="nil"/>
              <w:left w:val="nil"/>
              <w:bottom w:val="single" w:sz="4" w:space="0" w:color="auto"/>
              <w:right w:val="single" w:sz="4" w:space="0" w:color="auto"/>
            </w:tcBorders>
            <w:shd w:val="clear" w:color="auto" w:fill="auto"/>
            <w:noWrap/>
            <w:vAlign w:val="bottom"/>
            <w:hideMark/>
          </w:tcPr>
          <w:p w14:paraId="058A2DE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-0.508</w:t>
            </w:r>
          </w:p>
        </w:tc>
        <w:tc>
          <w:tcPr>
            <w:tcW w:w="960" w:type="dxa"/>
            <w:tcBorders>
              <w:top w:val="nil"/>
              <w:left w:val="nil"/>
              <w:bottom w:val="single" w:sz="4" w:space="0" w:color="auto"/>
              <w:right w:val="single" w:sz="4" w:space="0" w:color="auto"/>
            </w:tcBorders>
            <w:shd w:val="clear" w:color="auto" w:fill="auto"/>
            <w:noWrap/>
            <w:vAlign w:val="bottom"/>
            <w:hideMark/>
          </w:tcPr>
          <w:p w14:paraId="21107946"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-0.808</w:t>
            </w:r>
          </w:p>
        </w:tc>
        <w:tc>
          <w:tcPr>
            <w:tcW w:w="964" w:type="dxa"/>
            <w:tcBorders>
              <w:top w:val="nil"/>
              <w:left w:val="nil"/>
              <w:bottom w:val="single" w:sz="4" w:space="0" w:color="auto"/>
              <w:right w:val="single" w:sz="4" w:space="0" w:color="auto"/>
            </w:tcBorders>
            <w:shd w:val="clear" w:color="auto" w:fill="auto"/>
            <w:noWrap/>
            <w:vAlign w:val="bottom"/>
            <w:hideMark/>
          </w:tcPr>
          <w:p w14:paraId="1009314C"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w:t>
            </w:r>
          </w:p>
        </w:tc>
      </w:tr>
      <w:tr w:rsidR="00D1200E" w:rsidRPr="00D1200E" w14:paraId="515E5361" w14:textId="77777777" w:rsidTr="006B26AA">
        <w:trPr>
          <w:trHeight w:val="288"/>
          <w:jc w:val="center"/>
        </w:trPr>
        <w:tc>
          <w:tcPr>
            <w:tcW w:w="2275" w:type="dxa"/>
            <w:tcBorders>
              <w:top w:val="nil"/>
              <w:left w:val="single" w:sz="4" w:space="0" w:color="auto"/>
              <w:bottom w:val="single" w:sz="4" w:space="0" w:color="auto"/>
              <w:right w:val="single" w:sz="4" w:space="0" w:color="auto"/>
            </w:tcBorders>
            <w:shd w:val="clear" w:color="auto" w:fill="auto"/>
            <w:noWrap/>
            <w:vAlign w:val="bottom"/>
            <w:hideMark/>
          </w:tcPr>
          <w:p w14:paraId="77E67768"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Luxembourg</w:t>
            </w:r>
          </w:p>
        </w:tc>
        <w:tc>
          <w:tcPr>
            <w:tcW w:w="960" w:type="dxa"/>
            <w:tcBorders>
              <w:top w:val="nil"/>
              <w:left w:val="nil"/>
              <w:bottom w:val="single" w:sz="4" w:space="0" w:color="auto"/>
              <w:right w:val="single" w:sz="4" w:space="0" w:color="auto"/>
            </w:tcBorders>
            <w:shd w:val="clear" w:color="auto" w:fill="auto"/>
            <w:noWrap/>
            <w:vAlign w:val="bottom"/>
            <w:hideMark/>
          </w:tcPr>
          <w:p w14:paraId="5F7FD7F3"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-0.493</w:t>
            </w:r>
          </w:p>
        </w:tc>
        <w:tc>
          <w:tcPr>
            <w:tcW w:w="960" w:type="dxa"/>
            <w:tcBorders>
              <w:top w:val="nil"/>
              <w:left w:val="nil"/>
              <w:bottom w:val="single" w:sz="4" w:space="0" w:color="auto"/>
              <w:right w:val="single" w:sz="4" w:space="0" w:color="auto"/>
            </w:tcBorders>
            <w:shd w:val="clear" w:color="auto" w:fill="auto"/>
            <w:noWrap/>
            <w:vAlign w:val="bottom"/>
            <w:hideMark/>
          </w:tcPr>
          <w:p w14:paraId="468C793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-0.572</w:t>
            </w:r>
          </w:p>
        </w:tc>
        <w:tc>
          <w:tcPr>
            <w:tcW w:w="964" w:type="dxa"/>
            <w:tcBorders>
              <w:top w:val="nil"/>
              <w:left w:val="nil"/>
              <w:bottom w:val="single" w:sz="4" w:space="0" w:color="auto"/>
              <w:right w:val="single" w:sz="4" w:space="0" w:color="auto"/>
            </w:tcBorders>
            <w:shd w:val="clear" w:color="auto" w:fill="auto"/>
            <w:noWrap/>
            <w:vAlign w:val="bottom"/>
            <w:hideMark/>
          </w:tcPr>
          <w:p w14:paraId="16122691"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0.079</w:t>
            </w:r>
          </w:p>
        </w:tc>
      </w:tr>
      <w:tr w:rsidR="00D1200E" w:rsidRPr="00D1200E" w14:paraId="5B230DEC" w14:textId="77777777" w:rsidTr="006B26AA">
        <w:trPr>
          <w:trHeight w:val="242"/>
          <w:jc w:val="center"/>
        </w:trPr>
        <w:tc>
          <w:tcPr>
            <w:tcW w:w="22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B18DC0" w14:textId="77777777" w:rsidR="00D1200E" w:rsidRPr="00D1200E" w:rsidRDefault="00D1200E" w:rsidP="00D1200E">
            <w:pPr>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Malta</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897CC99"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-0.362</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7290FF37"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-0.569</w:t>
            </w:r>
          </w:p>
        </w:tc>
        <w:tc>
          <w:tcPr>
            <w:tcW w:w="964" w:type="dxa"/>
            <w:tcBorders>
              <w:top w:val="single" w:sz="4" w:space="0" w:color="auto"/>
              <w:left w:val="nil"/>
              <w:bottom w:val="single" w:sz="4" w:space="0" w:color="auto"/>
              <w:right w:val="single" w:sz="4" w:space="0" w:color="auto"/>
            </w:tcBorders>
            <w:shd w:val="clear" w:color="auto" w:fill="auto"/>
            <w:noWrap/>
            <w:vAlign w:val="bottom"/>
            <w:hideMark/>
          </w:tcPr>
          <w:p w14:paraId="3F9BE814" w14:textId="77777777" w:rsidR="00D1200E" w:rsidRPr="00D1200E" w:rsidRDefault="00D1200E" w:rsidP="00D1200E">
            <w:pPr>
              <w:jc w:val="right"/>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0.208</w:t>
            </w:r>
          </w:p>
        </w:tc>
      </w:tr>
    </w:tbl>
    <w:p w14:paraId="34C0DBCC" w14:textId="34C0DBCC" w:rsidR="00943E8D" w:rsidRDefault="00943E8D">
      <w:pPr>
        <w:pStyle w:val="NormalWeb"/>
        <w:spacing w:before="0" w:beforeAutospacing="0" w:after="0" w:afterAutospacing="0" w:line="360" w:lineRule="auto"/>
      </w:pPr>
      <w:r>
        <w:rPr>
          <w:sz w:val="20"/>
          <w:szCs w:val="20"/>
        </w:rPr>
        <w:t>Note: Coefficients are on the log applicant scale. Saturated TWFE effects are the country-specific EU × Post coefficients from the weighted saturated difference-in-differences model (520 country-year observations). Synthetic DiD effects are 26 separate single-treated-unit synthetic difference-in-differences estimates (Arkhangelsky et al., 2021), each identified against the full non-EU donor pool. Across the 26 countries the two sets of estimates correlate at 0.97, with a mean absolute difference of 0.13 log points.</w:t>
      </w:r>
    </w:p>
    <w:p w14:paraId="7BE86A00" w14:textId="610DA630" w:rsidR="00BA1D5C" w:rsidRPr="00D45F56" w:rsidRDefault="00BA1D5C" w:rsidP="00D45F56">
      <w:pPr>
        <w:spacing w:line="360" w:lineRule="auto"/>
        <w:rPr>
          <w:rFonts w:ascii="Times New Roman" w:hAnsi="Times New Roman" w:cs="Times New Roman"/>
          <w:noProof/>
        </w:rPr>
      </w:pPr>
    </w:p>
    <w:p w14:paraId="10A7F99F" w14:textId="24EE935F" w:rsidR="003A34D7" w:rsidRPr="00D45F56" w:rsidRDefault="00D45F56" w:rsidP="00BA1D5C">
      <w:pPr>
        <w:pStyle w:val="ListParagraph"/>
        <w:numPr>
          <w:ilvl w:val="0"/>
          <w:numId w:val="35"/>
        </w:numPr>
        <w:spacing w:before="240" w:after="240" w:line="360" w:lineRule="auto"/>
        <w:rPr>
          <w:rFonts w:ascii="Times New Roman" w:hAnsi="Times New Roman" w:cs="Times New Roman"/>
          <w:b/>
          <w:i/>
          <w:noProof/>
        </w:rPr>
      </w:pPr>
      <w:r>
        <w:rPr>
          <w:rFonts w:ascii="Times New Roman" w:hAnsi="Times New Roman" w:cs="Times New Roman"/>
          <w:b/>
          <w:i/>
          <w:noProof/>
        </w:rPr>
        <w:t>Discussion</w:t>
      </w:r>
    </w:p>
    <w:p w14:paraId="26DF1096" w14:textId="6FA580D9" w:rsidR="00EE05DA" w:rsidRPr="001057D4" w:rsidRDefault="00A9451A" w:rsidP="00BA1D5C">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Were poor EU students really priced out because of elastic demand?</w:t>
      </w:r>
    </w:p>
    <w:p w14:paraId="78E99ACC" w14:textId="49B47635" w:rsidR="00A86732" w:rsidRDefault="00A8673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 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3BE4C44F" w:rsidR="00A86732" w:rsidRP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illustrate how elasticities, depend on loan valuation, we compute implied elasticities using the average treatment effect coefficient </w:t>
      </w:r>
      <m:oMath>
        <m:r>
          <w:rPr>
            <w:rFonts w:ascii="Cambria Math" w:eastAsia="Times New Roman" w:hAnsi="Cambria Math" w:cs="Times New Roman"/>
            <w:kern w:val="0"/>
            <w14:ligatures w14:val="none"/>
          </w:rPr>
          <m:t>β=-1.109</m:t>
        </m:r>
      </m:oMath>
      <w:r>
        <w:rPr>
          <w:rFonts w:ascii="Times New Roman" w:eastAsia="Times New Roman" w:hAnsi="Times New Roman" w:cs="Times New Roman"/>
          <w:kern w:val="0"/>
          <w14:ligatures w14:val="none"/>
        </w:rPr>
        <w:t xml:space="preserve"> and map it across a range of starting income levels (Figure 11).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25058">
      <w:pPr>
        <w:keepNext/>
        <w:spacing w:line="360" w:lineRule="auto"/>
      </w:pPr>
      <w:r>
        <w:rPr>
          <w:rFonts w:ascii="Times New Roman" w:hAnsi="Times New Roman" w:cs="Times New Roman"/>
          <w:noProof/>
        </w:rPr>
        <w:drawing>
          <wp:inline distT="0" distB="0" distL="0" distR="0" wp14:anchorId="6AA27AF6" wp14:editId="2AB36923">
            <wp:extent cx="5105400" cy="36467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494" cy="3656781"/>
                    </a:xfrm>
                    <a:prstGeom prst="rect">
                      <a:avLst/>
                    </a:prstGeom>
                  </pic:spPr>
                </pic:pic>
              </a:graphicData>
            </a:graphic>
          </wp:inline>
        </w:drawing>
      </w:r>
    </w:p>
    <w:p w14:paraId="373559D2" w14:textId="092CF01B" w:rsidR="001C2507" w:rsidRPr="009F333A" w:rsidRDefault="00ED0B4B"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The figure translates the estimated treatment effect into implied demand elasticities under different assumptions about the present value of the UK student loan to EU applicants. Points correspond to elasticity estimates implied by alternative expected graduate earning scenarios. The elasticity here is multiplied by -1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Pr>
          <w:rFonts w:ascii="Times New Roman" w:eastAsiaTheme="minorEastAsia" w:hAnsi="Times New Roman" w:cs="Times New Roman"/>
          <w:i w:val="0"/>
          <w:noProof/>
          <w:kern w:val="0"/>
          <w14:ligatures w14:val="none"/>
        </w:rPr>
        <w:t xml:space="preserve">) for illustrative purposes. </w:t>
      </w:r>
    </w:p>
    <w:p w14:paraId="4F9309F1" w14:textId="3830C5B0" w:rsidR="00F920C9" w:rsidRDefault="00843F97" w:rsidP="00637D97">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whether structural heterogeneity in demand persists after accounting for this mechanism, we define corrected elasticities as. As we mentioned earlier, 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oMath>
      <w:r>
        <w:rPr>
          <w:rFonts w:ascii="Times New Roman" w:eastAsia="Times New Roman" w:hAnsi="Times New Roman" w:cs="Times New Roman"/>
          <w:kern w:val="0"/>
          <w14:ligatures w14:val="none"/>
        </w:rPr>
        <w:t xml:space="preserve">removes the portion of elasticity variation that is mechanically induced by differential effective price shocks. We showed that after recomputing the elasticities using heterogeneous price changes across the Union, we re-estimated the correlation with GDP per capita. Figure 12 shows the exact ways in which the point estimates changed from the old fixed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to the new loan corrected </w:t>
      </w:r>
      <m:oMath>
        <m:r>
          <w:rPr>
            <w:rFonts w:ascii="Cambria Math" w:eastAsia="Times New Roman" w:hAnsi="Cambria Math" w:cs="Times New Roman"/>
            <w:kern w:val="0"/>
            <w14:ligatures w14:val="none"/>
          </w:rPr>
          <m:t>k</m:t>
        </m:r>
      </m:oMath>
      <w:r>
        <w:rPr>
          <w:rFonts w:ascii="Times New Roman" w:eastAsia="Times New Roman" w:hAnsi="Times New Roman" w:cs="Times New Roman"/>
          <w:kern w:val="0"/>
          <w14:ligatures w14:val="none"/>
        </w:rPr>
        <w:t xml:space="preserve">. For simplicity we kept the main assumption of </w:t>
      </w:r>
      <m:oMath>
        <m:r>
          <w:rPr>
            <w:rFonts w:ascii="Cambria Math" w:eastAsia="Times New Roman" w:hAnsi="Cambria Math" w:cs="Times New Roman"/>
            <w:kern w:val="0"/>
            <w14:ligatures w14:val="none"/>
          </w:rPr>
          <m:t>δ=0.03,</m:t>
        </m:r>
      </m:oMath>
      <w:r>
        <w:rPr>
          <w:rFonts w:ascii="Times New Roman" w:eastAsia="Times New Roman" w:hAnsi="Times New Roman" w:cs="Times New Roman"/>
          <w:kern w:val="0"/>
          <w14:ligatures w14:val="none"/>
        </w:rPr>
        <w:t xml:space="preserve"> the repayment rate above threshold as 9%, the nominal wage growth at 2% and the repayment horizon at 30 years. In the robustness section we showed that the result is robust to changes in the discount rate and growth rates. </w:t>
      </w:r>
    </w:p>
    <w:p w14:paraId="52D0B784" w14:textId="634A044D" w:rsidR="009F333A" w:rsidRPr="009F333A" w:rsidRDefault="009F333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12.</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Income gradient in demand elasticity.</w:t>
      </w:r>
    </w:p>
    <w:p w14:paraId="4C9D90C2" w14:textId="3E84C995" w:rsidR="009F333A" w:rsidRDefault="006C1BA5" w:rsidP="00E25058">
      <w:pPr>
        <w:keepNext/>
        <w:spacing w:line="360" w:lineRule="auto"/>
      </w:pPr>
      <w:r>
        <w:rPr>
          <w:noProof/>
        </w:rPr>
        <w:drawing>
          <wp:inline distT="0" distB="0" distL="0" distR="0" wp14:anchorId="07363EE3" wp14:editId="0AFB76D7">
            <wp:extent cx="5731510" cy="409393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093936"/>
                    </a:xfrm>
                    <a:prstGeom prst="rect">
                      <a:avLst/>
                    </a:prstGeom>
                  </pic:spPr>
                </pic:pic>
              </a:graphicData>
            </a:graphic>
          </wp:inline>
        </w:drawing>
      </w:r>
    </w:p>
    <w:p w14:paraId="6CE26708" w14:textId="6A35CBED" w:rsidR="00843F97" w:rsidRPr="009F333A" w:rsidRDefault="009F333A" w:rsidP="00E25058">
      <w:pPr>
        <w:pStyle w:val="Caption"/>
        <w:spacing w:after="0" w:line="360" w:lineRule="auto"/>
        <w:rPr>
          <w:rFonts w:ascii="Times New Roman" w:hAnsi="Times New Roman" w:cs="Times New Roman"/>
          <w:i w:val="0"/>
          <w:color w:val="000000" w:themeColor="text1"/>
        </w:rPr>
      </w:pPr>
      <w:r>
        <w:rPr>
          <w:rFonts w:ascii="Times New Roman" w:hAnsi="Times New Roman" w:cs="Times New Roman"/>
          <w:b/>
          <w:i w:val="0"/>
          <w:color w:val="000000" w:themeColor="text1"/>
        </w:rPr>
        <w:t xml:space="preserve">Note: </w:t>
      </w:r>
      <w:r>
        <w:rPr>
          <w:rStyle w:val="bzpyqfadein"/>
          <w:rFonts w:ascii="Times New Roman" w:hAnsi="Times New Roman" w:cs="Times New Roman"/>
          <w:i w:val="0"/>
          <w:color w:val="000000" w:themeColor="text1"/>
        </w:rPr>
        <w:t xml:space="preserve">The figure compares baseline elasticity estimates with elasticities corrected for heterogeneous loan value across countries. The horizontal axis orders the treated countries from lowest to highest log GDP per capita (PPP) and is labelled with country names, so it is a country-ranking axis and not a continuous GDP scale. The two fitted lines are estimated against this income ordering. Elasticities here are strictly negative as the direct ATT coefficient was divided by </w:t>
      </w:r>
      <m:oMath>
        <m:sSub>
          <m:sSubPr>
            <m:ctrlPr>
              <w:rPr>
                <w:rStyle w:val="bzpyqfadein"/>
                <w:rFonts w:ascii="Cambria Math" w:hAnsi="Cambria Math" w:cs="Times New Roman"/>
                <w:color w:val="000000" w:themeColor="text1"/>
              </w:rPr>
            </m:ctrlPr>
          </m:sSubPr>
          <m:e>
            <m:r>
              <w:rPr>
                <w:rStyle w:val="bzpyqfadein"/>
                <w:rFonts w:ascii="Cambria Math" w:hAnsi="Cambria Math" w:cs="Times New Roman"/>
                <w:color w:val="000000" w:themeColor="text1"/>
              </w:rPr>
              <m:t>k</m:t>
            </m:r>
          </m:e>
          <m:sub>
            <m:r>
              <w:rPr>
                <w:rStyle w:val="bzpyqfadein"/>
                <w:rFonts w:ascii="Cambria Math" w:hAnsi="Cambria Math" w:cs="Times New Roman"/>
                <w:color w:val="000000" w:themeColor="text1"/>
              </w:rPr>
              <m:t>j</m:t>
            </m:r>
          </m:sub>
        </m:sSub>
        <m:r>
          <w:rPr>
            <w:rStyle w:val="bzpyqfadein"/>
            <w:rFonts w:ascii="Cambria Math" w:hAnsi="Cambria Math" w:cs="Times New Roman"/>
            <w:color w:val="000000" w:themeColor="text1"/>
          </w:rPr>
          <m:t>,</m:t>
        </m:r>
      </m:oMath>
      <w:r>
        <w:rPr>
          <w:rStyle w:val="bzpyqfadein"/>
          <w:rFonts w:ascii="Times New Roman" w:eastAsiaTheme="minorEastAsia" w:hAnsi="Times New Roman" w:cs="Times New Roman"/>
          <w:i w:val="0"/>
          <w:color w:val="000000" w:themeColor="text1"/>
        </w:rPr>
        <w:t xml:space="preserve"> </w:t>
      </w:r>
      <m:oMath>
        <m:d>
          <m:dPr>
            <m:ctrlPr>
              <w:rPr>
                <w:rStyle w:val="bzpyqfadein"/>
                <w:rFonts w:ascii="Cambria Math" w:eastAsiaTheme="minorEastAsia" w:hAnsi="Cambria Math" w:cs="Times New Roman"/>
                <w:color w:val="000000" w:themeColor="text1"/>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den>
                </m:f>
              </m:e>
              <m:sub>
                <m:r>
                  <w:rPr>
                    <w:rFonts w:ascii="Cambria Math" w:eastAsia="Times New Roman" w:hAnsi="Cambria Math" w:cs="Times New Roman"/>
                    <w:kern w:val="0"/>
                    <w14:ligatures w14:val="none"/>
                  </w:rPr>
                  <m:t xml:space="preserve"> </m:t>
                </m:r>
              </m:sub>
            </m:sSub>
            <m:ctrlPr>
              <w:rPr>
                <w:rFonts w:ascii="Cambria Math" w:eastAsia="Times New Roman" w:hAnsi="Cambria Math" w:cs="Times New Roman"/>
                <w:kern w:val="0"/>
                <w14:ligatures w14:val="none"/>
              </w:rPr>
            </m:ctrlPr>
          </m:e>
        </m:d>
      </m:oMath>
    </w:p>
    <w:p w14:paraId="7A22A12D" w14:textId="77777777" w:rsidR="008B7949" w:rsidRDefault="008B7949" w:rsidP="00E25058">
      <w:pPr>
        <w:spacing w:line="360" w:lineRule="auto"/>
        <w:rPr>
          <w:rFonts w:ascii="Times New Roman" w:hAnsi="Times New Roman" w:cs="Times New Roman"/>
        </w:rPr>
      </w:pPr>
    </w:p>
    <w:p w14:paraId="3508F045" w14:textId="11C3454D" w:rsidR="00FC5C43" w:rsidRPr="00056C78" w:rsidRDefault="008B7949" w:rsidP="00E25058">
      <w:pPr>
        <w:spacing w:line="360" w:lineRule="auto"/>
        <w:rPr>
          <w:rFonts w:ascii="Times New Roman" w:hAnsi="Times New Roman" w:cs="Times New Roman"/>
          <w:b/>
          <w:i/>
          <w:noProof/>
        </w:rPr>
      </w:pPr>
      <w:r>
        <w:rPr>
          <w:rFonts w:ascii="Times New Roman" w:hAnsi="Times New Roman" w:cs="Times New Roman"/>
        </w:rPr>
        <w:t>Figure 12 shows that before correcting for heterogeneous treatment intensity, demand elasticities display a strong and statistically significant positive relationship with origin-country income (</w:t>
      </w:r>
      <m:oMath>
        <m:r>
          <w:rPr>
            <w:rFonts w:ascii="Cambria Math" w:hAnsi="Cambria Math" w:cs="Times New Roman"/>
          </w:rPr>
          <m:t>γ=1.11</m:t>
        </m:r>
      </m:oMath>
      <w:r>
        <w:rPr>
          <w:rFonts w:ascii="Times New Roman" w:eastAsiaTheme="minorEastAsia" w:hAnsi="Times New Roman" w:cs="Times New Roman"/>
        </w:rPr>
        <w:t xml:space="preserve"> and highly significant)</w:t>
      </w:r>
      <w:r>
        <w:rPr>
          <w:rFonts w:ascii="Times New Roman" w:hAnsi="Times New Roman" w:cs="Times New Roman"/>
        </w:rPr>
        <w:t>. However, once elasticities are rescaled using country-specific effective price shocks derived from the present value of the income-contingent loan, the income gradient collapses, becomes statistically indistinguishable from zero (</w:t>
      </w:r>
      <m:oMath>
        <m:r>
          <w:rPr>
            <w:rFonts w:ascii="Cambria Math" w:hAnsi="Cambria Math" w:cs="Times New Roman"/>
          </w:rPr>
          <m:t>γ</m:t>
        </m:r>
      </m:oMath>
      <w:r>
        <w:rPr>
          <w:rFonts w:ascii="Times New Roman" w:hAnsi="Times New Roman" w:cs="Times New Roman"/>
        </w:rPr>
        <w:t xml:space="preserve"> = −0.37, and not significant). As we established in the robustness section, the difference between the two income gradients indicates that a substantial portion of the observed cross-country heterogeneity reflects variation in treatment intensity rather than structural differences in preferences.</w:t>
      </w:r>
    </w:p>
    <w:p w14:paraId="58C2E136" w14:textId="200E3E72" w:rsidR="00507373" w:rsidRPr="00056C78" w:rsidRDefault="00A86732" w:rsidP="00E25058">
      <w:pPr>
        <w:spacing w:line="360" w:lineRule="auto"/>
        <w:ind w:firstLine="720"/>
        <w:rPr>
          <w:rFonts w:ascii="Times New Roman" w:hAnsi="Times New Roman" w:cs="Times New Roman"/>
          <w:b/>
          <w:noProof/>
        </w:rPr>
      </w:pPr>
      <w:r>
        <w:rPr>
          <w:rFonts w:ascii="Times New Roman" w:hAnsi="Times New Roman" w:cs="Times New Roman"/>
        </w:rPr>
        <w:t xml:space="preserve">After this correction, countries such as Finland, Denmark, Slovenia, Germany, and Luxembourg display the largest elasticities. These are precisely the countries with substantial </w:t>
      </w:r>
      <w:r>
        <w:rPr>
          <w:rFonts w:ascii="Times New Roman" w:hAnsi="Times New Roman" w:cs="Times New Roman"/>
        </w:rPr>
        <w:lastRenderedPageBreak/>
        <w:t xml:space="preserve">high-quality domestic alternatives, where UK higher education is one option among many and demand can adjust readily to a price change. Applicants from lower-income EU countries, by contrast, face fewer high-quality domestic alternatives and may view UK education as a pathway to substantially higher lifetime earnings; their application behavior is therefore less responsive to tuition increases than raw demand responses would suggest. </w:t>
      </w:r>
    </w:p>
    <w:p w14:paraId="04B5290A" w14:textId="6B2080E7" w:rsidR="00056C78" w:rsidRDefault="00A86732" w:rsidP="00E25058">
      <w:pPr>
        <w:spacing w:line="360" w:lineRule="auto"/>
        <w:ind w:firstLine="720"/>
        <w:rPr>
          <w:rFonts w:ascii="Times New Roman" w:hAnsi="Times New Roman" w:cs="Times New Roman"/>
        </w:rPr>
      </w:pPr>
      <w:r>
        <w:rPr>
          <w:rFonts w:ascii="Times New Roman" w:hAnsi="Times New Roman" w:cs="Times New Roman"/>
        </w:rPr>
        <w:t>From a political perspective, the decline in applications from poorer EU countries reflects the withdrawal of an institution that had quietly equalized opportunity across Europe. The UK’s income-contingent loan system meant that students did not need to arrive with 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 – it exposed how fragile educational mobility can be when the institutions that support it are removed.</w:t>
      </w:r>
    </w:p>
    <w:p w14:paraId="58FE0099" w14:textId="77777777" w:rsidR="008B7949" w:rsidRDefault="008B7949" w:rsidP="00E25058">
      <w:pPr>
        <w:spacing w:line="360" w:lineRule="auto"/>
        <w:ind w:firstLine="720"/>
        <w:rPr>
          <w:rFonts w:ascii="Times New Roman" w:hAnsi="Times New Roman" w:cs="Times New Roman"/>
        </w:rPr>
      </w:pPr>
    </w:p>
    <w:p w14:paraId="00573D60" w14:textId="6BD59E5E" w:rsidR="00315FF0" w:rsidRDefault="009369FA" w:rsidP="00BA1D5C">
      <w:pPr>
        <w:pStyle w:val="ListParagraph"/>
        <w:numPr>
          <w:ilvl w:val="1"/>
          <w:numId w:val="35"/>
        </w:numPr>
        <w:spacing w:line="360" w:lineRule="auto"/>
        <w:rPr>
          <w:rFonts w:ascii="Times New Roman" w:hAnsi="Times New Roman" w:cs="Times New Roman"/>
          <w:b/>
          <w:i/>
          <w:noProof/>
        </w:rPr>
      </w:pPr>
      <w:r>
        <w:rPr>
          <w:rFonts w:ascii="Times New Roman" w:hAnsi="Times New Roman" w:cs="Times New Roman"/>
          <w:b/>
          <w:i/>
          <w:noProof/>
        </w:rPr>
        <w:t xml:space="preserve"> What are the real determinants of the corrected elasticity?</w:t>
      </w:r>
    </w:p>
    <w:p w14:paraId="7D295AA1" w14:textId="12F62360"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Figure 13.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38B04FFF" w:rsidR="00922257" w:rsidRDefault="006C1BA5"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5EF9AD85" wp14:editId="2E0C7C2F">
            <wp:extent cx="5731510" cy="4093936"/>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93936"/>
                    </a:xfrm>
                    <a:prstGeom prst="rect">
                      <a:avLst/>
                    </a:prstGeom>
                  </pic:spPr>
                </pic:pic>
              </a:graphicData>
            </a:graphic>
          </wp:inline>
        </w:drawing>
      </w:r>
    </w:p>
    <w:p w14:paraId="526B7AEA" w14:textId="3329D4AF" w:rsidR="00315FF0"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lastRenderedPageBreak/>
        <w:t xml:space="preserve">Note:  </w:t>
      </w:r>
      <w:r>
        <w:rPr>
          <w:rFonts w:ascii="Times New Roman" w:hAnsi="Times New Roman" w:cs="Times New Roman"/>
          <w:i w:val="0"/>
          <w:noProof/>
        </w:rPr>
        <w:t xml:space="preserve">Performed is simple cross-sectional OLS with HC1 robust standard errors.  World bank data is from the year 2022. Elasticities are negative values. </w:t>
      </w:r>
    </w:p>
    <w:p w14:paraId="2D5BFD2A" w14:textId="77777777" w:rsidR="008B7949" w:rsidRDefault="008B7949" w:rsidP="0072253D">
      <w:pPr>
        <w:spacing w:line="360" w:lineRule="auto"/>
        <w:rPr>
          <w:rFonts w:ascii="Times New Roman" w:hAnsi="Times New Roman" w:cs="Times New Roman"/>
        </w:rPr>
      </w:pPr>
    </w:p>
    <w:p w14:paraId="42A1DCA0" w14:textId="4B763591" w:rsidR="0072253D" w:rsidRPr="0072253D" w:rsidRDefault="0072253D" w:rsidP="008B7949">
      <w:pPr>
        <w:spacing w:line="360" w:lineRule="auto"/>
        <w:ind w:firstLine="720"/>
        <w:rPr>
          <w:rFonts w:ascii="Times New Roman" w:hAnsi="Times New Roman" w:cs="Times New Roman"/>
        </w:rPr>
      </w:pPr>
      <w:r>
        <w:rPr>
          <w:rFonts w:ascii="Times New Roman" w:hAnsi="Times New Roman" w:cs="Times New Roman"/>
        </w:rPr>
        <w:t>Figure 13 shows that most standard macroeconomic indicators explain little the residual variation in the new rescaled elasticities. GDP per capita, tertiary enrollment, net migration, youth unemployment, and inequality all have wide confidence intervals crossing zero and very low explanatory power. This is important because it means that the corrected elasticity is no longer simply a disguised income measure. Once the loan channel is removed, richer countries are not systematically more or less responsive to the tuition shock.</w:t>
      </w:r>
    </w:p>
    <w:p w14:paraId="27076F8E" w14:textId="77777777" w:rsidR="00491AA8" w:rsidRDefault="008B7949" w:rsidP="00491AA8">
      <w:pPr>
        <w:spacing w:line="360" w:lineRule="auto"/>
        <w:ind w:firstLine="720"/>
        <w:rPr>
          <w:rFonts w:ascii="Times New Roman" w:hAnsi="Times New Roman" w:cs="Times New Roman"/>
        </w:rPr>
      </w:pPr>
      <w:r>
        <w:rPr>
          <w:rFonts w:ascii="Times New Roman" w:hAnsi="Times New Roman" w:cs="Times New Roman"/>
        </w:rPr>
        <w:t>Surprisingly, the only variable that clearly moves the loan-corrected elasticity is education spending as a share of GDP. Its coefficient is negative and statistically significant, with the largest explanatory power among the tested covariates. Substantively, this suggests that countries investing more heavily in education display stronger residual price responsiveness to UK tuition increases. This result also changes the interpretation of post-Brexit heterogeneity.</w:t>
      </w:r>
    </w:p>
    <w:p w14:paraId="3FDD3A60" w14:textId="5DC343A8" w:rsidR="0072253D" w:rsidRPr="0072253D" w:rsidRDefault="0072253D" w:rsidP="00491AA8">
      <w:pPr>
        <w:spacing w:line="360" w:lineRule="auto"/>
        <w:ind w:firstLine="720"/>
        <w:rPr>
          <w:rFonts w:ascii="Times New Roman" w:hAnsi="Times New Roman" w:cs="Times New Roman"/>
        </w:rPr>
      </w:pPr>
      <w:r>
        <w:rPr>
          <w:rFonts w:ascii="Times New Roman" w:hAnsi="Times New Roman" w:cs="Times New Roman"/>
        </w:rPr>
        <w:t xml:space="preserve"> Before the correction, poorer countries appeared to have the most elastic demand because their observed application declines were largest relative to a uniform nominal fee shock. After correcting for the unequal value of the lost loan, the remaining elasticity is better explained by the structure of educational opportunity, not by national income itself. This result therefore points toward a two-stage mechanism. The raw collapse in applications from lower-income EU countries reflects the removal of an equalizing credit institution. The remaining variation in corrected elasticities reflects substitution possibilities created by national education systems. Brexit first removed the financial bridge that allowed students from poorer economies to access UK higher education. After that correction is made, the strongest determinant of residual responsiveness is whether the origin country already invests enough in education to make exit from the UK market easier.</w:t>
      </w:r>
    </w:p>
    <w:p w14:paraId="057FE696" w14:textId="5E4D7846" w:rsidR="00302113" w:rsidRPr="000009C7" w:rsidRDefault="00491AA8" w:rsidP="00491AA8">
      <w:pPr>
        <w:spacing w:line="360" w:lineRule="auto"/>
        <w:ind w:firstLine="720"/>
        <w:rPr>
          <w:rFonts w:ascii="Times New Roman" w:hAnsi="Times New Roman" w:cs="Times New Roman"/>
        </w:rPr>
      </w:pPr>
      <w:r>
        <w:rPr>
          <w:rFonts w:ascii="Times New Roman" w:hAnsi="Times New Roman" w:cs="Times New Roman"/>
        </w:rPr>
        <w:t>Ultimately, this is a sovereignty argument. Countries that invest in their own systems give their students exit options, which mechanically makes those students look price-sensitive to UK tuition, not because they're poorer or more fragile but because they're not captive. That inverts the usual read entirely. The "resilient" applicants from poor countries with high measured elasticity-after-correction aren't fragile, they're the ones with somewhere else to go.</w:t>
      </w:r>
    </w:p>
    <w:p w14:paraId="096AB90D" w14:textId="77777777" w:rsidR="00302113" w:rsidRDefault="00302113" w:rsidP="00E25058">
      <w:pPr>
        <w:spacing w:line="360" w:lineRule="auto"/>
        <w:rPr>
          <w:rFonts w:ascii="Times New Roman" w:hAnsi="Times New Roman" w:cs="Times New Roman"/>
          <w:b/>
          <w:i/>
        </w:rPr>
      </w:pPr>
    </w:p>
    <w:p w14:paraId="0075946D" w14:textId="2D6159F7" w:rsidR="00BD5691" w:rsidRPr="00BD5691" w:rsidRDefault="00BD5691" w:rsidP="00E25058">
      <w:pPr>
        <w:pStyle w:val="NormalWeb"/>
        <w:spacing w:before="0" w:beforeAutospacing="0" w:after="0" w:afterAutospacing="0" w:line="360" w:lineRule="auto"/>
        <w:rPr>
          <w:b/>
          <w:bCs/>
          <w:i/>
        </w:rPr>
      </w:pPr>
      <w:r>
        <w:rPr>
          <w:b/>
          <w:bCs/>
          <w:i/>
        </w:rPr>
        <w:t>References</w:t>
      </w:r>
    </w:p>
    <w:p w14:paraId="6F000001" w14:textId="6F000001" w:rsidR="00CE3B2D" w:rsidRDefault="00CE3B2D" w:rsidP="00183949">
      <w:pPr>
        <w:pStyle w:val="NormalWeb"/>
        <w:spacing w:before="0" w:beforeAutospacing="0" w:after="0" w:afterAutospacing="0" w:line="360" w:lineRule="auto"/>
        <w:ind w:left="720" w:hanging="720"/>
      </w:pPr>
      <w:r>
        <w:lastRenderedPageBreak/>
        <w:t xml:space="preserve">Arel-Bundock, V. (2022). WDI: World Development Indicators and other World Bank data (R package version 2.7.8) [Computer software]. </w:t>
      </w:r>
      <w:hyperlink r:id="rId21" w:history="1">
        <w:r>
          <w:rPr>
            <w:rStyle w:val="Hyperlink"/>
          </w:rPr>
          <w:t>https://CRAN.R-project.org/package=WDI</w:t>
        </w:r>
      </w:hyperlink>
    </w:p>
    <w:p w14:paraId="6F000002" w14:textId="6F000002" w:rsidR="00CE3B2D" w:rsidRDefault="00CE3B2D" w:rsidP="00183949">
      <w:pPr>
        <w:pStyle w:val="NormalWeb"/>
        <w:spacing w:before="0" w:beforeAutospacing="0" w:after="0" w:afterAutospacing="0" w:line="360" w:lineRule="auto"/>
        <w:ind w:left="720" w:hanging="720"/>
      </w:pPr>
      <w:r>
        <w:t xml:space="preserve">Arel-Bundock, V., Enevoldsen, N., &amp; Yetman, C. J. (2018). countrycode: An R package to convert country names and country codes. </w:t>
      </w:r>
      <w:r>
        <w:rPr>
          <w:i/>
          <w:iCs/>
        </w:rPr>
        <w:t>Journal of Open Source Software</w:t>
      </w:r>
      <w:r>
        <w:t xml:space="preserve">, 3(28), 848. </w:t>
      </w:r>
      <w:hyperlink r:id="rId22" w:history="1">
        <w:r>
          <w:rPr>
            <w:rStyle w:val="Hyperlink"/>
          </w:rPr>
          <w:t>https://doi.org/10.21105/joss.00848</w:t>
        </w:r>
      </w:hyperlink>
    </w:p>
    <w:p w14:paraId="6F0000A1" w14:textId="1E144AD1" w:rsidR="00CE3B2D" w:rsidRDefault="00CE3B2D" w:rsidP="00183949">
      <w:pPr>
        <w:pStyle w:val="NormalWeb"/>
        <w:spacing w:before="0" w:beforeAutospacing="0" w:after="0" w:afterAutospacing="0" w:line="360" w:lineRule="auto"/>
        <w:ind w:left="720" w:hanging="720"/>
        <w:rPr>
          <w:rStyle w:val="Hyperlink"/>
        </w:rPr>
      </w:pPr>
      <w:r>
        <w:t xml:space="preserve">Arkhangelsky, D., Athey, S., Hirshberg, D. A., Imbens, G. W., &amp; Wager, S. (2021). Synthetic difference-in-differences. </w:t>
      </w:r>
      <w:r>
        <w:rPr>
          <w:i/>
          <w:iCs/>
        </w:rPr>
        <w:t>American Economic Review, 111</w:t>
      </w:r>
      <w:r>
        <w:t xml:space="preserve">(12), 4088–4118. </w:t>
      </w:r>
      <w:hyperlink r:id="rId23" w:history="1">
        <w:r>
          <w:rPr>
            <w:rStyle w:val="Hyperlink"/>
          </w:rPr>
          <w:t>https://doi.org/10.1257/aer.20190159</w:t>
        </w:r>
      </w:hyperlink>
    </w:p>
    <w:p w14:paraId="0B86F857" w14:textId="70ED84D3" w:rsidR="00077AF7" w:rsidRDefault="00077AF7" w:rsidP="00183949">
      <w:pPr>
        <w:pStyle w:val="NormalWeb"/>
        <w:spacing w:before="0" w:beforeAutospacing="0" w:after="0" w:afterAutospacing="0" w:line="360" w:lineRule="auto"/>
        <w:ind w:left="720" w:hanging="720"/>
      </w:pPr>
      <w:r w:rsidRPr="00077AF7">
        <w:t xml:space="preserve">Abadie, A. (2021). Using synthetic controls: Feasibility, data requirements, and methodological aspects. Journal of Economic Literature, 59(2), 391–425. </w:t>
      </w:r>
      <w:hyperlink r:id="rId24" w:history="1">
        <w:r w:rsidRPr="008A1C7C">
          <w:rPr>
            <w:rStyle w:val="Hyperlink"/>
          </w:rPr>
          <w:t>https://doi.org/10.1257/jel.20191450</w:t>
        </w:r>
      </w:hyperlink>
      <w:r>
        <w:t xml:space="preserve"> </w:t>
      </w:r>
    </w:p>
    <w:p w14:paraId="6F000003" w14:textId="6F000003" w:rsidR="00CE3B2D" w:rsidRDefault="00CE3B2D" w:rsidP="00183949">
      <w:pPr>
        <w:pStyle w:val="NormalWeb"/>
        <w:spacing w:before="0" w:beforeAutospacing="0" w:after="0" w:afterAutospacing="0" w:line="360" w:lineRule="auto"/>
        <w:ind w:left="720" w:hanging="720"/>
      </w:pPr>
      <w:r>
        <w:t xml:space="preserve">Bound, J., Lovenheim, M. F., &amp; Turner, S. (2010). Why have college completion rates declined? </w:t>
      </w:r>
      <w:r>
        <w:rPr>
          <w:i/>
          <w:iCs/>
        </w:rPr>
        <w:t>American Economic Journal: Applied Economics</w:t>
      </w:r>
      <w:r>
        <w:t xml:space="preserve">, 2(3), 129–157. </w:t>
      </w:r>
      <w:hyperlink r:id="rId25" w:history="1">
        <w:r>
          <w:rPr>
            <w:rStyle w:val="Hyperlink"/>
          </w:rPr>
          <w:t>https://doi.org/10.1257/app.2.3.129</w:t>
        </w:r>
      </w:hyperlink>
    </w:p>
    <w:p w14:paraId="6F000004" w14:textId="6F000004" w:rsidR="00CE3B2D" w:rsidRDefault="00CE3B2D" w:rsidP="00183949">
      <w:pPr>
        <w:pStyle w:val="NormalWeb"/>
        <w:spacing w:before="0" w:beforeAutospacing="0" w:after="0" w:afterAutospacing="0" w:line="360" w:lineRule="auto"/>
        <w:ind w:left="720" w:hanging="720"/>
      </w:pPr>
      <w:r w:rsidRPr="00F330EE">
        <w:rPr>
          <w:highlight w:val="red"/>
        </w:rPr>
        <w:t xml:space="preserve">Bresnahan, T. F. (1982). The oligopoly solution concept is identified. </w:t>
      </w:r>
      <w:r w:rsidRPr="00F330EE">
        <w:rPr>
          <w:i/>
          <w:iCs/>
          <w:highlight w:val="red"/>
        </w:rPr>
        <w:t>Economics Letters</w:t>
      </w:r>
      <w:r w:rsidRPr="00F330EE">
        <w:rPr>
          <w:highlight w:val="red"/>
        </w:rPr>
        <w:t xml:space="preserve">, 10(1–2), 87–92. </w:t>
      </w:r>
      <w:hyperlink r:id="rId26" w:history="1">
        <w:r w:rsidRPr="00F330EE">
          <w:rPr>
            <w:rStyle w:val="Hyperlink"/>
            <w:highlight w:val="red"/>
          </w:rPr>
          <w:t>https://doi.org/10.1016/0165-1765(82)90121-5</w:t>
        </w:r>
      </w:hyperlink>
    </w:p>
    <w:p w14:paraId="6F000005" w14:textId="6F000005" w:rsidR="00CE3B2D" w:rsidRDefault="00CE3B2D" w:rsidP="00183949">
      <w:pPr>
        <w:pStyle w:val="NormalWeb"/>
        <w:spacing w:before="0" w:beforeAutospacing="0" w:after="0" w:afterAutospacing="0" w:line="360" w:lineRule="auto"/>
        <w:ind w:left="720" w:hanging="720"/>
      </w:pPr>
      <w:r>
        <w:t xml:space="preserve">Brown, R. (2011). After Browne: The new competitive regime for English higher education (CSHE Research &amp; Occasional Paper Series No. CSHE.5.10). Center for Studies in Higher Education, University of California, Berkeley. </w:t>
      </w:r>
      <w:hyperlink r:id="rId27" w:history="1">
        <w:r>
          <w:rPr>
            <w:rStyle w:val="Hyperlink"/>
          </w:rPr>
          <w:t>https://escholarship.org/uc/item/9569q5n5</w:t>
        </w:r>
      </w:hyperlink>
    </w:p>
    <w:p w14:paraId="6F000006" w14:textId="106B17E8" w:rsidR="00CE3B2D" w:rsidRDefault="00CE3B2D" w:rsidP="00183949">
      <w:pPr>
        <w:pStyle w:val="NormalWeb"/>
        <w:spacing w:before="0" w:beforeAutospacing="0" w:after="0" w:afterAutospacing="0" w:line="360" w:lineRule="auto"/>
        <w:ind w:left="720" w:hanging="720"/>
      </w:pPr>
      <w:r>
        <w:t xml:space="preserve">Calhoun, C. (2017). Populism, nationalism and Brexit. In W. Outhwaite (Ed.), </w:t>
      </w:r>
      <w:r>
        <w:rPr>
          <w:i/>
          <w:iCs/>
        </w:rPr>
        <w:t>Brexit: Sociological responses</w:t>
      </w:r>
      <w:r>
        <w:t xml:space="preserve"> (pp. 57–76). Anthem Press. Stable link: </w:t>
      </w:r>
      <w:hyperlink r:id="rId28" w:history="1">
        <w:r>
          <w:rPr>
            <w:rStyle w:val="Hyperlink"/>
          </w:rPr>
          <w:t>https://calhoun.faculty.asu.edu/sites/g/files/litvpz3321/files/publications/articles/populism_brexit.pdf</w:t>
        </w:r>
      </w:hyperlink>
      <w:r>
        <w:t xml:space="preserve"> </w:t>
      </w:r>
    </w:p>
    <w:p w14:paraId="6F000008" w14:textId="0E620E29" w:rsidR="00CE3B2D" w:rsidRDefault="00CE3B2D" w:rsidP="00183949">
      <w:pPr>
        <w:pStyle w:val="NormalWeb"/>
        <w:spacing w:before="0" w:beforeAutospacing="0" w:after="0" w:afterAutospacing="0" w:line="360" w:lineRule="auto"/>
        <w:ind w:left="720" w:hanging="720"/>
      </w:pPr>
      <w:r>
        <w:t xml:space="preserve">Campbell, R., &amp; Siegel, B. (1967). The Demand for higher education in the United States, 1919–1964. </w:t>
      </w:r>
      <w:r>
        <w:rPr>
          <w:i/>
          <w:iCs/>
        </w:rPr>
        <w:t>American Economic Review</w:t>
      </w:r>
      <w:r>
        <w:t xml:space="preserve">, 57(3), 482–494. Stable link: </w:t>
      </w:r>
      <w:hyperlink r:id="rId29" w:history="1">
        <w:r>
          <w:rPr>
            <w:rStyle w:val="Hyperlink"/>
          </w:rPr>
          <w:t>https://www.jstor.org/stable/1812115</w:t>
        </w:r>
      </w:hyperlink>
      <w:r>
        <w:t xml:space="preserve"> </w:t>
      </w:r>
    </w:p>
    <w:p w14:paraId="6F000009" w14:textId="2FB5EC98" w:rsidR="00CE3B2D" w:rsidRDefault="00CE3B2D" w:rsidP="00183949">
      <w:pPr>
        <w:pStyle w:val="NormalWeb"/>
        <w:spacing w:before="0" w:beforeAutospacing="0" w:after="0" w:afterAutospacing="0" w:line="360" w:lineRule="auto"/>
        <w:ind w:left="720" w:hanging="720"/>
      </w:pPr>
      <w:r>
        <w:t xml:space="preserve">Clifton-Sprigg, J., Homburg, I., Huyghe, A., &amp; Vujić, S. (2025). </w:t>
      </w:r>
      <w:r>
        <w:rPr>
          <w:i/>
          <w:iCs/>
        </w:rPr>
        <w:t>International student migration: Did Brexit close the door to EU students?</w:t>
      </w:r>
      <w:r>
        <w:t xml:space="preserve"> (IZA Discussion Paper No. 18178). IZA Institute of Labor Economics. Stable link: </w:t>
      </w:r>
      <w:hyperlink r:id="rId30" w:history="1">
        <w:r>
          <w:rPr>
            <w:rStyle w:val="Hyperlink"/>
          </w:rPr>
          <w:t>https://www.iza.org/publications/dp/18178/international-student-migration-did-brexit-close-the-door-to-eu-students</w:t>
        </w:r>
      </w:hyperlink>
      <w:r>
        <w:t xml:space="preserve"> </w:t>
      </w:r>
    </w:p>
    <w:p w14:paraId="2542111E" w14:textId="2F6BDA80" w:rsidR="00423E1E" w:rsidRDefault="00423E1E" w:rsidP="00183949">
      <w:pPr>
        <w:pStyle w:val="NormalWeb"/>
        <w:spacing w:before="0" w:beforeAutospacing="0" w:after="0" w:afterAutospacing="0" w:line="360" w:lineRule="auto"/>
        <w:ind w:left="720" w:hanging="720"/>
      </w:pPr>
      <w:proofErr w:type="spellStart"/>
      <w:r w:rsidRPr="00423E1E">
        <w:lastRenderedPageBreak/>
        <w:t>Cuibus</w:t>
      </w:r>
      <w:proofErr w:type="spellEnd"/>
      <w:r w:rsidRPr="00423E1E">
        <w:t xml:space="preserve">, M., &amp; Walsh, P. W. &amp; </w:t>
      </w:r>
      <w:proofErr w:type="spellStart"/>
      <w:r w:rsidRPr="00423E1E">
        <w:t>Němeček</w:t>
      </w:r>
      <w:proofErr w:type="spellEnd"/>
      <w:r w:rsidRPr="00423E1E">
        <w:t xml:space="preserve"> F. (2025). Student migration to the UK. The migration Observatory, COMPAS, University of Oxford. </w:t>
      </w:r>
      <w:hyperlink r:id="rId31" w:history="1">
        <w:r w:rsidRPr="00F30931">
          <w:rPr>
            <w:rStyle w:val="Hyperlink"/>
          </w:rPr>
          <w:t>https://migrationobservatory.ox.ac.uk/resources/briefings/student-migration-to-the-uk/</w:t>
        </w:r>
      </w:hyperlink>
    </w:p>
    <w:p w14:paraId="6F00000B" w14:textId="656315A4" w:rsidR="00CE3B2D" w:rsidRDefault="00CE3B2D" w:rsidP="00183949">
      <w:pPr>
        <w:pStyle w:val="NormalWeb"/>
        <w:spacing w:before="0" w:beforeAutospacing="0" w:after="0" w:afterAutospacing="0" w:line="360" w:lineRule="auto"/>
        <w:ind w:left="720" w:hanging="720"/>
      </w:pPr>
      <w:r>
        <w:t xml:space="preserve">Driscoll, J. C., &amp; Kraay, A. C. (1998). Consistent covariance matrix estimation with spatially dependent panel data. </w:t>
      </w:r>
      <w:r>
        <w:rPr>
          <w:i/>
          <w:iCs/>
        </w:rPr>
        <w:t>Review of Economics and Statistics</w:t>
      </w:r>
      <w:r>
        <w:t xml:space="preserve">, 80(4), 549–560. </w:t>
      </w:r>
      <w:hyperlink r:id="rId32" w:history="1">
        <w:r>
          <w:rPr>
            <w:rStyle w:val="Hyperlink"/>
          </w:rPr>
          <w:t>https://doi.org/10.1162/003465398557825</w:t>
        </w:r>
      </w:hyperlink>
    </w:p>
    <w:p w14:paraId="6F00000C" w14:textId="6F00000C" w:rsidR="00CE3B2D" w:rsidRDefault="00CE3B2D" w:rsidP="00183949">
      <w:pPr>
        <w:pStyle w:val="NormalWeb"/>
        <w:spacing w:before="0" w:beforeAutospacing="0" w:after="0" w:afterAutospacing="0" w:line="360" w:lineRule="auto"/>
        <w:ind w:left="720" w:hanging="720"/>
      </w:pPr>
      <w:r>
        <w:t xml:space="preserve">Dwenger, N., Storck, J., &amp; Wrohlich, K. (2012). Do tuition fees affect the mobility of university applicants? Evidence from a natural experiment. </w:t>
      </w:r>
      <w:r>
        <w:rPr>
          <w:i/>
          <w:iCs/>
        </w:rPr>
        <w:t>Economics of Education Review</w:t>
      </w:r>
      <w:r>
        <w:t xml:space="preserve">, 31(1), 155–167. </w:t>
      </w:r>
      <w:hyperlink r:id="rId33" w:history="1">
        <w:r>
          <w:rPr>
            <w:rStyle w:val="Hyperlink"/>
          </w:rPr>
          <w:t>https://doi.org/10.1016/j.econedurev.2011.10.004</w:t>
        </w:r>
      </w:hyperlink>
    </w:p>
    <w:p w14:paraId="6F00000D" w14:textId="6F00000D" w:rsidR="00CE3B2D" w:rsidRDefault="00CE3B2D" w:rsidP="00183949">
      <w:pPr>
        <w:pStyle w:val="NormalWeb"/>
        <w:spacing w:before="0" w:beforeAutospacing="0" w:after="0" w:afterAutospacing="0" w:line="360" w:lineRule="auto"/>
        <w:ind w:left="720" w:hanging="720"/>
      </w:pPr>
      <w:r>
        <w:t xml:space="preserve">Eurostat. (2025). </w:t>
      </w:r>
      <w:r>
        <w:rPr>
          <w:i/>
          <w:iCs/>
        </w:rPr>
        <w:t>Average full-time adjusted salary per employee</w:t>
      </w:r>
      <w:r>
        <w:t xml:space="preserve"> [Data set]. </w:t>
      </w:r>
      <w:hyperlink r:id="rId34" w:history="1">
        <w:r>
          <w:rPr>
            <w:rStyle w:val="Hyperlink"/>
          </w:rPr>
          <w:t>https://doi.org/10.2908/NAMA_10_FTE</w:t>
        </w:r>
      </w:hyperlink>
    </w:p>
    <w:p w14:paraId="6F00000E" w14:textId="6F00000E" w:rsidR="00CE3B2D" w:rsidRDefault="00CE3B2D" w:rsidP="00183949">
      <w:pPr>
        <w:pStyle w:val="NormalWeb"/>
        <w:spacing w:before="0" w:beforeAutospacing="0" w:after="0" w:afterAutospacing="0" w:line="360" w:lineRule="auto"/>
        <w:ind w:left="720" w:hanging="720"/>
      </w:pPr>
      <w:r>
        <w:t xml:space="preserve">Findlay, A., King, R., Stam, A., &amp; Ruiz-Gelices, E. (2006). Ever reluctant Europeans: The changing geographies of UK students studying and working abroad. </w:t>
      </w:r>
      <w:r>
        <w:rPr>
          <w:i/>
          <w:iCs/>
        </w:rPr>
        <w:t>European Urban and Regional Studies</w:t>
      </w:r>
      <w:r>
        <w:t xml:space="preserve">, 13(4), 291–318. </w:t>
      </w:r>
      <w:hyperlink r:id="rId35" w:tgtFrame="_new" w:history="1">
        <w:r>
          <w:rPr>
            <w:rStyle w:val="Hyperlink"/>
          </w:rPr>
          <w:t>https://doi.org/10.1177/0969776406065429</w:t>
        </w:r>
      </w:hyperlink>
    </w:p>
    <w:p w14:paraId="6F00000F" w14:textId="46181D2C" w:rsidR="00CE3B2D" w:rsidRDefault="00CE3B2D" w:rsidP="00183949">
      <w:pPr>
        <w:pStyle w:val="NormalWeb"/>
        <w:spacing w:before="0" w:beforeAutospacing="0" w:after="0" w:afterAutospacing="0" w:line="360" w:lineRule="auto"/>
        <w:ind w:left="720" w:hanging="720"/>
      </w:pPr>
      <w:r>
        <w:t xml:space="preserve">Heller, D. E. (1997). Student price response in higher education: An update to Leslie and Brinkman. </w:t>
      </w:r>
      <w:r>
        <w:rPr>
          <w:i/>
          <w:iCs/>
        </w:rPr>
        <w:t>Journal of Higher Education</w:t>
      </w:r>
      <w:r>
        <w:t xml:space="preserve">, 68(6), 624–659. Stable link: </w:t>
      </w:r>
      <w:hyperlink r:id="rId36" w:history="1">
        <w:r>
          <w:rPr>
            <w:rStyle w:val="Hyperlink"/>
          </w:rPr>
          <w:t>https://www.jstor.org/stable/2959966</w:t>
        </w:r>
      </w:hyperlink>
      <w:r>
        <w:t xml:space="preserve"> </w:t>
      </w:r>
    </w:p>
    <w:p w14:paraId="6F000010" w14:textId="6F000010" w:rsidR="00CE3B2D" w:rsidRDefault="00CE3B2D" w:rsidP="00183949">
      <w:pPr>
        <w:pStyle w:val="NormalWeb"/>
        <w:spacing w:before="0" w:beforeAutospacing="0" w:after="0" w:afterAutospacing="0" w:line="360" w:lineRule="auto"/>
        <w:ind w:left="720" w:hanging="720"/>
      </w:pPr>
      <w:r>
        <w:t xml:space="preserve">Hemelt, S. W., &amp; Marcotte, D. E. (2011). The impact of tuition increases on enrollment at public colleges and universities. </w:t>
      </w:r>
      <w:r>
        <w:rPr>
          <w:i/>
          <w:iCs/>
        </w:rPr>
        <w:t>Educational Evaluation and Policy Analysis</w:t>
      </w:r>
      <w:r>
        <w:t xml:space="preserve">, 33(4), 435–457. </w:t>
      </w:r>
      <w:hyperlink r:id="rId37" w:history="1">
        <w:r>
          <w:rPr>
            <w:rStyle w:val="Hyperlink"/>
          </w:rPr>
          <w:t>https://doi.org/10.3102/0162373711415261</w:t>
        </w:r>
      </w:hyperlink>
    </w:p>
    <w:p w14:paraId="6F000011" w14:textId="6015B8A7" w:rsidR="00CE3B2D" w:rsidRDefault="00CE3B2D" w:rsidP="00183949">
      <w:pPr>
        <w:pStyle w:val="NormalWeb"/>
        <w:spacing w:before="0" w:beforeAutospacing="0" w:after="0" w:afterAutospacing="0" w:line="360" w:lineRule="auto"/>
        <w:ind w:left="720" w:hanging="720"/>
      </w:pPr>
      <w:r>
        <w:t xml:space="preserve">Hoxby, C. M. (1997). </w:t>
      </w:r>
      <w:r>
        <w:rPr>
          <w:i/>
          <w:iCs/>
        </w:rPr>
        <w:t>How the changing market structure of U.S. higher education explains college tuition</w:t>
      </w:r>
      <w:r>
        <w:t xml:space="preserve"> (NBER Working Paper No. 6323). National Bureau of Economic Research. Stable link:  </w:t>
      </w:r>
      <w:hyperlink r:id="rId38" w:history="1">
        <w:r>
          <w:rPr>
            <w:rStyle w:val="Hyperlink"/>
          </w:rPr>
          <w:t>https://www.nber.org/system/files/working_papers/w6323/w6323.pdf</w:t>
        </w:r>
      </w:hyperlink>
      <w:r>
        <w:t xml:space="preserve"> </w:t>
      </w:r>
    </w:p>
    <w:p w14:paraId="3C59B86F" w14:textId="06ECD6E0" w:rsidR="004D461D" w:rsidRDefault="004D461D" w:rsidP="00183949">
      <w:pPr>
        <w:pStyle w:val="NormalWeb"/>
        <w:spacing w:before="0" w:beforeAutospacing="0" w:after="0" w:afterAutospacing="0" w:line="360" w:lineRule="auto"/>
        <w:ind w:left="720" w:hanging="720"/>
      </w:pPr>
      <w:r w:rsidRPr="004D461D">
        <w:t>Hubble, S., &amp; Bolton, P. (2018). Higher education tuition fees in England (House of Commons Library Briefing Paper No. 8151). House of Commons Library. </w:t>
      </w:r>
      <w:hyperlink r:id="rId39" w:history="1">
        <w:r w:rsidRPr="004D461D">
          <w:rPr>
            <w:rStyle w:val="Hyperlink"/>
          </w:rPr>
          <w:t>https://commonslibrary.parliament.uk/research-briefings/cbp-8151/</w:t>
        </w:r>
      </w:hyperlink>
    </w:p>
    <w:p w14:paraId="6F000013" w14:textId="6F000013" w:rsidR="00CE3B2D" w:rsidRDefault="00CE3B2D" w:rsidP="00183949">
      <w:pPr>
        <w:pStyle w:val="NormalWeb"/>
        <w:spacing w:before="0" w:beforeAutospacing="0" w:after="0" w:afterAutospacing="0" w:line="360" w:lineRule="auto"/>
        <w:ind w:left="720" w:hanging="720"/>
      </w:pPr>
      <w:r>
        <w:t xml:space="preserve">Leslie, D. (2003). Using success to measure quality in British higher education: Which subjects attract the best-qualified students? </w:t>
      </w:r>
      <w:r>
        <w:rPr>
          <w:i/>
          <w:iCs/>
        </w:rPr>
        <w:t>Journal of the Royal Statistical Society: Series A (Statistics in Society)</w:t>
      </w:r>
      <w:r>
        <w:t xml:space="preserve">, 166(3), 329–347. </w:t>
      </w:r>
      <w:hyperlink r:id="rId40" w:tgtFrame="_new" w:history="1">
        <w:r>
          <w:rPr>
            <w:rStyle w:val="Hyperlink"/>
          </w:rPr>
          <w:t>https://doi.org/10.1111/1467-985X.00280</w:t>
        </w:r>
      </w:hyperlink>
    </w:p>
    <w:p w14:paraId="6F000014" w14:textId="6F000014" w:rsidR="00CE3B2D" w:rsidRDefault="00CE3B2D" w:rsidP="00183949">
      <w:pPr>
        <w:pStyle w:val="NormalWeb"/>
        <w:spacing w:before="0" w:beforeAutospacing="0" w:after="0" w:afterAutospacing="0" w:line="360" w:lineRule="auto"/>
        <w:ind w:left="720" w:hanging="720"/>
      </w:pPr>
      <w:r>
        <w:t xml:space="preserve">Leslie, L. L., &amp; Brinkman, P. T. (1987). Student price response in higher education: The student demand studies. </w:t>
      </w:r>
      <w:r>
        <w:rPr>
          <w:i/>
          <w:iCs/>
        </w:rPr>
        <w:t>Journal of Higher Education</w:t>
      </w:r>
      <w:r>
        <w:t xml:space="preserve">, 58(2), 181–204. </w:t>
      </w:r>
      <w:hyperlink r:id="rId41" w:history="1">
        <w:r>
          <w:rPr>
            <w:rStyle w:val="Hyperlink"/>
          </w:rPr>
          <w:t>https://doi.org/10.1080/00221546.1987.11778239</w:t>
        </w:r>
      </w:hyperlink>
    </w:p>
    <w:p w14:paraId="6F000015" w14:textId="6F000015" w:rsidR="00CE3B2D" w:rsidRDefault="00CE3B2D" w:rsidP="00183949">
      <w:pPr>
        <w:pStyle w:val="NormalWeb"/>
        <w:spacing w:before="0" w:beforeAutospacing="0" w:after="0" w:afterAutospacing="0" w:line="360" w:lineRule="auto"/>
        <w:ind w:left="720" w:hanging="720"/>
      </w:pPr>
      <w:r>
        <w:lastRenderedPageBreak/>
        <w:t xml:space="preserve">Locke, W., &amp; Marini, G. (2021). The rapid increase in faculty from the European Union in UK higher education institutions and the possible impact of Brexit. In F. Huang &amp; A. R. Welch (Eds.), </w:t>
      </w:r>
      <w:r>
        <w:rPr>
          <w:i/>
          <w:iCs/>
        </w:rPr>
        <w:t>International faculty in Asia</w:t>
      </w:r>
      <w:r>
        <w:t xml:space="preserve"> (Vol. 21). Springer. </w:t>
      </w:r>
      <w:hyperlink r:id="rId42" w:tgtFrame="_new" w:history="1">
        <w:r>
          <w:rPr>
            <w:rStyle w:val="Hyperlink"/>
          </w:rPr>
          <w:t>https://doi.org/10.1007/978-981-33-4980-3_12</w:t>
        </w:r>
      </w:hyperlink>
    </w:p>
    <w:p w14:paraId="6F000016" w14:textId="6F000016" w:rsidR="00CE3B2D" w:rsidRDefault="00CE3B2D" w:rsidP="00183949">
      <w:pPr>
        <w:pStyle w:val="NormalWeb"/>
        <w:spacing w:before="0" w:beforeAutospacing="0" w:after="0" w:afterAutospacing="0" w:line="360" w:lineRule="auto"/>
        <w:ind w:left="720" w:hanging="720"/>
      </w:pPr>
      <w:r>
        <w:t xml:space="preserve">Luthra, R. R. (2020). Mitigating the hostile environment: The role of the workplace in EU migrant experience of Brexit. </w:t>
      </w:r>
      <w:r>
        <w:rPr>
          <w:i/>
          <w:iCs/>
        </w:rPr>
        <w:t>Journal of Ethnic and Migration Studies</w:t>
      </w:r>
      <w:r>
        <w:t xml:space="preserve">, 47(1), 190–207. </w:t>
      </w:r>
      <w:hyperlink r:id="rId43" w:history="1">
        <w:r>
          <w:rPr>
            <w:rStyle w:val="Hyperlink"/>
          </w:rPr>
          <w:t>https://doi.org/10.1080/1369183x.2020.1726173</w:t>
        </w:r>
      </w:hyperlink>
    </w:p>
    <w:p w14:paraId="6F000017" w14:textId="6F000017" w:rsidR="00CE3B2D" w:rsidRDefault="00CE3B2D" w:rsidP="00183949">
      <w:pPr>
        <w:pStyle w:val="NormalWeb"/>
        <w:spacing w:before="0" w:beforeAutospacing="0" w:after="0" w:afterAutospacing="0" w:line="360" w:lineRule="auto"/>
        <w:ind w:left="720" w:hanging="720"/>
      </w:pPr>
      <w:r>
        <w:t xml:space="preserve">Macdonald, C., &amp; Stratta, E. (2001). From access to widening participation: Responses to the changing population in higher education in the UK. </w:t>
      </w:r>
      <w:r>
        <w:rPr>
          <w:i/>
          <w:iCs/>
        </w:rPr>
        <w:t>Journal of Further and Higher Education</w:t>
      </w:r>
      <w:r>
        <w:t xml:space="preserve">, 25(2), 249–258. </w:t>
      </w:r>
      <w:hyperlink r:id="rId44" w:tgtFrame="_new" w:history="1">
        <w:r>
          <w:rPr>
            <w:rStyle w:val="Hyperlink"/>
          </w:rPr>
          <w:t>https://doi.org/10.1080/03098770120050909</w:t>
        </w:r>
      </w:hyperlink>
    </w:p>
    <w:p w14:paraId="6F000018" w14:textId="6F000018" w:rsidR="00CE3B2D" w:rsidRDefault="00CE3B2D" w:rsidP="00183949">
      <w:pPr>
        <w:pStyle w:val="NormalWeb"/>
        <w:spacing w:before="0" w:beforeAutospacing="0" w:after="0" w:afterAutospacing="0" w:line="360" w:lineRule="auto"/>
        <w:ind w:left="720" w:hanging="720"/>
      </w:pPr>
      <w:r>
        <w:t xml:space="preserve">Mayhew, K. (2022). Brexit and UK higher education. </w:t>
      </w:r>
      <w:r>
        <w:rPr>
          <w:i/>
          <w:iCs/>
        </w:rPr>
        <w:t>Oxford Review of Economic Policy</w:t>
      </w:r>
      <w:r>
        <w:t xml:space="preserve">, 38(1), 179–187. </w:t>
      </w:r>
      <w:hyperlink r:id="rId45" w:tgtFrame="_new" w:history="1">
        <w:r>
          <w:rPr>
            <w:rStyle w:val="Hyperlink"/>
          </w:rPr>
          <w:t>https://doi.org/10.1093/oxrep/grab043</w:t>
        </w:r>
      </w:hyperlink>
    </w:p>
    <w:p w14:paraId="6F000019" w14:textId="0F66D338" w:rsidR="00CE3B2D" w:rsidRDefault="00CE3B2D" w:rsidP="00183949">
      <w:pPr>
        <w:pStyle w:val="NormalWeb"/>
        <w:spacing w:before="0" w:beforeAutospacing="0" w:after="0" w:afterAutospacing="0" w:line="360" w:lineRule="auto"/>
        <w:ind w:left="720" w:hanging="720"/>
      </w:pPr>
      <w:r>
        <w:t xml:space="preserve">McFadden, D. (1974). Conditional logit analysis of qualitative choice behavior. In P. Zarembka (Ed.), </w:t>
      </w:r>
      <w:r>
        <w:rPr>
          <w:i/>
          <w:iCs/>
        </w:rPr>
        <w:t>Frontiers in econometrics</w:t>
      </w:r>
      <w:r>
        <w:t xml:space="preserve"> (pp. 105–142). Academic Press. Stable link: </w:t>
      </w:r>
      <w:hyperlink r:id="rId46" w:history="1">
        <w:r>
          <w:rPr>
            <w:rStyle w:val="Hyperlink"/>
          </w:rPr>
          <w:t>https://eml.berkeley.edu/reprints/mcfadden/zarembka.pdf</w:t>
        </w:r>
      </w:hyperlink>
      <w:r>
        <w:t xml:space="preserve"> </w:t>
      </w:r>
    </w:p>
    <w:p w14:paraId="6F00001A" w14:textId="6F00001A" w:rsidR="00CE3B2D" w:rsidRDefault="00CE3B2D" w:rsidP="00183949">
      <w:pPr>
        <w:pStyle w:val="NormalWeb"/>
        <w:spacing w:before="0" w:beforeAutospacing="0" w:after="0" w:afterAutospacing="0" w:line="360" w:lineRule="auto"/>
        <w:ind w:left="720" w:hanging="720"/>
      </w:pPr>
      <w:r>
        <w:t xml:space="preserve">Neville, R., Rowe, F., &amp; Singleton, A. (2024). Unraveling the Brexit–COVID-19 nexus: Assessing the decline of EU student applications into UK universities. </w:t>
      </w:r>
      <w:r>
        <w:rPr>
          <w:i/>
          <w:iCs/>
        </w:rPr>
        <w:t>Data &amp; Policy</w:t>
      </w:r>
      <w:r>
        <w:t xml:space="preserve">, </w:t>
      </w:r>
      <w:r>
        <w:rPr>
          <w:i/>
          <w:iCs/>
        </w:rPr>
        <w:t>6</w:t>
      </w:r>
      <w:r>
        <w:t xml:space="preserve">, Article e45. </w:t>
      </w:r>
      <w:hyperlink r:id="rId47" w:history="1">
        <w:r>
          <w:rPr>
            <w:rStyle w:val="Hyperlink"/>
          </w:rPr>
          <w:t>https://doi.org/10.1017/dap.2024.42</w:t>
        </w:r>
      </w:hyperlink>
    </w:p>
    <w:p w14:paraId="6F00101B" w14:textId="6F00101B" w:rsidR="00CE3B2D" w:rsidRDefault="00CE3B2D" w:rsidP="00183949">
      <w:pPr>
        <w:pStyle w:val="NormalWeb"/>
        <w:spacing w:before="0" w:beforeAutospacing="0" w:after="0" w:afterAutospacing="0" w:line="360" w:lineRule="auto"/>
        <w:ind w:left="720" w:hanging="720"/>
      </w:pPr>
      <w:r>
        <w:t xml:space="preserve">Rambachan, A., &amp; Roth, J. (2023). A more credible approach to parallel trends. </w:t>
      </w:r>
      <w:r>
        <w:rPr>
          <w:i/>
          <w:iCs/>
        </w:rPr>
        <w:t>Review of Economic Studies</w:t>
      </w:r>
      <w:r>
        <w:t>, 90(5), 2555–2591. https://doi.org/10.1093/restud/rdad018</w:t>
      </w:r>
    </w:p>
    <w:p w14:paraId="6F00102B" w14:textId="6F00102B" w:rsidR="00CE3B2D" w:rsidRDefault="00CE3B2D" w:rsidP="00183949">
      <w:pPr>
        <w:pStyle w:val="NormalWeb"/>
        <w:spacing w:before="0" w:beforeAutospacing="0" w:after="0" w:afterAutospacing="0" w:line="360" w:lineRule="auto"/>
        <w:ind w:left="720" w:hanging="720"/>
      </w:pPr>
      <w:r>
        <w:t xml:space="preserve">Roth, J. (2022). Pretest with caution: Event-study estimates after testing for parallel trends. </w:t>
      </w:r>
      <w:r>
        <w:rPr>
          <w:i/>
          <w:iCs/>
        </w:rPr>
        <w:t>American Economic Review: Insights</w:t>
      </w:r>
      <w:r>
        <w:t>, 4(3), 305–322. https://doi.org/10.1257/aeri.20210236</w:t>
      </w:r>
    </w:p>
    <w:p w14:paraId="6F00001C" w14:textId="6F00001C" w:rsidR="00CE3B2D" w:rsidRDefault="00CE3B2D" w:rsidP="00183949">
      <w:pPr>
        <w:pStyle w:val="NormalWeb"/>
        <w:spacing w:before="0" w:beforeAutospacing="0" w:after="0" w:afterAutospacing="0" w:line="360" w:lineRule="auto"/>
        <w:ind w:left="720" w:hanging="720"/>
      </w:pPr>
      <w:proofErr w:type="spellStart"/>
      <w:r>
        <w:t>Savoca</w:t>
      </w:r>
      <w:proofErr w:type="spellEnd"/>
      <w:r>
        <w:t xml:space="preserve">, E. (1990). Another look at the demand for higher education: Measuring the price sensitivity of the decision to apply to college. </w:t>
      </w:r>
      <w:r>
        <w:rPr>
          <w:i/>
          <w:iCs/>
        </w:rPr>
        <w:t>Economics of Education Review</w:t>
      </w:r>
      <w:r>
        <w:t xml:space="preserve">, 9(2), 123–134. </w:t>
      </w:r>
      <w:hyperlink r:id="rId48" w:history="1">
        <w:r>
          <w:rPr>
            <w:rStyle w:val="Hyperlink"/>
          </w:rPr>
          <w:t>https://doi.org/10.1016/0272-7757(90)90040-C</w:t>
        </w:r>
      </w:hyperlink>
    </w:p>
    <w:p w14:paraId="6F00001D" w14:textId="6F00001D" w:rsidR="00CE3B2D" w:rsidRDefault="00CE3B2D" w:rsidP="00183949">
      <w:pPr>
        <w:pStyle w:val="NormalWeb"/>
        <w:spacing w:before="0" w:beforeAutospacing="0" w:after="0" w:afterAutospacing="0" w:line="360" w:lineRule="auto"/>
        <w:ind w:left="720" w:hanging="720"/>
      </w:pPr>
      <w:r>
        <w:t xml:space="preserve">Solís, A. (2017). Credit access and college enrollment. </w:t>
      </w:r>
      <w:r>
        <w:rPr>
          <w:i/>
          <w:iCs/>
        </w:rPr>
        <w:t>Journal of Political Economy</w:t>
      </w:r>
      <w:r>
        <w:t xml:space="preserve">, 125(2), 562–622. </w:t>
      </w:r>
      <w:hyperlink r:id="rId49" w:history="1">
        <w:r>
          <w:rPr>
            <w:rStyle w:val="Hyperlink"/>
          </w:rPr>
          <w:t>https://doi.org/10.1086/690829</w:t>
        </w:r>
      </w:hyperlink>
    </w:p>
    <w:p w14:paraId="6F00001E" w14:textId="6F00001E" w:rsidR="00CE3B2D" w:rsidRDefault="00CE3B2D" w:rsidP="00183949">
      <w:pPr>
        <w:pStyle w:val="NormalWeb"/>
        <w:spacing w:before="0" w:beforeAutospacing="0" w:after="0" w:afterAutospacing="0" w:line="360" w:lineRule="auto"/>
        <w:ind w:left="720" w:hanging="720"/>
      </w:pPr>
      <w:r>
        <w:t xml:space="preserve">UCAS. (2022). </w:t>
      </w:r>
      <w:r>
        <w:rPr>
          <w:i/>
          <w:iCs/>
        </w:rPr>
        <w:t>UCAS undergraduate sector-level end of cycle data resources 2021</w:t>
      </w:r>
      <w:r>
        <w:t xml:space="preserve"> [Data set]. </w:t>
      </w:r>
      <w:hyperlink r:id="rId50" w:tgtFrame="_new" w:history="1">
        <w:r>
          <w:rPr>
            <w:rStyle w:val="Hyperlink"/>
          </w:rPr>
          <w:t>https://www.ucas.com/data-and-analysis/undergraduate-statistics-and-reports/ucas-undergraduate-sector-level-end-of-cycle-data-resources-2021</w:t>
        </w:r>
      </w:hyperlink>
    </w:p>
    <w:p w14:paraId="6F00001F" w14:textId="6F00001F" w:rsidR="00CE3B2D" w:rsidRDefault="00CE3B2D" w:rsidP="00183949">
      <w:pPr>
        <w:pStyle w:val="NormalWeb"/>
        <w:spacing w:before="0" w:beforeAutospacing="0" w:after="0" w:afterAutospacing="0" w:line="360" w:lineRule="auto"/>
        <w:ind w:left="720" w:hanging="720"/>
      </w:pPr>
      <w:r>
        <w:t xml:space="preserve">UK Government. (n.d.-a). </w:t>
      </w:r>
      <w:r>
        <w:rPr>
          <w:i/>
          <w:iCs/>
        </w:rPr>
        <w:t>Repaying your student loan: What you pay.</w:t>
      </w:r>
      <w:r>
        <w:t xml:space="preserve"> GOV.UK. </w:t>
      </w:r>
      <w:hyperlink r:id="rId51" w:tgtFrame="_new" w:history="1">
        <w:r>
          <w:rPr>
            <w:rStyle w:val="Hyperlink"/>
          </w:rPr>
          <w:t>https://www.gov.uk/repaying-your-student-loan/what-you-pay</w:t>
        </w:r>
      </w:hyperlink>
    </w:p>
    <w:p w14:paraId="6F000020" w14:textId="6F000020" w:rsidR="00CE3B2D" w:rsidRDefault="00CE3B2D" w:rsidP="00183949">
      <w:pPr>
        <w:pStyle w:val="NormalWeb"/>
        <w:spacing w:before="0" w:beforeAutospacing="0" w:after="0" w:afterAutospacing="0" w:line="360" w:lineRule="auto"/>
        <w:ind w:left="720" w:hanging="720"/>
      </w:pPr>
      <w:r>
        <w:lastRenderedPageBreak/>
        <w:t xml:space="preserve">UK Government. (n.d.-b). </w:t>
      </w:r>
      <w:r>
        <w:rPr>
          <w:i/>
          <w:iCs/>
        </w:rPr>
        <w:t>When your student loan gets written off or cancelled.</w:t>
      </w:r>
      <w:r>
        <w:t xml:space="preserve"> GOV.UK. </w:t>
      </w:r>
      <w:hyperlink r:id="rId52" w:history="1">
        <w:r>
          <w:rPr>
            <w:rStyle w:val="Hyperlink"/>
          </w:rPr>
          <w:t>https://www.gov.uk/repaying-your-student-loan/when-your-student-loan-gets-written-off</w:t>
        </w:r>
      </w:hyperlink>
    </w:p>
    <w:p w14:paraId="6F000021" w14:textId="6F000021" w:rsidR="00CE3B2D" w:rsidRDefault="00CE3B2D" w:rsidP="00183949">
      <w:pPr>
        <w:pStyle w:val="NormalWeb"/>
        <w:spacing w:before="0" w:beforeAutospacing="0" w:after="0" w:afterAutospacing="0" w:line="360" w:lineRule="auto"/>
        <w:ind w:left="720" w:hanging="720"/>
      </w:pPr>
      <w:r>
        <w:t xml:space="preserve">UK Government. (n.d.-c). </w:t>
      </w:r>
      <w:r>
        <w:rPr>
          <w:i/>
          <w:iCs/>
        </w:rPr>
        <w:t>How interest is calculated (Plan 2).</w:t>
      </w:r>
      <w:r>
        <w:t xml:space="preserve"> GOV.UK. </w:t>
      </w:r>
      <w:hyperlink r:id="rId53" w:tgtFrame="_new" w:history="1">
        <w:r>
          <w:rPr>
            <w:rStyle w:val="Hyperlink"/>
          </w:rPr>
          <w:t>https://www.gov.uk/guidance/how-interest-is-calculated-plan-2</w:t>
        </w:r>
      </w:hyperlink>
    </w:p>
    <w:p w14:paraId="6F000022" w14:textId="2D0AA786" w:rsidR="00CE3B2D" w:rsidRDefault="00CE3B2D" w:rsidP="00183949">
      <w:pPr>
        <w:pStyle w:val="NormalWeb"/>
        <w:spacing w:before="0" w:beforeAutospacing="0" w:after="0" w:afterAutospacing="0" w:line="360" w:lineRule="auto"/>
        <w:ind w:left="720" w:hanging="720"/>
        <w:rPr>
          <w:rStyle w:val="Hyperlink"/>
        </w:rPr>
      </w:pPr>
      <w:r>
        <w:t xml:space="preserve">World Bank. (2025). </w:t>
      </w:r>
      <w:r>
        <w:rPr>
          <w:i/>
          <w:iCs/>
        </w:rPr>
        <w:t>World Development Indicators</w:t>
      </w:r>
      <w:r>
        <w:t xml:space="preserve"> [Data set]. </w:t>
      </w:r>
      <w:hyperlink r:id="rId54" w:history="1">
        <w:r>
          <w:rPr>
            <w:rStyle w:val="Hyperlink"/>
          </w:rPr>
          <w:t>https://databank.worldbank.org/source/world-development-indicators</w:t>
        </w:r>
      </w:hyperlink>
    </w:p>
    <w:p w14:paraId="0CC99B52" w14:textId="3044569E" w:rsidR="00530737" w:rsidRDefault="00530737" w:rsidP="00183949">
      <w:pPr>
        <w:pStyle w:val="NormalWeb"/>
        <w:spacing w:before="0" w:beforeAutospacing="0" w:after="0" w:afterAutospacing="0" w:line="360" w:lineRule="auto"/>
        <w:ind w:left="720" w:hanging="720"/>
      </w:pPr>
      <w:r w:rsidRPr="00530737">
        <w:t xml:space="preserve">Conlon, G., </w:t>
      </w:r>
      <w:proofErr w:type="spellStart"/>
      <w:r w:rsidRPr="00530737">
        <w:t>Lader</w:t>
      </w:r>
      <w:proofErr w:type="spellEnd"/>
      <w:r w:rsidRPr="00530737">
        <w:t xml:space="preserve">, R., </w:t>
      </w:r>
      <w:proofErr w:type="spellStart"/>
      <w:r w:rsidRPr="00530737">
        <w:t>Halterbeck</w:t>
      </w:r>
      <w:proofErr w:type="spellEnd"/>
      <w:r w:rsidRPr="00530737">
        <w:t xml:space="preserve">, M., &amp; Hedges, S. (2021). EU exit: Estimating the impact on UK higher education (Research Report No. DFE-RR1093). Department for Education. </w:t>
      </w:r>
      <w:hyperlink r:id="rId55" w:history="1">
        <w:r w:rsidRPr="008A1C7C">
          <w:rPr>
            <w:rStyle w:val="Hyperlink"/>
          </w:rPr>
          <w:t>https://assets.publishing.service.gov.uk/government/uploads/system/uploads/attachment_data/file/958998/EU_exit_estimating_the_impact_on_UK_higher_education.pdf</w:t>
        </w:r>
      </w:hyperlink>
      <w:r>
        <w:t xml:space="preserve"> </w:t>
      </w:r>
    </w:p>
    <w:p w14:paraId="64122348" w14:textId="0E58740F" w:rsidR="00BE513A" w:rsidRDefault="00BE513A" w:rsidP="00183949">
      <w:pPr>
        <w:spacing w:line="360" w:lineRule="auto"/>
        <w:ind w:left="709" w:hanging="709"/>
        <w:rPr>
          <w:rFonts w:ascii="Times New Roman" w:eastAsia="Times New Roman" w:hAnsi="Times New Roman" w:cs="Times New Roman"/>
        </w:rPr>
      </w:pPr>
      <w:r>
        <w:rPr>
          <w:rFonts w:ascii="Times New Roman" w:eastAsia="Times New Roman" w:hAnsi="Times New Roman" w:cs="Times New Roman"/>
        </w:rPr>
        <w:t>European Central Bank. (2021, July 8). ECB’s Governing Council approves its new monetary policy</w:t>
      </w:r>
      <w:r w:rsidR="00A452B8">
        <w:rPr>
          <w:rFonts w:ascii="Times New Roman" w:eastAsia="Times New Roman" w:hAnsi="Times New Roman" w:cs="Times New Roman"/>
        </w:rPr>
        <w:t xml:space="preserve"> </w:t>
      </w:r>
      <w:r>
        <w:rPr>
          <w:rFonts w:ascii="Times New Roman" w:eastAsia="Times New Roman" w:hAnsi="Times New Roman" w:cs="Times New Roman"/>
        </w:rPr>
        <w:t>strategy. </w:t>
      </w:r>
      <w:hyperlink r:id="rId56" w:tgtFrame="_new" w:history="1">
        <w:r>
          <w:rPr>
            <w:rStyle w:val="Hyperlink"/>
            <w:rFonts w:ascii="Times New Roman" w:eastAsia="Times New Roman" w:hAnsi="Times New Roman" w:cs="Times New Roman"/>
          </w:rPr>
          <w:t>https://www.ecb.europa.eu/press/pr/date/2021/html/ecb.pr210708~dc78cc4b0d.en.html</w:t>
        </w:r>
      </w:hyperlink>
    </w:p>
    <w:p w14:paraId="48BBB4C1" w14:textId="507FE017" w:rsidR="00BE513A" w:rsidRDefault="00A452B8" w:rsidP="00183949">
      <w:pPr>
        <w:spacing w:before="100" w:beforeAutospacing="1" w:after="100" w:afterAutospacing="1" w:line="360" w:lineRule="auto"/>
        <w:ind w:left="709" w:hanging="709"/>
        <w:rPr>
          <w:rFonts w:ascii="Times New Roman" w:eastAsia="Times New Roman" w:hAnsi="Times New Roman" w:cs="Times New Roman"/>
        </w:rPr>
      </w:pPr>
      <w:proofErr w:type="spellStart"/>
      <w:r w:rsidRPr="00A452B8">
        <w:rPr>
          <w:rFonts w:ascii="Times New Roman" w:eastAsia="Times New Roman" w:hAnsi="Times New Roman" w:cs="Times New Roman"/>
        </w:rPr>
        <w:t>McQuone</w:t>
      </w:r>
      <w:proofErr w:type="spellEnd"/>
      <w:r w:rsidRPr="00A452B8">
        <w:rPr>
          <w:rFonts w:ascii="Times New Roman" w:eastAsia="Times New Roman" w:hAnsi="Times New Roman" w:cs="Times New Roman"/>
        </w:rPr>
        <w:t xml:space="preserve">, R., &amp; Simons, J. (2025). Counting the cost: Modelling the economic impact of a potential levy on international student fees. Public First. </w:t>
      </w:r>
      <w:hyperlink r:id="rId57" w:history="1">
        <w:r w:rsidRPr="00A452B8">
          <w:rPr>
            <w:rStyle w:val="Hyperlink"/>
          </w:rPr>
          <w:t>https://www.publicfirst.co.uk/couting-the-cost</w:t>
        </w:r>
      </w:hyperlink>
      <w:r>
        <w:rPr>
          <w:rFonts w:ascii="Times New Roman" w:eastAsia="Times New Roman" w:hAnsi="Times New Roman" w:cs="Times New Roman"/>
        </w:rPr>
        <w:t xml:space="preserve"> </w:t>
      </w:r>
    </w:p>
    <w:p w14:paraId="0E8CAD26" w14:textId="455AB79A" w:rsidR="00AA0A67" w:rsidRPr="00AA0A67" w:rsidRDefault="00AA0A67" w:rsidP="00183949">
      <w:pPr>
        <w:shd w:val="clear" w:color="auto" w:fill="FFFFFF"/>
        <w:spacing w:line="360" w:lineRule="auto"/>
        <w:ind w:left="709" w:hanging="709"/>
        <w:rPr>
          <w:rFonts w:ascii="Times New Roman" w:eastAsia="Times New Roman" w:hAnsi="Times New Roman" w:cs="Times New Roman"/>
        </w:rPr>
      </w:pPr>
      <w:r w:rsidRPr="00AA0A67">
        <w:rPr>
          <w:rFonts w:ascii="Times New Roman" w:eastAsia="Times New Roman" w:hAnsi="Times New Roman" w:cs="Times New Roman"/>
        </w:rPr>
        <w:t xml:space="preserve">Sá, F. (2014). The effect of tuition fees on university applications and attendance: Evidence from the UK. SSRN. </w:t>
      </w:r>
      <w:hyperlink r:id="rId58" w:history="1">
        <w:r w:rsidRPr="00F30931">
          <w:rPr>
            <w:rStyle w:val="Hyperlink"/>
            <w:rFonts w:ascii="Times New Roman" w:eastAsia="Times New Roman" w:hAnsi="Times New Roman" w:cs="Times New Roman"/>
          </w:rPr>
          <w:t>https://doi.org/10.2139/ssrn.2481553</w:t>
        </w:r>
      </w:hyperlink>
      <w:r>
        <w:rPr>
          <w:rFonts w:ascii="Times New Roman" w:eastAsia="Times New Roman" w:hAnsi="Times New Roman" w:cs="Times New Roman"/>
        </w:rPr>
        <w:t xml:space="preserve"> </w:t>
      </w:r>
    </w:p>
    <w:p w14:paraId="07EE1673" w14:textId="6E629318" w:rsidR="00AA0A67" w:rsidRPr="00AA0A67" w:rsidRDefault="00AA0A67" w:rsidP="00183949">
      <w:pPr>
        <w:shd w:val="clear" w:color="auto" w:fill="FFFFFF"/>
        <w:spacing w:line="360" w:lineRule="auto"/>
        <w:ind w:left="709" w:hanging="709"/>
        <w:rPr>
          <w:rFonts w:ascii="Times New Roman" w:eastAsia="Times New Roman" w:hAnsi="Times New Roman" w:cs="Times New Roman"/>
        </w:rPr>
      </w:pPr>
      <w:r w:rsidRPr="00AA0A67">
        <w:rPr>
          <w:rFonts w:ascii="Times New Roman" w:eastAsia="Times New Roman" w:hAnsi="Times New Roman" w:cs="Times New Roman"/>
        </w:rPr>
        <w:t xml:space="preserve">Sá, F. (2017). The effect of university fees on applications, attendance and course choice: Evidence from a natural experiment in the UK [Accepted manuscript]. King’s College London. </w:t>
      </w:r>
      <w:hyperlink r:id="rId59" w:history="1">
        <w:r w:rsidRPr="00F30931">
          <w:rPr>
            <w:rStyle w:val="Hyperlink"/>
            <w:rFonts w:ascii="Times New Roman" w:eastAsia="Times New Roman" w:hAnsi="Times New Roman" w:cs="Times New Roman"/>
          </w:rPr>
          <w:t>https://kclpure.kcl.ac.uk/ws/files/97277490/The_E_ect_of_University_Fees_SA_Accepted13July2017_GREEN_AAM.pdf</w:t>
        </w:r>
      </w:hyperlink>
      <w:r>
        <w:rPr>
          <w:rFonts w:ascii="Times New Roman" w:eastAsia="Times New Roman" w:hAnsi="Times New Roman" w:cs="Times New Roman"/>
        </w:rPr>
        <w:t xml:space="preserve"> </w:t>
      </w:r>
    </w:p>
    <w:p w14:paraId="53E001C8" w14:textId="55093673" w:rsidR="00AA0A67" w:rsidRPr="00AA0A67" w:rsidRDefault="00AA0A67" w:rsidP="00183949">
      <w:pPr>
        <w:shd w:val="clear" w:color="auto" w:fill="FFFFFF"/>
        <w:spacing w:line="360" w:lineRule="auto"/>
        <w:ind w:left="709" w:hanging="709"/>
        <w:rPr>
          <w:rFonts w:ascii="Times New Roman" w:eastAsia="Times New Roman" w:hAnsi="Times New Roman" w:cs="Times New Roman"/>
        </w:rPr>
      </w:pPr>
      <w:r w:rsidRPr="00AA0A67">
        <w:rPr>
          <w:rFonts w:ascii="Times New Roman" w:eastAsia="Times New Roman" w:hAnsi="Times New Roman" w:cs="Times New Roman"/>
        </w:rPr>
        <w:t xml:space="preserve">Sá, F. (2019). The effect of university fees on applications, attendance and course choice: Evidence from a natural experiment in the UK. </w:t>
      </w:r>
      <w:proofErr w:type="spellStart"/>
      <w:r w:rsidRPr="00AA0A67">
        <w:rPr>
          <w:rFonts w:ascii="Times New Roman" w:eastAsia="Times New Roman" w:hAnsi="Times New Roman" w:cs="Times New Roman"/>
        </w:rPr>
        <w:t>Economica</w:t>
      </w:r>
      <w:proofErr w:type="spellEnd"/>
      <w:r w:rsidRPr="00AA0A67">
        <w:rPr>
          <w:rFonts w:ascii="Times New Roman" w:eastAsia="Times New Roman" w:hAnsi="Times New Roman" w:cs="Times New Roman"/>
        </w:rPr>
        <w:t xml:space="preserve">, 86(343), 607–634. </w:t>
      </w:r>
      <w:hyperlink r:id="rId60" w:history="1">
        <w:r w:rsidRPr="00F30931">
          <w:rPr>
            <w:rStyle w:val="Hyperlink"/>
            <w:rFonts w:ascii="Times New Roman" w:eastAsia="Times New Roman" w:hAnsi="Times New Roman" w:cs="Times New Roman"/>
          </w:rPr>
          <w:t>https://doi.org/10.1111/ecca.12278</w:t>
        </w:r>
      </w:hyperlink>
      <w:r>
        <w:rPr>
          <w:rFonts w:ascii="Times New Roman" w:eastAsia="Times New Roman" w:hAnsi="Times New Roman" w:cs="Times New Roman"/>
        </w:rPr>
        <w:t xml:space="preserve"> </w:t>
      </w:r>
    </w:p>
    <w:p w14:paraId="54C4B64D" w14:textId="6E57487A" w:rsidR="00AA0A67" w:rsidRPr="00A452B8" w:rsidRDefault="00183949" w:rsidP="00183949">
      <w:pPr>
        <w:spacing w:before="100" w:beforeAutospacing="1" w:after="100" w:afterAutospacing="1" w:line="360" w:lineRule="auto"/>
        <w:ind w:left="709" w:hanging="709"/>
        <w:rPr>
          <w:rFonts w:ascii="Times New Roman" w:eastAsia="Times New Roman" w:hAnsi="Times New Roman" w:cs="Times New Roman"/>
        </w:rPr>
      </w:pPr>
      <w:r w:rsidRPr="00183949">
        <w:rPr>
          <w:rFonts w:ascii="Times New Roman" w:eastAsia="Times New Roman" w:hAnsi="Times New Roman" w:cs="Times New Roman"/>
        </w:rPr>
        <w:t xml:space="preserve">Home Office. (2021, July 1). Graduate route for best and brightest launches. GOV.UK. </w:t>
      </w:r>
      <w:hyperlink r:id="rId61" w:history="1">
        <w:r w:rsidRPr="00F30931">
          <w:rPr>
            <w:rStyle w:val="Hyperlink"/>
            <w:rFonts w:ascii="Times New Roman" w:eastAsia="Times New Roman" w:hAnsi="Times New Roman" w:cs="Times New Roman"/>
          </w:rPr>
          <w:t>https://www.gov.uk/government/news/graduate-route-for-best-and-brightest-launches</w:t>
        </w:r>
      </w:hyperlink>
      <w:r>
        <w:rPr>
          <w:rFonts w:ascii="Times New Roman" w:eastAsia="Times New Roman" w:hAnsi="Times New Roman" w:cs="Times New Roman"/>
        </w:rPr>
        <w:t xml:space="preserve"> </w:t>
      </w:r>
    </w:p>
    <w:sectPr w:rsidR="00AA0A67" w:rsidRPr="00A452B8">
      <w:headerReference w:type="default" r:id="rId62"/>
      <w:footerReference w:type="default" r:id="rId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98A37C" w14:textId="77777777" w:rsidR="00B476B7" w:rsidRDefault="00B476B7" w:rsidP="00901E6A">
      <w:r>
        <w:separator/>
      </w:r>
    </w:p>
  </w:endnote>
  <w:endnote w:type="continuationSeparator" w:id="0">
    <w:p w14:paraId="59763A25" w14:textId="77777777" w:rsidR="00B476B7" w:rsidRDefault="00B476B7" w:rsidP="00901E6A">
      <w:r>
        <w:continuationSeparator/>
      </w:r>
    </w:p>
  </w:endnote>
  <w:endnote w:type="continuationNotice" w:id="1">
    <w:p w14:paraId="7CE4C339" w14:textId="77777777" w:rsidR="00B476B7" w:rsidRDefault="00B476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0FE37" w14:textId="77777777" w:rsidR="00ED3FB9" w:rsidRDefault="00ED3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E4A4A8" w14:textId="77777777" w:rsidR="00B476B7" w:rsidRDefault="00B476B7" w:rsidP="00901E6A">
      <w:r>
        <w:separator/>
      </w:r>
    </w:p>
  </w:footnote>
  <w:footnote w:type="continuationSeparator" w:id="0">
    <w:p w14:paraId="504513AC" w14:textId="77777777" w:rsidR="00B476B7" w:rsidRDefault="00B476B7" w:rsidP="00901E6A">
      <w:r>
        <w:continuationSeparator/>
      </w:r>
    </w:p>
  </w:footnote>
  <w:footnote w:type="continuationNotice" w:id="1">
    <w:p w14:paraId="647AEB6D" w14:textId="77777777" w:rsidR="00B476B7" w:rsidRDefault="00B476B7"/>
  </w:footnote>
  <w:footnote w:id="2">
    <w:p w14:paraId="0E1C75F1" w14:textId="13D418DA" w:rsidR="00ED3FB9" w:rsidRDefault="00ED3FB9">
      <w:pPr>
        <w:pStyle w:val="FootnoteText"/>
      </w:pPr>
      <w:r>
        <w:rPr>
          <w:rStyle w:val="FootnoteReference"/>
        </w:rPr>
        <w:footnoteRef/>
      </w:r>
      <w:r>
        <w:t xml:space="preserve"> </w:t>
      </w:r>
      <w:hyperlink r:id="rId1" w:history="1">
        <w:r>
          <w:rPr>
            <w:rStyle w:val="Hyperlink"/>
            <w:rFonts w:ascii="Times New Roman" w:eastAsia="Times New Roman" w:hAnsi="Times New Roman" w:cs="Times New Roman"/>
            <w:kern w:val="0"/>
            <w:lang w:eastAsia="en-GB"/>
            <w14:ligatures w14:val="none"/>
          </w:rPr>
          <w:t>https://www.exchangerates.org.uk/EUR-GBP-spot-exchange-rates-history-2024.html</w:t>
        </w:r>
      </w:hyperlink>
    </w:p>
  </w:footnote>
  <w:footnote w:id="3">
    <w:p w14:paraId="058D40C1" w14:textId="77777777" w:rsidR="00ED3FB9" w:rsidRPr="00C64D22" w:rsidRDefault="00ED3FB9" w:rsidP="00CB19A3">
      <w:pPr>
        <w:pStyle w:val="FootnoteText"/>
        <w:rPr>
          <w:rFonts w:eastAsiaTheme="minorEastAsia"/>
        </w:rPr>
      </w:pPr>
      <w:r>
        <w:rPr>
          <w:rStyle w:val="FootnoteReference"/>
        </w:rPr>
        <w:footnoteRef/>
      </w:r>
      <w:r>
        <w:t xml:space="preserve"> From </w:t>
      </w:r>
      <m:oMath>
        <m:f>
          <m:fPr>
            <m:ctrlPr>
              <w:rPr>
                <w:rFonts w:ascii="Cambria Math" w:hAnsi="Cambria Math"/>
                <w:i/>
              </w:rPr>
            </m:ctrlPr>
          </m:fPr>
          <m:num>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Q</m:t>
                </m:r>
              </m:e>
            </m:func>
          </m:num>
          <m:den>
            <m:r>
              <m:rPr>
                <m:sty m:val="p"/>
              </m:rPr>
              <w:rPr>
                <w:rFonts w:ascii="Cambria Math" w:hAnsi="Cambria Math"/>
              </w:rPr>
              <m:t>Δ</m:t>
            </m:r>
            <m:func>
              <m:funcPr>
                <m:ctrlPr>
                  <w:rPr>
                    <w:rFonts w:ascii="Cambria Math" w:hAnsi="Cambria Math"/>
                    <w:i/>
                  </w:rPr>
                </m:ctrlPr>
              </m:funcPr>
              <m:fName>
                <m:r>
                  <m:rPr>
                    <m:sty m:val="p"/>
                  </m:rPr>
                  <w:rPr>
                    <w:rFonts w:ascii="Cambria Math" w:hAnsi="Cambria Math"/>
                  </w:rPr>
                  <m:t>ln</m:t>
                </m:r>
              </m:fName>
              <m:e>
                <m:r>
                  <w:rPr>
                    <w:rFonts w:ascii="Cambria Math" w:hAnsi="Cambria Math"/>
                  </w:rPr>
                  <m:t>P</m:t>
                </m:r>
              </m:e>
            </m:func>
          </m:den>
        </m:f>
        <m:r>
          <w:rPr>
            <w:rFonts w:ascii="Cambria Math" w:hAnsi="Cambria Math"/>
          </w:rPr>
          <m:t>=β</m:t>
        </m:r>
      </m:oMath>
      <w:r>
        <w:rPr>
          <w:rFonts w:eastAsiaTheme="minorEastAsia"/>
        </w:rPr>
        <w:t xml:space="preserve"> we have that </w:t>
      </w:r>
      <m:oMath>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e>
        </m:func>
        <m:r>
          <w:rPr>
            <w:rFonts w:ascii="Cambria Math" w:eastAsiaTheme="minorEastAsia" w:hAnsi="Cambria Math"/>
          </w:rPr>
          <m:t>=-1.109</m:t>
        </m:r>
      </m:oMath>
      <w:r>
        <w:rPr>
          <w:rFonts w:eastAsiaTheme="minorEastAsia"/>
        </w:rPr>
        <w:t xml:space="preserve">, hence </w:t>
      </w:r>
      <m:oMath>
        <m:r>
          <m:rPr>
            <m:sty m:val="p"/>
          </m:rPr>
          <w:rPr>
            <w:rFonts w:ascii="Cambria Math" w:eastAsiaTheme="minorEastAsia" w:hAnsi="Cambria Math"/>
          </w:rPr>
          <m:t>Δ</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1.109</m:t>
            </m:r>
          </m:num>
          <m:den>
            <m:r>
              <w:rPr>
                <w:rFonts w:ascii="Cambria Math" w:eastAsiaTheme="minorEastAsia" w:hAnsi="Cambria Math"/>
              </w:rPr>
              <m:t>0.354</m:t>
            </m:r>
          </m:den>
        </m:f>
        <m:r>
          <w:rPr>
            <w:rFonts w:ascii="Cambria Math" w:eastAsiaTheme="minorEastAsia" w:hAnsi="Cambria Math"/>
          </w:rPr>
          <m:t>=3.13</m:t>
        </m:r>
      </m:oMath>
      <w:r>
        <w:rPr>
          <w:rFonts w:eastAsiaTheme="minorEastAsia"/>
        </w:rPr>
        <w:t xml:space="preserve">, therefore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3.13</m:t>
            </m:r>
          </m:sup>
        </m:sSup>
        <m:r>
          <w:rPr>
            <w:rFonts w:ascii="Cambria Math" w:eastAsiaTheme="minorEastAsia" w:hAnsi="Cambria Math"/>
          </w:rPr>
          <m:t>=22.94</m:t>
        </m:r>
      </m:oMath>
      <w:r>
        <w:rPr>
          <w:rFonts w:eastAsiaTheme="minorEastAsia"/>
        </w:rPr>
        <w:t xml:space="preserve"> and subtracting 1 gives 2194%.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FE631" w14:textId="77777777" w:rsidR="00ED3FB9" w:rsidRDefault="00ED3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23D1E"/>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3135812"/>
    <w:multiLevelType w:val="multilevel"/>
    <w:tmpl w:val="C62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6B25CA"/>
    <w:multiLevelType w:val="hybridMultilevel"/>
    <w:tmpl w:val="043A9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4E34AD"/>
    <w:multiLevelType w:val="hybridMultilevel"/>
    <w:tmpl w:val="139A4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301984"/>
    <w:multiLevelType w:val="hybridMultilevel"/>
    <w:tmpl w:val="3A4CF4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236AE"/>
    <w:multiLevelType w:val="hybridMultilevel"/>
    <w:tmpl w:val="CA1287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2B40F67"/>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92B2214"/>
    <w:multiLevelType w:val="hybridMultilevel"/>
    <w:tmpl w:val="076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51750F"/>
    <w:multiLevelType w:val="hybridMultilevel"/>
    <w:tmpl w:val="6E16E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C81DE7"/>
    <w:multiLevelType w:val="hybridMultilevel"/>
    <w:tmpl w:val="9AB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C821825"/>
    <w:multiLevelType w:val="hybridMultilevel"/>
    <w:tmpl w:val="D2128C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B1E45"/>
    <w:multiLevelType w:val="hybridMultilevel"/>
    <w:tmpl w:val="E03AB31C"/>
    <w:lvl w:ilvl="0" w:tplc="0409000F">
      <w:start w:val="1"/>
      <w:numFmt w:val="decimal"/>
      <w:lvlText w:val="%1."/>
      <w:lvlJc w:val="left"/>
      <w:pPr>
        <w:ind w:left="6840" w:hanging="360"/>
      </w:p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43" w15:restartNumberingAfterBreak="0">
    <w:nsid w:val="77501574"/>
    <w:multiLevelType w:val="hybridMultilevel"/>
    <w:tmpl w:val="EE0CF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36"/>
  </w:num>
  <w:num w:numId="4">
    <w:abstractNumId w:val="19"/>
  </w:num>
  <w:num w:numId="5">
    <w:abstractNumId w:val="25"/>
  </w:num>
  <w:num w:numId="6">
    <w:abstractNumId w:val="32"/>
  </w:num>
  <w:num w:numId="7">
    <w:abstractNumId w:val="4"/>
  </w:num>
  <w:num w:numId="8">
    <w:abstractNumId w:val="26"/>
  </w:num>
  <w:num w:numId="9">
    <w:abstractNumId w:val="48"/>
  </w:num>
  <w:num w:numId="10">
    <w:abstractNumId w:val="30"/>
  </w:num>
  <w:num w:numId="11">
    <w:abstractNumId w:val="44"/>
  </w:num>
  <w:num w:numId="12">
    <w:abstractNumId w:val="2"/>
  </w:num>
  <w:num w:numId="13">
    <w:abstractNumId w:val="41"/>
  </w:num>
  <w:num w:numId="14">
    <w:abstractNumId w:val="9"/>
  </w:num>
  <w:num w:numId="15">
    <w:abstractNumId w:val="22"/>
  </w:num>
  <w:num w:numId="16">
    <w:abstractNumId w:val="39"/>
  </w:num>
  <w:num w:numId="17">
    <w:abstractNumId w:val="13"/>
  </w:num>
  <w:num w:numId="18">
    <w:abstractNumId w:val="8"/>
  </w:num>
  <w:num w:numId="19">
    <w:abstractNumId w:val="38"/>
  </w:num>
  <w:num w:numId="20">
    <w:abstractNumId w:val="46"/>
  </w:num>
  <w:num w:numId="21">
    <w:abstractNumId w:val="16"/>
  </w:num>
  <w:num w:numId="22">
    <w:abstractNumId w:val="23"/>
  </w:num>
  <w:num w:numId="23">
    <w:abstractNumId w:val="3"/>
  </w:num>
  <w:num w:numId="24">
    <w:abstractNumId w:val="24"/>
  </w:num>
  <w:num w:numId="25">
    <w:abstractNumId w:val="35"/>
  </w:num>
  <w:num w:numId="26">
    <w:abstractNumId w:val="10"/>
  </w:num>
  <w:num w:numId="27">
    <w:abstractNumId w:val="45"/>
  </w:num>
  <w:num w:numId="28">
    <w:abstractNumId w:val="29"/>
  </w:num>
  <w:num w:numId="29">
    <w:abstractNumId w:val="27"/>
  </w:num>
  <w:num w:numId="30">
    <w:abstractNumId w:val="17"/>
  </w:num>
  <w:num w:numId="31">
    <w:abstractNumId w:val="5"/>
  </w:num>
  <w:num w:numId="32">
    <w:abstractNumId w:val="18"/>
  </w:num>
  <w:num w:numId="33">
    <w:abstractNumId w:val="14"/>
  </w:num>
  <w:num w:numId="34">
    <w:abstractNumId w:val="1"/>
  </w:num>
  <w:num w:numId="35">
    <w:abstractNumId w:val="12"/>
  </w:num>
  <w:num w:numId="36">
    <w:abstractNumId w:val="47"/>
  </w:num>
  <w:num w:numId="37">
    <w:abstractNumId w:val="37"/>
  </w:num>
  <w:num w:numId="38">
    <w:abstractNumId w:val="7"/>
  </w:num>
  <w:num w:numId="39">
    <w:abstractNumId w:val="33"/>
  </w:num>
  <w:num w:numId="40">
    <w:abstractNumId w:val="20"/>
  </w:num>
  <w:num w:numId="41">
    <w:abstractNumId w:val="28"/>
  </w:num>
  <w:num w:numId="42">
    <w:abstractNumId w:val="43"/>
  </w:num>
  <w:num w:numId="43">
    <w:abstractNumId w:val="6"/>
  </w:num>
  <w:num w:numId="44">
    <w:abstractNumId w:val="40"/>
  </w:num>
  <w:num w:numId="45">
    <w:abstractNumId w:val="34"/>
  </w:num>
  <w:num w:numId="46">
    <w:abstractNumId w:val="11"/>
  </w:num>
  <w:num w:numId="47">
    <w:abstractNumId w:val="31"/>
  </w:num>
  <w:num w:numId="48">
    <w:abstractNumId w:val="21"/>
  </w:num>
  <w:num w:numId="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09C7"/>
    <w:rsid w:val="000012D4"/>
    <w:rsid w:val="00006614"/>
    <w:rsid w:val="00016E4C"/>
    <w:rsid w:val="000201B4"/>
    <w:rsid w:val="00021937"/>
    <w:rsid w:val="0002406C"/>
    <w:rsid w:val="00031C32"/>
    <w:rsid w:val="00036CFB"/>
    <w:rsid w:val="0004741A"/>
    <w:rsid w:val="00047998"/>
    <w:rsid w:val="000567CE"/>
    <w:rsid w:val="00056C78"/>
    <w:rsid w:val="00057DCF"/>
    <w:rsid w:val="000702F1"/>
    <w:rsid w:val="00073DB7"/>
    <w:rsid w:val="00077AF7"/>
    <w:rsid w:val="00077B04"/>
    <w:rsid w:val="000805C8"/>
    <w:rsid w:val="0008452D"/>
    <w:rsid w:val="000847C9"/>
    <w:rsid w:val="00086212"/>
    <w:rsid w:val="00090A5C"/>
    <w:rsid w:val="00091453"/>
    <w:rsid w:val="00092BBA"/>
    <w:rsid w:val="000A1EE2"/>
    <w:rsid w:val="000A614B"/>
    <w:rsid w:val="000A7CC3"/>
    <w:rsid w:val="000B0D58"/>
    <w:rsid w:val="000B24E8"/>
    <w:rsid w:val="000C6FCA"/>
    <w:rsid w:val="000D059A"/>
    <w:rsid w:val="000D68D7"/>
    <w:rsid w:val="000E20D4"/>
    <w:rsid w:val="000E58DB"/>
    <w:rsid w:val="000E66EA"/>
    <w:rsid w:val="000F04F4"/>
    <w:rsid w:val="0010074B"/>
    <w:rsid w:val="00101B7B"/>
    <w:rsid w:val="00103140"/>
    <w:rsid w:val="00103D3C"/>
    <w:rsid w:val="001057D4"/>
    <w:rsid w:val="00106200"/>
    <w:rsid w:val="00110808"/>
    <w:rsid w:val="00117857"/>
    <w:rsid w:val="001214DF"/>
    <w:rsid w:val="00122760"/>
    <w:rsid w:val="0012661F"/>
    <w:rsid w:val="00130520"/>
    <w:rsid w:val="0013139A"/>
    <w:rsid w:val="00131A9D"/>
    <w:rsid w:val="00144035"/>
    <w:rsid w:val="00160EFC"/>
    <w:rsid w:val="0016675E"/>
    <w:rsid w:val="001718E7"/>
    <w:rsid w:val="00171921"/>
    <w:rsid w:val="001742DB"/>
    <w:rsid w:val="00174AEF"/>
    <w:rsid w:val="00177FF5"/>
    <w:rsid w:val="001815AF"/>
    <w:rsid w:val="00183949"/>
    <w:rsid w:val="00187690"/>
    <w:rsid w:val="0019266D"/>
    <w:rsid w:val="001A0E2D"/>
    <w:rsid w:val="001A49C0"/>
    <w:rsid w:val="001A5A0F"/>
    <w:rsid w:val="001B0486"/>
    <w:rsid w:val="001B6DDF"/>
    <w:rsid w:val="001C2507"/>
    <w:rsid w:val="001D1E3D"/>
    <w:rsid w:val="001D24F9"/>
    <w:rsid w:val="001D2CA6"/>
    <w:rsid w:val="001D7F37"/>
    <w:rsid w:val="001E429C"/>
    <w:rsid w:val="001E585D"/>
    <w:rsid w:val="001F60B1"/>
    <w:rsid w:val="0020257B"/>
    <w:rsid w:val="002033B3"/>
    <w:rsid w:val="002068F3"/>
    <w:rsid w:val="002069AC"/>
    <w:rsid w:val="002151F7"/>
    <w:rsid w:val="002248AB"/>
    <w:rsid w:val="00227F9E"/>
    <w:rsid w:val="002351B9"/>
    <w:rsid w:val="00240916"/>
    <w:rsid w:val="00252505"/>
    <w:rsid w:val="00263202"/>
    <w:rsid w:val="00265C32"/>
    <w:rsid w:val="00266936"/>
    <w:rsid w:val="00273E54"/>
    <w:rsid w:val="002817E9"/>
    <w:rsid w:val="002867A3"/>
    <w:rsid w:val="00291961"/>
    <w:rsid w:val="00293476"/>
    <w:rsid w:val="0029358C"/>
    <w:rsid w:val="00294111"/>
    <w:rsid w:val="002A577F"/>
    <w:rsid w:val="002A5E9D"/>
    <w:rsid w:val="002B0636"/>
    <w:rsid w:val="002B514A"/>
    <w:rsid w:val="002B60CB"/>
    <w:rsid w:val="002C07BF"/>
    <w:rsid w:val="002C1BC1"/>
    <w:rsid w:val="002C2262"/>
    <w:rsid w:val="002C304A"/>
    <w:rsid w:val="002D122E"/>
    <w:rsid w:val="002D54F9"/>
    <w:rsid w:val="002D6123"/>
    <w:rsid w:val="002E12CB"/>
    <w:rsid w:val="002E4A2B"/>
    <w:rsid w:val="002E5B3C"/>
    <w:rsid w:val="002F192D"/>
    <w:rsid w:val="003001DE"/>
    <w:rsid w:val="00302113"/>
    <w:rsid w:val="0030525D"/>
    <w:rsid w:val="003077F7"/>
    <w:rsid w:val="0031237C"/>
    <w:rsid w:val="00314891"/>
    <w:rsid w:val="00315FF0"/>
    <w:rsid w:val="0031677C"/>
    <w:rsid w:val="003264FC"/>
    <w:rsid w:val="00326AFC"/>
    <w:rsid w:val="00326D36"/>
    <w:rsid w:val="003346BF"/>
    <w:rsid w:val="00336824"/>
    <w:rsid w:val="003417A8"/>
    <w:rsid w:val="003432A9"/>
    <w:rsid w:val="0034795D"/>
    <w:rsid w:val="00352B77"/>
    <w:rsid w:val="0035359A"/>
    <w:rsid w:val="00365CCC"/>
    <w:rsid w:val="00366335"/>
    <w:rsid w:val="003736C3"/>
    <w:rsid w:val="003844D6"/>
    <w:rsid w:val="003952E9"/>
    <w:rsid w:val="00395F5F"/>
    <w:rsid w:val="003A2FD5"/>
    <w:rsid w:val="003A34D7"/>
    <w:rsid w:val="003A3D3C"/>
    <w:rsid w:val="003A4FDE"/>
    <w:rsid w:val="003A53DE"/>
    <w:rsid w:val="003B6A76"/>
    <w:rsid w:val="003B7884"/>
    <w:rsid w:val="003C3212"/>
    <w:rsid w:val="003C680F"/>
    <w:rsid w:val="003D2479"/>
    <w:rsid w:val="003D3798"/>
    <w:rsid w:val="003D416B"/>
    <w:rsid w:val="003F0544"/>
    <w:rsid w:val="003F202E"/>
    <w:rsid w:val="003F4179"/>
    <w:rsid w:val="004069CC"/>
    <w:rsid w:val="00416259"/>
    <w:rsid w:val="00423E1E"/>
    <w:rsid w:val="00424016"/>
    <w:rsid w:val="00425577"/>
    <w:rsid w:val="00425CDD"/>
    <w:rsid w:val="00427A9B"/>
    <w:rsid w:val="00430B0D"/>
    <w:rsid w:val="00432291"/>
    <w:rsid w:val="00433366"/>
    <w:rsid w:val="00434C29"/>
    <w:rsid w:val="00446A28"/>
    <w:rsid w:val="004570DC"/>
    <w:rsid w:val="004573D7"/>
    <w:rsid w:val="00460946"/>
    <w:rsid w:val="00461AB8"/>
    <w:rsid w:val="00467E5D"/>
    <w:rsid w:val="004741D8"/>
    <w:rsid w:val="0047476F"/>
    <w:rsid w:val="004751F7"/>
    <w:rsid w:val="00491550"/>
    <w:rsid w:val="00491AA8"/>
    <w:rsid w:val="00493866"/>
    <w:rsid w:val="004953FF"/>
    <w:rsid w:val="00496476"/>
    <w:rsid w:val="00497E54"/>
    <w:rsid w:val="004A155D"/>
    <w:rsid w:val="004A297C"/>
    <w:rsid w:val="004B29BD"/>
    <w:rsid w:val="004B5756"/>
    <w:rsid w:val="004B69D4"/>
    <w:rsid w:val="004C3E9E"/>
    <w:rsid w:val="004D461D"/>
    <w:rsid w:val="004E2E33"/>
    <w:rsid w:val="004E4F7B"/>
    <w:rsid w:val="004E5BB7"/>
    <w:rsid w:val="004E691C"/>
    <w:rsid w:val="004E7B94"/>
    <w:rsid w:val="004F27D2"/>
    <w:rsid w:val="004F7F53"/>
    <w:rsid w:val="00507373"/>
    <w:rsid w:val="0051037B"/>
    <w:rsid w:val="0051516B"/>
    <w:rsid w:val="00515810"/>
    <w:rsid w:val="005170A7"/>
    <w:rsid w:val="00530737"/>
    <w:rsid w:val="005341D9"/>
    <w:rsid w:val="00536A5A"/>
    <w:rsid w:val="005409A0"/>
    <w:rsid w:val="00546C22"/>
    <w:rsid w:val="00550875"/>
    <w:rsid w:val="005540A2"/>
    <w:rsid w:val="005616DF"/>
    <w:rsid w:val="00562E1F"/>
    <w:rsid w:val="0056693C"/>
    <w:rsid w:val="005731B9"/>
    <w:rsid w:val="00576C73"/>
    <w:rsid w:val="00583A15"/>
    <w:rsid w:val="00584729"/>
    <w:rsid w:val="00585B1F"/>
    <w:rsid w:val="00590BD3"/>
    <w:rsid w:val="00593EFB"/>
    <w:rsid w:val="00594398"/>
    <w:rsid w:val="005A0D8E"/>
    <w:rsid w:val="005A6483"/>
    <w:rsid w:val="005B2175"/>
    <w:rsid w:val="005C1F6D"/>
    <w:rsid w:val="005C6E0B"/>
    <w:rsid w:val="005C7873"/>
    <w:rsid w:val="005D19B9"/>
    <w:rsid w:val="005D5695"/>
    <w:rsid w:val="005F061B"/>
    <w:rsid w:val="006077B5"/>
    <w:rsid w:val="00613AF8"/>
    <w:rsid w:val="00623F29"/>
    <w:rsid w:val="00624427"/>
    <w:rsid w:val="00625A59"/>
    <w:rsid w:val="00637D97"/>
    <w:rsid w:val="0065303F"/>
    <w:rsid w:val="00653B38"/>
    <w:rsid w:val="006573F7"/>
    <w:rsid w:val="006603D7"/>
    <w:rsid w:val="00663A05"/>
    <w:rsid w:val="00674596"/>
    <w:rsid w:val="00682174"/>
    <w:rsid w:val="0069081F"/>
    <w:rsid w:val="00693E35"/>
    <w:rsid w:val="00694613"/>
    <w:rsid w:val="00695856"/>
    <w:rsid w:val="006A402C"/>
    <w:rsid w:val="006A5D00"/>
    <w:rsid w:val="006A644C"/>
    <w:rsid w:val="006A7E47"/>
    <w:rsid w:val="006B0853"/>
    <w:rsid w:val="006B26AA"/>
    <w:rsid w:val="006B3408"/>
    <w:rsid w:val="006B7419"/>
    <w:rsid w:val="006C1BA5"/>
    <w:rsid w:val="006C3D88"/>
    <w:rsid w:val="006C63F3"/>
    <w:rsid w:val="006C70F6"/>
    <w:rsid w:val="006D3D5E"/>
    <w:rsid w:val="006D7D8E"/>
    <w:rsid w:val="006E4102"/>
    <w:rsid w:val="006E45F7"/>
    <w:rsid w:val="006F1E1E"/>
    <w:rsid w:val="006F702D"/>
    <w:rsid w:val="007023F4"/>
    <w:rsid w:val="00716B9C"/>
    <w:rsid w:val="007206E6"/>
    <w:rsid w:val="007216DF"/>
    <w:rsid w:val="0072253D"/>
    <w:rsid w:val="00724AFC"/>
    <w:rsid w:val="00737CEF"/>
    <w:rsid w:val="00745B9A"/>
    <w:rsid w:val="007523E8"/>
    <w:rsid w:val="00765E19"/>
    <w:rsid w:val="00772007"/>
    <w:rsid w:val="007752B1"/>
    <w:rsid w:val="00777D7B"/>
    <w:rsid w:val="00783045"/>
    <w:rsid w:val="007902FE"/>
    <w:rsid w:val="007942AD"/>
    <w:rsid w:val="00796502"/>
    <w:rsid w:val="00797B2D"/>
    <w:rsid w:val="007A2C6A"/>
    <w:rsid w:val="007A38A6"/>
    <w:rsid w:val="007A7C81"/>
    <w:rsid w:val="007B2290"/>
    <w:rsid w:val="007B74EB"/>
    <w:rsid w:val="007C1947"/>
    <w:rsid w:val="007C35FE"/>
    <w:rsid w:val="007E1E36"/>
    <w:rsid w:val="007E5A8E"/>
    <w:rsid w:val="007F1B3D"/>
    <w:rsid w:val="007F64D8"/>
    <w:rsid w:val="00801191"/>
    <w:rsid w:val="00802883"/>
    <w:rsid w:val="008076D5"/>
    <w:rsid w:val="00811488"/>
    <w:rsid w:val="00812536"/>
    <w:rsid w:val="00814345"/>
    <w:rsid w:val="008244DF"/>
    <w:rsid w:val="008277D3"/>
    <w:rsid w:val="008401D3"/>
    <w:rsid w:val="0084137F"/>
    <w:rsid w:val="00842C9B"/>
    <w:rsid w:val="00843F97"/>
    <w:rsid w:val="00851A95"/>
    <w:rsid w:val="00862E7C"/>
    <w:rsid w:val="00870352"/>
    <w:rsid w:val="00870E38"/>
    <w:rsid w:val="00871044"/>
    <w:rsid w:val="008779CA"/>
    <w:rsid w:val="00880C4B"/>
    <w:rsid w:val="008813CD"/>
    <w:rsid w:val="00890DEB"/>
    <w:rsid w:val="008A1967"/>
    <w:rsid w:val="008A6323"/>
    <w:rsid w:val="008B52D2"/>
    <w:rsid w:val="008B7949"/>
    <w:rsid w:val="008C0F8F"/>
    <w:rsid w:val="008E0760"/>
    <w:rsid w:val="008E0F91"/>
    <w:rsid w:val="008E7861"/>
    <w:rsid w:val="009013C5"/>
    <w:rsid w:val="00901E6A"/>
    <w:rsid w:val="00902BD4"/>
    <w:rsid w:val="009054D1"/>
    <w:rsid w:val="00917618"/>
    <w:rsid w:val="00917F8D"/>
    <w:rsid w:val="009212D6"/>
    <w:rsid w:val="00922257"/>
    <w:rsid w:val="00925E70"/>
    <w:rsid w:val="00930DCC"/>
    <w:rsid w:val="00930E43"/>
    <w:rsid w:val="00933BBD"/>
    <w:rsid w:val="00936209"/>
    <w:rsid w:val="00936663"/>
    <w:rsid w:val="009369FA"/>
    <w:rsid w:val="00937D3A"/>
    <w:rsid w:val="00937E26"/>
    <w:rsid w:val="00941821"/>
    <w:rsid w:val="00943E8D"/>
    <w:rsid w:val="0094673F"/>
    <w:rsid w:val="00946BA2"/>
    <w:rsid w:val="00951E15"/>
    <w:rsid w:val="0095630A"/>
    <w:rsid w:val="0095760D"/>
    <w:rsid w:val="00973577"/>
    <w:rsid w:val="009755A8"/>
    <w:rsid w:val="0098309C"/>
    <w:rsid w:val="00987344"/>
    <w:rsid w:val="00993750"/>
    <w:rsid w:val="00994E69"/>
    <w:rsid w:val="009A31DC"/>
    <w:rsid w:val="009B1D9C"/>
    <w:rsid w:val="009B4478"/>
    <w:rsid w:val="009B5DFB"/>
    <w:rsid w:val="009D174A"/>
    <w:rsid w:val="009D1C19"/>
    <w:rsid w:val="009D38D3"/>
    <w:rsid w:val="009D614D"/>
    <w:rsid w:val="009E3832"/>
    <w:rsid w:val="009E6D4E"/>
    <w:rsid w:val="009F1380"/>
    <w:rsid w:val="009F2B0D"/>
    <w:rsid w:val="009F333A"/>
    <w:rsid w:val="009F5E8C"/>
    <w:rsid w:val="00A153A9"/>
    <w:rsid w:val="00A159C3"/>
    <w:rsid w:val="00A21F97"/>
    <w:rsid w:val="00A272DC"/>
    <w:rsid w:val="00A30804"/>
    <w:rsid w:val="00A346AD"/>
    <w:rsid w:val="00A34826"/>
    <w:rsid w:val="00A362AF"/>
    <w:rsid w:val="00A419FA"/>
    <w:rsid w:val="00A42E92"/>
    <w:rsid w:val="00A43B95"/>
    <w:rsid w:val="00A43BFA"/>
    <w:rsid w:val="00A44AB1"/>
    <w:rsid w:val="00A452B8"/>
    <w:rsid w:val="00A6243B"/>
    <w:rsid w:val="00A630C4"/>
    <w:rsid w:val="00A64902"/>
    <w:rsid w:val="00A66094"/>
    <w:rsid w:val="00A82322"/>
    <w:rsid w:val="00A86732"/>
    <w:rsid w:val="00A9451A"/>
    <w:rsid w:val="00AA0538"/>
    <w:rsid w:val="00AA0A67"/>
    <w:rsid w:val="00AA6677"/>
    <w:rsid w:val="00AB4E81"/>
    <w:rsid w:val="00AC23A3"/>
    <w:rsid w:val="00AD1728"/>
    <w:rsid w:val="00AD6F72"/>
    <w:rsid w:val="00AE44BF"/>
    <w:rsid w:val="00AE6885"/>
    <w:rsid w:val="00AE6D04"/>
    <w:rsid w:val="00AF4D52"/>
    <w:rsid w:val="00B048F1"/>
    <w:rsid w:val="00B04BC4"/>
    <w:rsid w:val="00B060CA"/>
    <w:rsid w:val="00B126A4"/>
    <w:rsid w:val="00B14569"/>
    <w:rsid w:val="00B15C74"/>
    <w:rsid w:val="00B161B6"/>
    <w:rsid w:val="00B17F03"/>
    <w:rsid w:val="00B35458"/>
    <w:rsid w:val="00B35652"/>
    <w:rsid w:val="00B4098F"/>
    <w:rsid w:val="00B415ED"/>
    <w:rsid w:val="00B45822"/>
    <w:rsid w:val="00B4644D"/>
    <w:rsid w:val="00B476B7"/>
    <w:rsid w:val="00B5127F"/>
    <w:rsid w:val="00B51D7E"/>
    <w:rsid w:val="00B56BB1"/>
    <w:rsid w:val="00B717FF"/>
    <w:rsid w:val="00B808D6"/>
    <w:rsid w:val="00B816B0"/>
    <w:rsid w:val="00B92B88"/>
    <w:rsid w:val="00B962FA"/>
    <w:rsid w:val="00BA1D5C"/>
    <w:rsid w:val="00BA597D"/>
    <w:rsid w:val="00BB4D61"/>
    <w:rsid w:val="00BC4459"/>
    <w:rsid w:val="00BC5CB0"/>
    <w:rsid w:val="00BC6197"/>
    <w:rsid w:val="00BC6614"/>
    <w:rsid w:val="00BD2402"/>
    <w:rsid w:val="00BD5691"/>
    <w:rsid w:val="00BE0B55"/>
    <w:rsid w:val="00BE1EE6"/>
    <w:rsid w:val="00BE4FE7"/>
    <w:rsid w:val="00BE513A"/>
    <w:rsid w:val="00BE61AF"/>
    <w:rsid w:val="00BF44B8"/>
    <w:rsid w:val="00BF5944"/>
    <w:rsid w:val="00C02D61"/>
    <w:rsid w:val="00C10153"/>
    <w:rsid w:val="00C113F9"/>
    <w:rsid w:val="00C129F6"/>
    <w:rsid w:val="00C14748"/>
    <w:rsid w:val="00C2572A"/>
    <w:rsid w:val="00C363D1"/>
    <w:rsid w:val="00C3792B"/>
    <w:rsid w:val="00C47C8B"/>
    <w:rsid w:val="00C5501F"/>
    <w:rsid w:val="00C55BE4"/>
    <w:rsid w:val="00C6454B"/>
    <w:rsid w:val="00C6475F"/>
    <w:rsid w:val="00C64D22"/>
    <w:rsid w:val="00C66E87"/>
    <w:rsid w:val="00C75AC1"/>
    <w:rsid w:val="00C75EED"/>
    <w:rsid w:val="00C81DAE"/>
    <w:rsid w:val="00C92AA0"/>
    <w:rsid w:val="00CA0837"/>
    <w:rsid w:val="00CA19A6"/>
    <w:rsid w:val="00CA2702"/>
    <w:rsid w:val="00CA418F"/>
    <w:rsid w:val="00CA5C96"/>
    <w:rsid w:val="00CA5CDE"/>
    <w:rsid w:val="00CA681F"/>
    <w:rsid w:val="00CA68E8"/>
    <w:rsid w:val="00CA6EB3"/>
    <w:rsid w:val="00CA7A66"/>
    <w:rsid w:val="00CB19A3"/>
    <w:rsid w:val="00CB2DAE"/>
    <w:rsid w:val="00CD25A0"/>
    <w:rsid w:val="00CD4DB3"/>
    <w:rsid w:val="00CD64C1"/>
    <w:rsid w:val="00CE3B2D"/>
    <w:rsid w:val="00CE4927"/>
    <w:rsid w:val="00CE5002"/>
    <w:rsid w:val="00CE504B"/>
    <w:rsid w:val="00CE742E"/>
    <w:rsid w:val="00CF10C9"/>
    <w:rsid w:val="00CF61B4"/>
    <w:rsid w:val="00D05F40"/>
    <w:rsid w:val="00D072C2"/>
    <w:rsid w:val="00D07907"/>
    <w:rsid w:val="00D1200E"/>
    <w:rsid w:val="00D1387A"/>
    <w:rsid w:val="00D14F97"/>
    <w:rsid w:val="00D23BC3"/>
    <w:rsid w:val="00D23E86"/>
    <w:rsid w:val="00D35B81"/>
    <w:rsid w:val="00D37363"/>
    <w:rsid w:val="00D45F56"/>
    <w:rsid w:val="00D531D5"/>
    <w:rsid w:val="00D62C9A"/>
    <w:rsid w:val="00D67902"/>
    <w:rsid w:val="00D74238"/>
    <w:rsid w:val="00D7499B"/>
    <w:rsid w:val="00D76503"/>
    <w:rsid w:val="00D812FE"/>
    <w:rsid w:val="00D84942"/>
    <w:rsid w:val="00D95310"/>
    <w:rsid w:val="00DA0246"/>
    <w:rsid w:val="00DA13A0"/>
    <w:rsid w:val="00DB767C"/>
    <w:rsid w:val="00DC2817"/>
    <w:rsid w:val="00DC3A57"/>
    <w:rsid w:val="00DD2A23"/>
    <w:rsid w:val="00DE00F0"/>
    <w:rsid w:val="00DE0F34"/>
    <w:rsid w:val="00DE1712"/>
    <w:rsid w:val="00DE1FF0"/>
    <w:rsid w:val="00DE2370"/>
    <w:rsid w:val="00DF169C"/>
    <w:rsid w:val="00E017CC"/>
    <w:rsid w:val="00E030BA"/>
    <w:rsid w:val="00E065B9"/>
    <w:rsid w:val="00E06D85"/>
    <w:rsid w:val="00E16821"/>
    <w:rsid w:val="00E244D0"/>
    <w:rsid w:val="00E24C46"/>
    <w:rsid w:val="00E25058"/>
    <w:rsid w:val="00E27E7D"/>
    <w:rsid w:val="00E62D68"/>
    <w:rsid w:val="00E6352C"/>
    <w:rsid w:val="00E641EF"/>
    <w:rsid w:val="00E72498"/>
    <w:rsid w:val="00E76055"/>
    <w:rsid w:val="00E90886"/>
    <w:rsid w:val="00E915CE"/>
    <w:rsid w:val="00E946F1"/>
    <w:rsid w:val="00E967AB"/>
    <w:rsid w:val="00EA1413"/>
    <w:rsid w:val="00EA3D01"/>
    <w:rsid w:val="00EC04E0"/>
    <w:rsid w:val="00EC21E8"/>
    <w:rsid w:val="00EC3F89"/>
    <w:rsid w:val="00EC7512"/>
    <w:rsid w:val="00EC7817"/>
    <w:rsid w:val="00ED0B4B"/>
    <w:rsid w:val="00ED3FB9"/>
    <w:rsid w:val="00EE05DA"/>
    <w:rsid w:val="00EE5E73"/>
    <w:rsid w:val="00EE67D7"/>
    <w:rsid w:val="00EF1B99"/>
    <w:rsid w:val="00EF1D87"/>
    <w:rsid w:val="00EF1FB2"/>
    <w:rsid w:val="00EF2DF4"/>
    <w:rsid w:val="00EF368A"/>
    <w:rsid w:val="00F02A5D"/>
    <w:rsid w:val="00F1436E"/>
    <w:rsid w:val="00F243F5"/>
    <w:rsid w:val="00F330EE"/>
    <w:rsid w:val="00F36E5B"/>
    <w:rsid w:val="00F47A46"/>
    <w:rsid w:val="00F507D3"/>
    <w:rsid w:val="00F543AE"/>
    <w:rsid w:val="00F550AD"/>
    <w:rsid w:val="00F55577"/>
    <w:rsid w:val="00F569C7"/>
    <w:rsid w:val="00F6186E"/>
    <w:rsid w:val="00F6246D"/>
    <w:rsid w:val="00F65726"/>
    <w:rsid w:val="00F739F9"/>
    <w:rsid w:val="00F75628"/>
    <w:rsid w:val="00F806E1"/>
    <w:rsid w:val="00F8570D"/>
    <w:rsid w:val="00F920C9"/>
    <w:rsid w:val="00F9485C"/>
    <w:rsid w:val="00F964BE"/>
    <w:rsid w:val="00FA65DA"/>
    <w:rsid w:val="00FB1C24"/>
    <w:rsid w:val="00FB26DD"/>
    <w:rsid w:val="00FB2E65"/>
    <w:rsid w:val="00FB6FF0"/>
    <w:rsid w:val="00FC4A96"/>
    <w:rsid w:val="00FC4AE5"/>
    <w:rsid w:val="00FC5C43"/>
    <w:rsid w:val="00FE09DB"/>
    <w:rsid w:val="00FE568A"/>
    <w:rsid w:val="00FF18C0"/>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1385C778-38CE-4078-8E54-D660CDC8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 w:type="character" w:customStyle="1" w:styleId="ntpebdom">
    <w:name w:val="ntpebdom"/>
    <w:basedOn w:val="DefaultParagraphFont"/>
    <w:rsid w:val="00AA0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90096">
      <w:bodyDiv w:val="1"/>
      <w:marLeft w:val="0"/>
      <w:marRight w:val="0"/>
      <w:marTop w:val="0"/>
      <w:marBottom w:val="0"/>
      <w:divBdr>
        <w:top w:val="none" w:sz="0" w:space="0" w:color="auto"/>
        <w:left w:val="none" w:sz="0" w:space="0" w:color="auto"/>
        <w:bottom w:val="none" w:sz="0" w:space="0" w:color="auto"/>
        <w:right w:val="none" w:sz="0" w:space="0" w:color="auto"/>
      </w:divBdr>
      <w:divsChild>
        <w:div w:id="799883382">
          <w:marLeft w:val="3150"/>
          <w:marRight w:val="0"/>
          <w:marTop w:val="0"/>
          <w:marBottom w:val="0"/>
          <w:divBdr>
            <w:top w:val="none" w:sz="0" w:space="0" w:color="auto"/>
            <w:left w:val="none" w:sz="0" w:space="0" w:color="auto"/>
            <w:bottom w:val="none" w:sz="0" w:space="0" w:color="auto"/>
            <w:right w:val="none" w:sz="0" w:space="0" w:color="auto"/>
          </w:divBdr>
        </w:div>
        <w:div w:id="11686044">
          <w:marLeft w:val="3150"/>
          <w:marRight w:val="0"/>
          <w:marTop w:val="0"/>
          <w:marBottom w:val="0"/>
          <w:divBdr>
            <w:top w:val="none" w:sz="0" w:space="0" w:color="auto"/>
            <w:left w:val="none" w:sz="0" w:space="0" w:color="auto"/>
            <w:bottom w:val="none" w:sz="0" w:space="0" w:color="auto"/>
            <w:right w:val="none" w:sz="0" w:space="0" w:color="auto"/>
          </w:divBdr>
        </w:div>
      </w:divsChild>
    </w:div>
    <w:div w:id="97532776">
      <w:bodyDiv w:val="1"/>
      <w:marLeft w:val="0"/>
      <w:marRight w:val="0"/>
      <w:marTop w:val="0"/>
      <w:marBottom w:val="0"/>
      <w:divBdr>
        <w:top w:val="none" w:sz="0" w:space="0" w:color="auto"/>
        <w:left w:val="none" w:sz="0" w:space="0" w:color="auto"/>
        <w:bottom w:val="none" w:sz="0" w:space="0" w:color="auto"/>
        <w:right w:val="none" w:sz="0" w:space="0" w:color="auto"/>
      </w:divBdr>
    </w:div>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35780422">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04163165">
      <w:bodyDiv w:val="1"/>
      <w:marLeft w:val="0"/>
      <w:marRight w:val="0"/>
      <w:marTop w:val="0"/>
      <w:marBottom w:val="0"/>
      <w:divBdr>
        <w:top w:val="none" w:sz="0" w:space="0" w:color="auto"/>
        <w:left w:val="none" w:sz="0" w:space="0" w:color="auto"/>
        <w:bottom w:val="none" w:sz="0" w:space="0" w:color="auto"/>
        <w:right w:val="none" w:sz="0" w:space="0" w:color="auto"/>
      </w:divBdr>
    </w:div>
    <w:div w:id="1012992696">
      <w:bodyDiv w:val="1"/>
      <w:marLeft w:val="0"/>
      <w:marRight w:val="0"/>
      <w:marTop w:val="0"/>
      <w:marBottom w:val="0"/>
      <w:divBdr>
        <w:top w:val="none" w:sz="0" w:space="0" w:color="auto"/>
        <w:left w:val="none" w:sz="0" w:space="0" w:color="auto"/>
        <w:bottom w:val="none" w:sz="0" w:space="0" w:color="auto"/>
        <w:right w:val="none" w:sz="0" w:space="0" w:color="auto"/>
      </w:divBdr>
    </w:div>
    <w:div w:id="1018893091">
      <w:bodyDiv w:val="1"/>
      <w:marLeft w:val="0"/>
      <w:marRight w:val="0"/>
      <w:marTop w:val="0"/>
      <w:marBottom w:val="0"/>
      <w:divBdr>
        <w:top w:val="none" w:sz="0" w:space="0" w:color="auto"/>
        <w:left w:val="none" w:sz="0" w:space="0" w:color="auto"/>
        <w:bottom w:val="none" w:sz="0" w:space="0" w:color="auto"/>
        <w:right w:val="none" w:sz="0" w:space="0" w:color="auto"/>
      </w:divBdr>
      <w:divsChild>
        <w:div w:id="409548927">
          <w:marLeft w:val="3150"/>
          <w:marRight w:val="0"/>
          <w:marTop w:val="0"/>
          <w:marBottom w:val="0"/>
          <w:divBdr>
            <w:top w:val="none" w:sz="0" w:space="0" w:color="auto"/>
            <w:left w:val="none" w:sz="0" w:space="0" w:color="auto"/>
            <w:bottom w:val="none" w:sz="0" w:space="0" w:color="auto"/>
            <w:right w:val="none" w:sz="0" w:space="0" w:color="auto"/>
          </w:divBdr>
        </w:div>
        <w:div w:id="74515155">
          <w:marLeft w:val="3150"/>
          <w:marRight w:val="0"/>
          <w:marTop w:val="0"/>
          <w:marBottom w:val="0"/>
          <w:divBdr>
            <w:top w:val="none" w:sz="0" w:space="0" w:color="auto"/>
            <w:left w:val="none" w:sz="0" w:space="0" w:color="auto"/>
            <w:bottom w:val="none" w:sz="0" w:space="0" w:color="auto"/>
            <w:right w:val="none" w:sz="0" w:space="0" w:color="auto"/>
          </w:divBdr>
        </w:div>
        <w:div w:id="1630626647">
          <w:marLeft w:val="3150"/>
          <w:marRight w:val="0"/>
          <w:marTop w:val="0"/>
          <w:marBottom w:val="0"/>
          <w:divBdr>
            <w:top w:val="none" w:sz="0" w:space="0" w:color="auto"/>
            <w:left w:val="none" w:sz="0" w:space="0" w:color="auto"/>
            <w:bottom w:val="none" w:sz="0" w:space="0" w:color="auto"/>
            <w:right w:val="none" w:sz="0" w:space="0" w:color="auto"/>
          </w:divBdr>
        </w:div>
        <w:div w:id="810290569">
          <w:marLeft w:val="3150"/>
          <w:marRight w:val="0"/>
          <w:marTop w:val="0"/>
          <w:marBottom w:val="0"/>
          <w:divBdr>
            <w:top w:val="none" w:sz="0" w:space="0" w:color="auto"/>
            <w:left w:val="none" w:sz="0" w:space="0" w:color="auto"/>
            <w:bottom w:val="none" w:sz="0" w:space="0" w:color="auto"/>
            <w:right w:val="none" w:sz="0" w:space="0" w:color="auto"/>
          </w:divBdr>
        </w:div>
      </w:divsChild>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85058882">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08305859">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0564131">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354465">
      <w:bodyDiv w:val="1"/>
      <w:marLeft w:val="0"/>
      <w:marRight w:val="0"/>
      <w:marTop w:val="0"/>
      <w:marBottom w:val="0"/>
      <w:divBdr>
        <w:top w:val="none" w:sz="0" w:space="0" w:color="auto"/>
        <w:left w:val="none" w:sz="0" w:space="0" w:color="auto"/>
        <w:bottom w:val="none" w:sz="0" w:space="0" w:color="auto"/>
        <w:right w:val="none" w:sz="0" w:space="0" w:color="auto"/>
      </w:divBdr>
      <w:divsChild>
        <w:div w:id="758870573">
          <w:marLeft w:val="3150"/>
          <w:marRight w:val="0"/>
          <w:marTop w:val="0"/>
          <w:marBottom w:val="0"/>
          <w:divBdr>
            <w:top w:val="none" w:sz="0" w:space="0" w:color="auto"/>
            <w:left w:val="none" w:sz="0" w:space="0" w:color="auto"/>
            <w:bottom w:val="none" w:sz="0" w:space="0" w:color="auto"/>
            <w:right w:val="none" w:sz="0" w:space="0" w:color="auto"/>
          </w:divBdr>
        </w:div>
        <w:div w:id="1682123347">
          <w:marLeft w:val="3150"/>
          <w:marRight w:val="0"/>
          <w:marTop w:val="0"/>
          <w:marBottom w:val="0"/>
          <w:divBdr>
            <w:top w:val="none" w:sz="0" w:space="0" w:color="auto"/>
            <w:left w:val="none" w:sz="0" w:space="0" w:color="auto"/>
            <w:bottom w:val="none" w:sz="0" w:space="0" w:color="auto"/>
            <w:right w:val="none" w:sz="0" w:space="0" w:color="auto"/>
          </w:divBdr>
        </w:div>
        <w:div w:id="1207063161">
          <w:marLeft w:val="3150"/>
          <w:marRight w:val="0"/>
          <w:marTop w:val="0"/>
          <w:marBottom w:val="0"/>
          <w:divBdr>
            <w:top w:val="none" w:sz="0" w:space="0" w:color="auto"/>
            <w:left w:val="none" w:sz="0" w:space="0" w:color="auto"/>
            <w:bottom w:val="none" w:sz="0" w:space="0" w:color="auto"/>
            <w:right w:val="none" w:sz="0" w:space="0" w:color="auto"/>
          </w:divBdr>
        </w:div>
        <w:div w:id="346062029">
          <w:marLeft w:val="3150"/>
          <w:marRight w:val="0"/>
          <w:marTop w:val="0"/>
          <w:marBottom w:val="0"/>
          <w:divBdr>
            <w:top w:val="none" w:sz="0" w:space="0" w:color="auto"/>
            <w:left w:val="none" w:sz="0" w:space="0" w:color="auto"/>
            <w:bottom w:val="none" w:sz="0" w:space="0" w:color="auto"/>
            <w:right w:val="none" w:sz="0" w:space="0" w:color="auto"/>
          </w:divBdr>
        </w:div>
        <w:div w:id="1805539089">
          <w:marLeft w:val="3150"/>
          <w:marRight w:val="0"/>
          <w:marTop w:val="0"/>
          <w:marBottom w:val="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771852263">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34763139">
      <w:bodyDiv w:val="1"/>
      <w:marLeft w:val="0"/>
      <w:marRight w:val="0"/>
      <w:marTop w:val="0"/>
      <w:marBottom w:val="0"/>
      <w:divBdr>
        <w:top w:val="none" w:sz="0" w:space="0" w:color="auto"/>
        <w:left w:val="none" w:sz="0" w:space="0" w:color="auto"/>
        <w:bottom w:val="none" w:sz="0" w:space="0" w:color="auto"/>
        <w:right w:val="none" w:sz="0" w:space="0" w:color="auto"/>
      </w:divBdr>
      <w:divsChild>
        <w:div w:id="2006129864">
          <w:marLeft w:val="3150"/>
          <w:marRight w:val="0"/>
          <w:marTop w:val="0"/>
          <w:marBottom w:val="0"/>
          <w:divBdr>
            <w:top w:val="none" w:sz="0" w:space="0" w:color="auto"/>
            <w:left w:val="none" w:sz="0" w:space="0" w:color="auto"/>
            <w:bottom w:val="none" w:sz="0" w:space="0" w:color="auto"/>
            <w:right w:val="none" w:sz="0" w:space="0" w:color="auto"/>
          </w:divBdr>
        </w:div>
        <w:div w:id="772212412">
          <w:marLeft w:val="3150"/>
          <w:marRight w:val="0"/>
          <w:marTop w:val="0"/>
          <w:marBottom w:val="0"/>
          <w:divBdr>
            <w:top w:val="none" w:sz="0" w:space="0" w:color="auto"/>
            <w:left w:val="none" w:sz="0" w:space="0" w:color="auto"/>
            <w:bottom w:val="none" w:sz="0" w:space="0" w:color="auto"/>
            <w:right w:val="none" w:sz="0" w:space="0" w:color="auto"/>
          </w:divBdr>
        </w:div>
        <w:div w:id="1722056315">
          <w:marLeft w:val="3150"/>
          <w:marRight w:val="0"/>
          <w:marTop w:val="0"/>
          <w:marBottom w:val="0"/>
          <w:divBdr>
            <w:top w:val="none" w:sz="0" w:space="0" w:color="auto"/>
            <w:left w:val="none" w:sz="0" w:space="0" w:color="auto"/>
            <w:bottom w:val="none" w:sz="0" w:space="0" w:color="auto"/>
            <w:right w:val="none" w:sz="0" w:space="0" w:color="auto"/>
          </w:divBdr>
        </w:div>
      </w:divsChild>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04233998">
      <w:bodyDiv w:val="1"/>
      <w:marLeft w:val="0"/>
      <w:marRight w:val="0"/>
      <w:marTop w:val="0"/>
      <w:marBottom w:val="0"/>
      <w:divBdr>
        <w:top w:val="none" w:sz="0" w:space="0" w:color="auto"/>
        <w:left w:val="none" w:sz="0" w:space="0" w:color="auto"/>
        <w:bottom w:val="none" w:sz="0" w:space="0" w:color="auto"/>
        <w:right w:val="none" w:sz="0" w:space="0" w:color="auto"/>
      </w:divBdr>
      <w:divsChild>
        <w:div w:id="1901594628">
          <w:marLeft w:val="3150"/>
          <w:marRight w:val="0"/>
          <w:marTop w:val="0"/>
          <w:marBottom w:val="0"/>
          <w:divBdr>
            <w:top w:val="none" w:sz="0" w:space="0" w:color="auto"/>
            <w:left w:val="none" w:sz="0" w:space="0" w:color="auto"/>
            <w:bottom w:val="none" w:sz="0" w:space="0" w:color="auto"/>
            <w:right w:val="none" w:sz="0" w:space="0" w:color="auto"/>
          </w:divBdr>
        </w:div>
        <w:div w:id="508721639">
          <w:marLeft w:val="3150"/>
          <w:marRight w:val="0"/>
          <w:marTop w:val="0"/>
          <w:marBottom w:val="0"/>
          <w:divBdr>
            <w:top w:val="none" w:sz="0" w:space="0" w:color="auto"/>
            <w:left w:val="none" w:sz="0" w:space="0" w:color="auto"/>
            <w:bottom w:val="none" w:sz="0" w:space="0" w:color="auto"/>
            <w:right w:val="none" w:sz="0" w:space="0" w:color="auto"/>
          </w:divBdr>
        </w:div>
        <w:div w:id="1033504685">
          <w:marLeft w:val="3150"/>
          <w:marRight w:val="0"/>
          <w:marTop w:val="0"/>
          <w:marBottom w:val="0"/>
          <w:divBdr>
            <w:top w:val="none" w:sz="0" w:space="0" w:color="auto"/>
            <w:left w:val="none" w:sz="0" w:space="0" w:color="auto"/>
            <w:bottom w:val="none" w:sz="0" w:space="0" w:color="auto"/>
            <w:right w:val="none" w:sz="0" w:space="0" w:color="auto"/>
          </w:divBdr>
        </w:div>
      </w:divsChild>
    </w:div>
    <w:div w:id="2027248465">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165-1765(82)90121-5" TargetMode="External"/><Relationship Id="rId21" Type="http://schemas.openxmlformats.org/officeDocument/2006/relationships/hyperlink" Target="https://CRAN.R-project.org/package=WDI" TargetMode="External"/><Relationship Id="rId34" Type="http://schemas.openxmlformats.org/officeDocument/2006/relationships/hyperlink" Target="https://doi.org/10.2908/NAMA_10_FTE" TargetMode="External"/><Relationship Id="rId42" Type="http://schemas.openxmlformats.org/officeDocument/2006/relationships/hyperlink" Target="https://doi.org/10.1007/978-981-33-4980-3_12" TargetMode="External"/><Relationship Id="rId47" Type="http://schemas.openxmlformats.org/officeDocument/2006/relationships/hyperlink" Target="https://doi.org/10.1017/dap.2024.42" TargetMode="External"/><Relationship Id="rId50" Type="http://schemas.openxmlformats.org/officeDocument/2006/relationships/hyperlink" Target="https://www.ucas.com/data-and-analysis/undergraduate-statistics-and-reports/ucas-undergraduate-sector-level-end-of-cycle-data-resources-2021" TargetMode="External"/><Relationship Id="rId55" Type="http://schemas.openxmlformats.org/officeDocument/2006/relationships/hyperlink" Target="https://assets.publishing.service.gov.uk/government/uploads/system/uploads/attachment_data/file/958998/EU_exit_estimating_the_impact_on_UK_higher_education.pdf"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jstor.org/stable/1812115" TargetMode="External"/><Relationship Id="rId11" Type="http://schemas.openxmlformats.org/officeDocument/2006/relationships/image" Target="media/image3.png"/><Relationship Id="rId24" Type="http://schemas.openxmlformats.org/officeDocument/2006/relationships/hyperlink" Target="https://doi.org/10.1257/jel.20191450" TargetMode="External"/><Relationship Id="rId32" Type="http://schemas.openxmlformats.org/officeDocument/2006/relationships/hyperlink" Target="https://doi.org/10.1162/003465398557825" TargetMode="External"/><Relationship Id="rId37" Type="http://schemas.openxmlformats.org/officeDocument/2006/relationships/hyperlink" Target="https://doi.org/10.3102/0162373711415261" TargetMode="External"/><Relationship Id="rId40" Type="http://schemas.openxmlformats.org/officeDocument/2006/relationships/hyperlink" Target="https://doi.org/10.1111/1467-985X.00280" TargetMode="External"/><Relationship Id="rId45" Type="http://schemas.openxmlformats.org/officeDocument/2006/relationships/hyperlink" Target="https://doi.org/10.1093/oxrep/grab043" TargetMode="External"/><Relationship Id="rId53" Type="http://schemas.openxmlformats.org/officeDocument/2006/relationships/hyperlink" Target="https://www.gov.uk/guidance/how-interest-is-calculated-plan-2" TargetMode="External"/><Relationship Id="rId58" Type="http://schemas.openxmlformats.org/officeDocument/2006/relationships/hyperlink" Target="https://doi.org/10.2139/ssrn.2481553" TargetMode="External"/><Relationship Id="rId5" Type="http://schemas.openxmlformats.org/officeDocument/2006/relationships/webSettings" Target="webSettings.xml"/><Relationship Id="rId61" Type="http://schemas.openxmlformats.org/officeDocument/2006/relationships/hyperlink" Target="https://www.gov.uk/government/news/graduate-route-for-best-and-brightest-launches"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doi.org/10.21105/joss.00848" TargetMode="External"/><Relationship Id="rId27" Type="http://schemas.openxmlformats.org/officeDocument/2006/relationships/hyperlink" Target="https://escholarship.org/uc/item/9569q5n5" TargetMode="External"/><Relationship Id="rId30" Type="http://schemas.openxmlformats.org/officeDocument/2006/relationships/hyperlink" Target="https://www.iza.org/publications/dp/18178/international-student-migration-did-brexit-close-the-door-to-eu-students" TargetMode="External"/><Relationship Id="rId35" Type="http://schemas.openxmlformats.org/officeDocument/2006/relationships/hyperlink" Target="https://doi.org/10.1177/0969776406065429" TargetMode="External"/><Relationship Id="rId43" Type="http://schemas.openxmlformats.org/officeDocument/2006/relationships/hyperlink" Target="https://doi.org/10.1080/1369183x.2020.1726173" TargetMode="External"/><Relationship Id="rId48" Type="http://schemas.openxmlformats.org/officeDocument/2006/relationships/hyperlink" Target="https://doi.org/10.1016/0272-7757(90)90040-C" TargetMode="External"/><Relationship Id="rId56" Type="http://schemas.openxmlformats.org/officeDocument/2006/relationships/hyperlink" Target="https://www.ecb.europa.eu/press/pr/date/2021/html/ecb.pr210708~dc78cc4b0d.en.html" TargetMode="External"/><Relationship Id="rId64" Type="http://schemas.openxmlformats.org/officeDocument/2006/relationships/fontTable" Target="fontTable.xml"/><Relationship Id="rId8" Type="http://schemas.openxmlformats.org/officeDocument/2006/relationships/hyperlink" Target="mailto:stoycho.rusinov@csd.eu" TargetMode="External"/><Relationship Id="rId51" Type="http://schemas.openxmlformats.org/officeDocument/2006/relationships/hyperlink" Target="https://www.gov.uk/repaying-your-student-loan/what-you-pa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57/app.2.3.129" TargetMode="External"/><Relationship Id="rId33" Type="http://schemas.openxmlformats.org/officeDocument/2006/relationships/hyperlink" Target="https://doi.org/10.1016/j.econedurev.2011.10.004" TargetMode="External"/><Relationship Id="rId38" Type="http://schemas.openxmlformats.org/officeDocument/2006/relationships/hyperlink" Target="https://www.nber.org/system/files/working_papers/w6323/w6323.pdf" TargetMode="External"/><Relationship Id="rId46" Type="http://schemas.openxmlformats.org/officeDocument/2006/relationships/hyperlink" Target="https://eml.berkeley.edu/reprints/mcfadden/zarembka.pdf" TargetMode="External"/><Relationship Id="rId59" Type="http://schemas.openxmlformats.org/officeDocument/2006/relationships/hyperlink" Target="https://kclpure.kcl.ac.uk/ws/files/97277490/The_E_ect_of_University_Fees_SA_Accepted13July2017_GREEN_AAM.pdf" TargetMode="External"/><Relationship Id="rId20" Type="http://schemas.openxmlformats.org/officeDocument/2006/relationships/image" Target="media/image12.png"/><Relationship Id="rId41" Type="http://schemas.openxmlformats.org/officeDocument/2006/relationships/hyperlink" Target="https://doi.org/10.1080/00221546.1987.11778239" TargetMode="External"/><Relationship Id="rId54" Type="http://schemas.openxmlformats.org/officeDocument/2006/relationships/hyperlink" Target="https://databank.worldbank.org/source/world-development-indicators"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57/aer.20190159" TargetMode="External"/><Relationship Id="rId28" Type="http://schemas.openxmlformats.org/officeDocument/2006/relationships/hyperlink" Target="https://calhoun.faculty.asu.edu/sites/g/files/litvpz3321/files/publications/articles/populism_brexit.pdf" TargetMode="External"/><Relationship Id="rId36" Type="http://schemas.openxmlformats.org/officeDocument/2006/relationships/hyperlink" Target="https://www.jstor.org/stable/2959966" TargetMode="External"/><Relationship Id="rId49" Type="http://schemas.openxmlformats.org/officeDocument/2006/relationships/hyperlink" Target="https://doi.org/10.1086/690829" TargetMode="External"/><Relationship Id="rId57" Type="http://schemas.openxmlformats.org/officeDocument/2006/relationships/hyperlink" Target="https://www.publicfirst.co.uk/couting-the-cost" TargetMode="External"/><Relationship Id="rId10" Type="http://schemas.openxmlformats.org/officeDocument/2006/relationships/image" Target="media/image2.png"/><Relationship Id="rId31" Type="http://schemas.openxmlformats.org/officeDocument/2006/relationships/hyperlink" Target="https://migrationobservatory.ox.ac.uk/resources/briefings/student-migration-to-the-uk/" TargetMode="External"/><Relationship Id="rId44" Type="http://schemas.openxmlformats.org/officeDocument/2006/relationships/hyperlink" Target="https://doi.org/10.1080/03098770120050909" TargetMode="External"/><Relationship Id="rId52" Type="http://schemas.openxmlformats.org/officeDocument/2006/relationships/hyperlink" Target="https://www.gov.uk/repaying-your-student-loan/when-your-student-loan-gets-written-off" TargetMode="External"/><Relationship Id="rId60" Type="http://schemas.openxmlformats.org/officeDocument/2006/relationships/hyperlink" Target="https://doi.org/10.1111/ecca.12278"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commonslibrary.parliament.uk/research-briefings/cbp-815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xchangerates.org.uk/EUR-GBP-spot-exchange-rates-history-202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DB897A-E504-4E92-9E40-EF67BE7FE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8090</TotalTime>
  <Pages>1</Pages>
  <Words>13457</Words>
  <Characters>76707</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38</cp:revision>
  <cp:lastPrinted>2026-05-11T10:23:00Z</cp:lastPrinted>
  <dcterms:created xsi:type="dcterms:W3CDTF">2026-05-09T15:03:00Z</dcterms:created>
  <dcterms:modified xsi:type="dcterms:W3CDTF">2026-07-26T20:50:00Z</dcterms:modified>
</cp:coreProperties>
</file>