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6015" w:rsidRPr="00C3586C" w:rsidRDefault="008B0A6B" w:rsidP="00C3586C">
      <w:pPr>
        <w:spacing w:line="360" w:lineRule="auto"/>
        <w:jc w:val="center"/>
        <w:rPr>
          <w:rFonts w:asciiTheme="minorHAnsi" w:hAnsiTheme="minorHAnsi" w:cstheme="minorHAnsi"/>
        </w:rPr>
      </w:pPr>
      <w:bookmarkStart w:id="0" w:name="_GoBack"/>
      <w:bookmarkEnd w:id="0"/>
      <w:r>
        <w:rPr>
          <w:b/>
          <w:bCs/>
          <w:sz w:val="32"/>
          <w:szCs w:val="32"/>
        </w:rPr>
        <w:t>O</w:t>
      </w:r>
      <w:r>
        <w:rPr>
          <w:rFonts w:asciiTheme="minorHAnsi" w:hAnsiTheme="minorHAnsi" w:cstheme="minorHAnsi"/>
          <w:b/>
          <w:bCs/>
          <w:sz w:val="32"/>
          <w:szCs w:val="32"/>
        </w:rPr>
        <w:t>nline appendix</w:t>
      </w:r>
    </w:p>
    <w:p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I. Control group construction</w:t>
      </w:r>
    </w:p>
    <w:p w:rsidR="00D22D75" w:rsidRPr="00C3586C" w:rsidRDefault="001F394D" w:rsidP="00C3586C">
      <w:pPr>
        <w:pStyle w:val="FirstParagraph"/>
        <w:spacing w:before="0" w:after="0" w:line="360" w:lineRule="auto"/>
        <w:rPr>
          <w:rFonts w:asciiTheme="minorHAnsi" w:hAnsiTheme="minorHAnsi" w:cstheme="minorHAnsi"/>
        </w:rPr>
      </w:pPr>
      <w:r>
        <w:rPr>
          <w:rFonts w:asciiTheme="minorHAnsi" w:hAnsiTheme="minorHAnsi" w:cstheme="minorHAnsi"/>
        </w:rPr>
        <w:t xml:space="preserve">Let </w:t>
      </w:r>
      <m:oMath>
        <m:r>
          <m:rPr>
            <m:scr m:val="script"/>
            <m:sty m:val="p"/>
          </m:rPr>
          <w:rPr>
            <w:rFonts w:ascii="Cambria Math" w:hAnsi="Cambria Math" w:cstheme="minorHAnsi"/>
          </w:rPr>
          <m:t>C</m:t>
        </m:r>
      </m:oMath>
      <w:r>
        <w:rPr>
          <w:rFonts w:asciiTheme="minorHAnsi" w:hAnsiTheme="minorHAnsi" w:cstheme="minorHAnsi"/>
        </w:rPr>
        <w:t xml:space="preserve"> denote the set of origin countries, partitioned into the treated EU markets such that </w:t>
      </w:r>
      <m:oMath>
        <m:r>
          <m:rPr>
            <m:sty m:val="p"/>
          </m:rPr>
          <w:rPr>
            <w:rFonts w:ascii="Cambria Math" w:hAnsi="Cambria Math" w:cstheme="minorHAnsi"/>
          </w:rPr>
          <m:t>Ω⊂</m:t>
        </m:r>
        <m:r>
          <m:rPr>
            <m:scr m:val="script"/>
            <m:sty m:val="p"/>
          </m:rPr>
          <w:rPr>
            <w:rFonts w:ascii="Cambria Math" w:hAnsi="Cambria Math" w:cstheme="minorHAnsi"/>
          </w:rPr>
          <m:t>C</m:t>
        </m:r>
      </m:oMath>
      <w:r>
        <w:rPr>
          <w:rFonts w:asciiTheme="minorHAnsi" w:hAnsiTheme="minorHAnsi" w:cstheme="minorHAnsi"/>
        </w:rPr>
        <w:t xml:space="preserve">, with </w:t>
      </w:r>
      <m:oMath>
        <m:r>
          <w:rPr>
            <w:rFonts w:ascii="Cambria Math" w:hAnsi="Cambria Math" w:cstheme="minorHAnsi"/>
          </w:rPr>
          <m:t>J</m:t>
        </m:r>
        <m:r>
          <m:rPr>
            <m:sty m:val="p"/>
          </m:rPr>
          <w:rPr>
            <w:rFonts w:ascii="Cambria Math" w:hAnsi="Cambria Math" w:cstheme="minorHAnsi"/>
          </w:rPr>
          <m:t>=|Ω|</m:t>
        </m:r>
      </m:oMath>
      <w:r>
        <w:rPr>
          <w:rFonts w:asciiTheme="minorHAnsi" w:hAnsiTheme="minorHAnsi" w:cstheme="minorHAnsi"/>
        </w:rPr>
        <w:t xml:space="preserve">, and the candidate donor pool </w:t>
      </w:r>
      <m:oMath>
        <m:r>
          <m:rPr>
            <m:scr m:val="script"/>
            <m:sty m:val="p"/>
          </m:rPr>
          <w:rPr>
            <w:rFonts w:ascii="Cambria Math" w:hAnsi="Cambria Math" w:cstheme="minorHAnsi"/>
          </w:rPr>
          <m:t>D=C</m:t>
        </m:r>
        <m:r>
          <m:rPr>
            <m:sty m:val="p"/>
          </m:rPr>
          <w:rPr>
            <w:rFonts w:ascii="Cambria Math" w:hAnsi="Cambria Math" w:cstheme="minorHAnsi"/>
          </w:rPr>
          <m:t>\Ω</m:t>
        </m:r>
      </m:oMath>
      <w:r>
        <w:rPr>
          <w:rFonts w:asciiTheme="minorHAnsi" w:hAnsiTheme="minorHAnsi" w:cstheme="minorHAnsi"/>
        </w:rPr>
        <w:t xml:space="preserve"> of non-EU markets. For each </w:t>
      </w:r>
      <m:oMath>
        <m:r>
          <w:rPr>
            <w:rFonts w:ascii="Cambria Math" w:hAnsi="Cambria Math" w:cstheme="minorHAnsi"/>
          </w:rPr>
          <m:t>c</m:t>
        </m:r>
        <m:r>
          <m:rPr>
            <m:scr m:val="script"/>
            <m:sty m:val="p"/>
          </m:rPr>
          <w:rPr>
            <w:rFonts w:ascii="Cambria Math" w:hAnsi="Cambria Math" w:cstheme="minorHAnsi"/>
          </w:rPr>
          <m:t>∈C</m:t>
        </m:r>
      </m:oMath>
      <w:r>
        <w:rPr>
          <w:rFonts w:asciiTheme="minorHAnsi" w:hAnsiTheme="minorHAnsi" w:cstheme="minorHAnsi"/>
        </w:rPr>
        <w:t xml:space="preserve">, let </w:t>
      </w:r>
      <m:oMath>
        <m:sSub>
          <m:sSubPr>
            <m:ctrlPr>
              <w:rPr>
                <w:rFonts w:ascii="Cambria Math" w:hAnsi="Cambria Math" w:cstheme="minorHAnsi"/>
              </w:rPr>
            </m:ctrlPr>
          </m:sSubPr>
          <m:e>
            <m:r>
              <m:rPr>
                <m:sty m:val="p"/>
              </m:rPr>
              <w:rPr>
                <w:rFonts w:ascii="Cambria Math" w:hAnsi="Cambria Math" w:cstheme="minorHAnsi"/>
              </w:rPr>
              <m:t>App</m:t>
            </m:r>
          </m:e>
          <m:sub>
            <m:r>
              <w:rPr>
                <w:rFonts w:ascii="Cambria Math" w:hAnsi="Cambria Math" w:cstheme="minorHAnsi"/>
              </w:rPr>
              <m:t>ct</m:t>
            </m:r>
          </m:sub>
        </m:sSub>
      </m:oMath>
      <w:r>
        <w:rPr>
          <w:rFonts w:asciiTheme="minorHAnsi" w:hAnsiTheme="minorHAnsi" w:cstheme="minorHAnsi"/>
        </w:rPr>
        <w:t xml:space="preserve"> denote the number of UCAS applications received from country </w:t>
      </w:r>
      <m:oMath>
        <m:r>
          <w:rPr>
            <w:rFonts w:ascii="Cambria Math" w:hAnsi="Cambria Math" w:cstheme="minorHAnsi"/>
          </w:rPr>
          <m:t>c</m:t>
        </m:r>
      </m:oMath>
      <w:r>
        <w:rPr>
          <w:rFonts w:asciiTheme="minorHAnsi" w:hAnsiTheme="minorHAnsi" w:cstheme="minorHAnsi"/>
        </w:rPr>
        <w:t xml:space="preserve"> in cycle </w:t>
      </w:r>
      <m:oMath>
        <m:r>
          <w:rPr>
            <w:rFonts w:ascii="Cambria Math" w:hAnsi="Cambria Math" w:cstheme="minorHAnsi"/>
          </w:rPr>
          <m:t>t</m:t>
        </m:r>
      </m:oMath>
      <w:r>
        <w:rPr>
          <w:rFonts w:asciiTheme="minorHAnsi" w:hAnsiTheme="minorHAnsi" w:cstheme="minorHAnsi"/>
        </w:rPr>
        <w:t>. The outcome series is the logged application count,</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ct</m:t>
              </m:r>
            </m:sub>
          </m:sSub>
          <m:r>
            <m:rPr>
              <m:sty m:val="p"/>
            </m:rPr>
            <w:rPr>
              <w:rFonts w:ascii="Cambria Math" w:hAnsi="Cambria Math" w:cstheme="minorHAnsi"/>
            </w:rPr>
            <m:t>=log</m:t>
          </m:r>
          <m:r>
            <w:rPr>
              <w:rFonts w:ascii="Cambria Math" w:hAnsi="Cambria Math" w:cstheme="minorHAnsi"/>
            </w:rPr>
            <m:t>​</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App</m:t>
                  </m:r>
                </m:e>
                <m:sub>
                  <m:r>
                    <w:rPr>
                      <w:rFonts w:ascii="Cambria Math" w:hAnsi="Cambria Math" w:cstheme="minorHAnsi"/>
                    </w:rPr>
                    <m:t>ct</m:t>
                  </m:r>
                </m:sub>
              </m:sSub>
            </m:e>
          </m:d>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and the pre-treatment window </w:t>
      </w:r>
      <m:oMath>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r>
          <m:rPr>
            <m:sty m:val="p"/>
          </m:rPr>
          <w:rPr>
            <w:rFonts w:ascii="Cambria Math" w:hAnsi="Cambria Math" w:cstheme="minorHAnsi"/>
          </w:rPr>
          <m:t>={</m:t>
        </m:r>
        <m:r>
          <w:rPr>
            <w:rFonts w:ascii="Cambria Math" w:hAnsi="Cambria Math" w:cstheme="minorHAnsi"/>
          </w:rPr>
          <m:t>2014</m:t>
        </m:r>
        <m:r>
          <m:rPr>
            <m:sty m:val="p"/>
          </m:rPr>
          <w:rPr>
            <w:rFonts w:ascii="Cambria Math" w:hAnsi="Cambria Math" w:cstheme="minorHAnsi"/>
          </w:rPr>
          <m:t>,…,</m:t>
        </m:r>
        <m:r>
          <w:rPr>
            <w:rFonts w:ascii="Cambria Math" w:hAnsi="Cambria Math" w:cstheme="minorHAnsi"/>
          </w:rPr>
          <m:t>2020</m:t>
        </m:r>
        <m:r>
          <m:rPr>
            <m:sty m:val="p"/>
          </m:rPr>
          <w:rPr>
            <w:rFonts w:ascii="Cambria Math" w:hAnsi="Cambria Math" w:cstheme="minorHAnsi"/>
          </w:rPr>
          <m:t>}</m:t>
        </m:r>
      </m:oMath>
      <w:r>
        <w:rPr>
          <w:rFonts w:asciiTheme="minorHAnsi" w:hAnsiTheme="minorHAnsi" w:cstheme="minorHAnsi"/>
        </w:rPr>
        <w:t xml:space="preserve"> comprises all cycles up to and including 2020, giving </w:t>
      </w:r>
      <m:oMath>
        <m:sSub>
          <m:sSubPr>
            <m:ctrlPr>
              <w:rPr>
                <w:rFonts w:ascii="Cambria Math" w:hAnsi="Cambria Math" w:cstheme="minorHAnsi"/>
              </w:rPr>
            </m:ctrlPr>
          </m:sSubPr>
          <m:e>
            <m:r>
              <w:rPr>
                <w:rFonts w:ascii="Cambria Math" w:hAnsi="Cambria Math" w:cstheme="minorHAnsi"/>
              </w:rPr>
              <m:t>T</m:t>
            </m:r>
          </m:e>
          <m:sub>
            <m:r>
              <w:rPr>
                <w:rFonts w:ascii="Cambria Math" w:hAnsi="Cambria Math" w:cstheme="minorHAnsi"/>
              </w:rPr>
              <m:t>0</m:t>
            </m:r>
          </m:sub>
        </m:sSub>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r>
          <m:rPr>
            <m:sty m:val="p"/>
          </m:rPr>
          <w:rPr>
            <w:rFonts w:ascii="Cambria Math" w:hAnsi="Cambria Math" w:cstheme="minorHAnsi"/>
          </w:rPr>
          <m:t>|=</m:t>
        </m:r>
        <m:r>
          <w:rPr>
            <w:rFonts w:ascii="Cambria Math" w:hAnsi="Cambria Math" w:cstheme="minorHAnsi"/>
          </w:rPr>
          <m:t>7</m:t>
        </m:r>
      </m:oMath>
      <w:r>
        <w:rPr>
          <w:rFonts w:asciiTheme="minorHAnsi" w:hAnsiTheme="minorHAnsi" w:cstheme="minorHAnsi"/>
        </w:rPr>
        <w:t xml:space="preserve"> observations per country.</w:t>
      </w:r>
    </w:p>
    <w:p w:rsidR="00D22D75" w:rsidRPr="00C3586C" w:rsidRDefault="001F394D" w:rsidP="00C3586C">
      <w:pPr>
        <w:pStyle w:val="BodyText"/>
        <w:spacing w:after="0" w:line="360" w:lineRule="auto"/>
        <w:ind w:firstLine="720"/>
        <w:rPr>
          <w:rFonts w:asciiTheme="minorHAnsi" w:hAnsiTheme="minorHAnsi" w:cstheme="minorHAnsi"/>
        </w:rPr>
      </w:pPr>
      <w:r>
        <w:rPr>
          <w:rFonts w:asciiTheme="minorHAnsi" w:hAnsiTheme="minorHAnsi" w:cstheme="minorHAnsi"/>
        </w:rPr>
        <w:t>Donor selection is based on the shape of each pre-treatment path instead of its absolute level. Each logged series is therefore standardized within country over the pre-treatment window,</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ct</m:t>
              </m:r>
            </m:sub>
          </m:sSub>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ct</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c</m:t>
                  </m:r>
                </m:sub>
              </m:sSub>
            </m:num>
            <m:den>
              <m:sSub>
                <m:sSubPr>
                  <m:ctrlPr>
                    <w:rPr>
                      <w:rFonts w:ascii="Cambria Math" w:hAnsi="Cambria Math" w:cstheme="minorHAnsi"/>
                    </w:rPr>
                  </m:ctrlPr>
                </m:sSubPr>
                <m:e>
                  <m:r>
                    <w:rPr>
                      <w:rFonts w:ascii="Cambria Math" w:hAnsi="Cambria Math" w:cstheme="minorHAnsi"/>
                    </w:rPr>
                    <m:t>σ</m:t>
                  </m:r>
                </m:e>
                <m:sub>
                  <m:r>
                    <w:rPr>
                      <w:rFonts w:ascii="Cambria Math" w:hAnsi="Cambria Math" w:cstheme="minorHAnsi"/>
                    </w:rPr>
                    <m:t>c</m:t>
                  </m:r>
                </m:sub>
              </m:sSub>
            </m:den>
          </m:f>
          <m:r>
            <m:rPr>
              <m:sty m:val="p"/>
            </m:rPr>
            <w:rPr>
              <w:rFonts w:ascii="Cambria Math" w:hAnsi="Cambria Math" w:cstheme="minorHAnsi"/>
            </w:rPr>
            <m:t>,</m:t>
          </m:r>
          <m:r>
            <w:rPr>
              <w:rFonts w:ascii="Cambria Math" w:hAnsi="Cambria Math" w:cstheme="minorHAnsi"/>
            </w:rPr>
            <m:t>  </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c</m:t>
              </m:r>
            </m:sub>
          </m:sSub>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sSub>
                <m:sSubPr>
                  <m:ctrlPr>
                    <w:rPr>
                      <w:rFonts w:ascii="Cambria Math" w:hAnsi="Cambria Math" w:cstheme="minorHAnsi"/>
                    </w:rPr>
                  </m:ctrlPr>
                </m:sSubPr>
                <m:e>
                  <m:r>
                    <w:rPr>
                      <w:rFonts w:ascii="Cambria Math" w:hAnsi="Cambria Math" w:cstheme="minorHAnsi"/>
                    </w:rPr>
                    <m:t>T</m:t>
                  </m:r>
                </m:e>
                <m:sub>
                  <m:r>
                    <w:rPr>
                      <w:rFonts w:ascii="Cambria Math" w:hAnsi="Cambria Math" w:cstheme="minorHAnsi"/>
                    </w:rPr>
                    <m:t>0</m:t>
                  </m:r>
                </m:sub>
              </m:sSub>
            </m:den>
          </m:f>
          <m:nary>
            <m:naryPr>
              <m:chr m:val="∑"/>
              <m:limLoc m:val="undOvr"/>
              <m:supHide m:val="1"/>
              <m:ctrlPr>
                <w:rPr>
                  <w:rFonts w:ascii="Cambria Math" w:hAnsi="Cambria Math" w:cstheme="minorHAnsi"/>
                </w:rPr>
              </m:ctrlPr>
            </m:naryPr>
            <m:sub>
              <m:r>
                <w:rPr>
                  <w:rFonts w:ascii="Cambria Math" w:hAnsi="Cambria Math" w:cstheme="minorHAnsi"/>
                </w:rPr>
                <m:t>t</m:t>
              </m:r>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sub>
            <m:sup>
              <m:r>
                <w:rPr>
                  <w:rFonts w:ascii="Cambria Math" w:hAnsi="Cambria Math" w:cstheme="minorHAnsi"/>
                </w:rPr>
                <m:t>​</m:t>
              </m:r>
            </m:sup>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ct</m:t>
                  </m:r>
                </m:sub>
              </m:sSub>
            </m:e>
          </m:nary>
          <m:r>
            <m:rPr>
              <m:sty m:val="p"/>
            </m:rPr>
            <w:rPr>
              <w:rFonts w:ascii="Cambria Math" w:hAnsi="Cambria Math" w:cstheme="minorHAnsi"/>
            </w:rPr>
            <m:t>,</m:t>
          </m:r>
          <m:r>
            <w:rPr>
              <w:rFonts w:ascii="Cambria Math" w:hAnsi="Cambria Math" w:cstheme="minorHAnsi"/>
            </w:rPr>
            <m:t>  </m:t>
          </m:r>
          <m:sSubSup>
            <m:sSubSupPr>
              <m:ctrlPr>
                <w:rPr>
                  <w:rFonts w:ascii="Cambria Math" w:hAnsi="Cambria Math" w:cstheme="minorHAnsi"/>
                </w:rPr>
              </m:ctrlPr>
            </m:sSubSupPr>
            <m:e>
              <m:r>
                <w:rPr>
                  <w:rFonts w:ascii="Cambria Math" w:hAnsi="Cambria Math" w:cstheme="minorHAnsi"/>
                </w:rPr>
                <m:t>σ</m:t>
              </m:r>
            </m:e>
            <m:sub>
              <m:r>
                <w:rPr>
                  <w:rFonts w:ascii="Cambria Math" w:hAnsi="Cambria Math" w:cstheme="minorHAnsi"/>
                </w:rPr>
                <m:t>c</m:t>
              </m:r>
            </m:sub>
            <m:sup>
              <m:r>
                <w:rPr>
                  <w:rFonts w:ascii="Cambria Math" w:hAnsi="Cambria Math" w:cstheme="minorHAnsi"/>
                </w:rPr>
                <m:t>2</m:t>
              </m:r>
            </m:sup>
          </m:sSubSup>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sSub>
                <m:sSubPr>
                  <m:ctrlPr>
                    <w:rPr>
                      <w:rFonts w:ascii="Cambria Math" w:hAnsi="Cambria Math" w:cstheme="minorHAnsi"/>
                    </w:rPr>
                  </m:ctrlPr>
                </m:sSubPr>
                <m:e>
                  <m:r>
                    <w:rPr>
                      <w:rFonts w:ascii="Cambria Math" w:hAnsi="Cambria Math" w:cstheme="minorHAnsi"/>
                    </w:rPr>
                    <m:t>T</m:t>
                  </m:r>
                </m:e>
                <m:sub>
                  <m:r>
                    <w:rPr>
                      <w:rFonts w:ascii="Cambria Math" w:hAnsi="Cambria Math" w:cstheme="minorHAnsi"/>
                    </w:rPr>
                    <m:t>0</m:t>
                  </m:r>
                </m:sub>
              </m:sSub>
            </m:den>
          </m:f>
          <m:nary>
            <m:naryPr>
              <m:chr m:val="∑"/>
              <m:limLoc m:val="undOvr"/>
              <m:supHide m:val="1"/>
              <m:ctrlPr>
                <w:rPr>
                  <w:rFonts w:ascii="Cambria Math" w:hAnsi="Cambria Math" w:cstheme="minorHAnsi"/>
                </w:rPr>
              </m:ctrlPr>
            </m:naryPr>
            <m:sub>
              <m:r>
                <w:rPr>
                  <w:rFonts w:ascii="Cambria Math" w:hAnsi="Cambria Math" w:cstheme="minorHAnsi"/>
                </w:rPr>
                <m:t>t</m:t>
              </m:r>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sub>
            <m:sup>
              <m:r>
                <w:rPr>
                  <w:rFonts w:ascii="Cambria Math" w:hAnsi="Cambria Math" w:cstheme="minorHAnsi"/>
                </w:rPr>
                <m:t>​</m:t>
              </m:r>
            </m:sup>
            <m:e>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ct</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c</m:t>
                          </m:r>
                        </m:sub>
                      </m:sSub>
                    </m:e>
                  </m:d>
                </m:e>
                <m:sup>
                  <m:r>
                    <w:rPr>
                      <w:rFonts w:ascii="Cambria Math" w:hAnsi="Cambria Math" w:cstheme="minorHAnsi"/>
                    </w:rPr>
                    <m:t>2</m:t>
                  </m:r>
                </m:sup>
              </m:sSup>
            </m:e>
          </m:nary>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and each country is represented by its standardized trajectory vector</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m:rPr>
                  <m:sty m:val="bi"/>
                </m:rPr>
                <w:rPr>
                  <w:rFonts w:ascii="Cambria Math" w:hAnsi="Cambria Math" w:cstheme="minorHAnsi"/>
                </w:rPr>
                <m:t>Z</m:t>
              </m:r>
            </m:e>
            <m:sub>
              <m:r>
                <w:rPr>
                  <w:rFonts w:ascii="Cambria Math" w:hAnsi="Cambria Math" w:cstheme="minorHAnsi"/>
                </w:rPr>
                <m:t>c</m:t>
              </m:r>
            </m:sub>
          </m:sSub>
          <m:r>
            <m:rPr>
              <m:sty m:val="p"/>
            </m:rPr>
            <w:rPr>
              <w:rFonts w:ascii="Cambria Math" w:hAnsi="Cambria Math" w:cstheme="minorHAnsi"/>
            </w:rPr>
            <m:t>=</m:t>
          </m:r>
          <m:d>
            <m:dPr>
              <m:ctrlPr>
                <w:rPr>
                  <w:rFonts w:ascii="Cambria Math" w:hAnsi="Cambria Math" w:cstheme="minorHAnsi"/>
                </w:rPr>
              </m:ctrlPr>
            </m:dPr>
            <m:e>
              <m:m>
                <m:mPr>
                  <m:mcs>
                    <m:mc>
                      <m:mcPr>
                        <m:count m:val="1"/>
                        <m:mcJc m:val="center"/>
                      </m:mcPr>
                    </m:mc>
                  </m:mcs>
                  <m:ctrlPr>
                    <w:rPr>
                      <w:rFonts w:ascii="Cambria Math" w:hAnsi="Cambria Math" w:cstheme="minorHAnsi"/>
                    </w:rPr>
                  </m:ctrlPr>
                </m:mPr>
                <m:mr>
                  <m:e>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c</m:t>
                        </m:r>
                        <m:r>
                          <m:rPr>
                            <m:sty m:val="p"/>
                          </m:rPr>
                          <w:rPr>
                            <w:rFonts w:ascii="Cambria Math" w:hAnsi="Cambria Math" w:cstheme="minorHAnsi"/>
                          </w:rPr>
                          <m:t>,</m:t>
                        </m:r>
                        <m:r>
                          <w:rPr>
                            <w:rFonts w:ascii="Cambria Math" w:hAnsi="Cambria Math" w:cstheme="minorHAnsi"/>
                          </w:rPr>
                          <m:t>2014</m:t>
                        </m:r>
                      </m:sub>
                    </m:sSub>
                  </m:e>
                </m:mr>
                <m:mr>
                  <m:e>
                    <m:r>
                      <m:rPr>
                        <m:sty m:val="p"/>
                      </m:rPr>
                      <w:rPr>
                        <w:rFonts w:ascii="Cambria Math" w:hAnsi="Cambria Math" w:cstheme="minorHAnsi"/>
                      </w:rPr>
                      <m:t>…</m:t>
                    </m:r>
                  </m:e>
                </m:mr>
                <m:mr>
                  <m:e>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c</m:t>
                        </m:r>
                        <m:r>
                          <m:rPr>
                            <m:sty m:val="p"/>
                          </m:rPr>
                          <w:rPr>
                            <w:rFonts w:ascii="Cambria Math" w:hAnsi="Cambria Math" w:cstheme="minorHAnsi"/>
                          </w:rPr>
                          <m:t>,</m:t>
                        </m:r>
                        <m:r>
                          <w:rPr>
                            <w:rFonts w:ascii="Cambria Math" w:hAnsi="Cambria Math" w:cstheme="minorHAnsi"/>
                          </w:rPr>
                          <m:t>2020</m:t>
                        </m:r>
                      </m:sub>
                    </m:sSub>
                  </m:e>
                </m:mr>
              </m:m>
              <m:ctrlPr>
                <w:rPr>
                  <w:rFonts w:ascii="Cambria Math" w:hAnsi="Cambria Math" w:cstheme="minorHAnsi"/>
                  <w:i/>
                </w:rPr>
              </m:ctrlPr>
            </m:e>
          </m:d>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w:rPr>
                  <w:rFonts w:ascii="Cambria Math" w:hAnsi="Cambria Math" w:cstheme="minorHAnsi"/>
                </w:rPr>
                <m:t>7</m:t>
              </m:r>
            </m:sup>
          </m:sSup>
          <m:r>
            <m:rPr>
              <m:sty m:val="p"/>
            </m:rPr>
            <w:rPr>
              <w:rFonts w:ascii="Cambria Math" w:hAnsi="Cambria Math" w:cstheme="minorHAnsi"/>
            </w:rPr>
            <m:t>,</m:t>
          </m:r>
        </m:oMath>
      </m:oMathPara>
    </w:p>
    <w:p w:rsidR="00C3586C"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The standardisation removes level differences arising from market size and yields a scale- and location-invariant representation of each path. This method is consistent with standard practice in time-series similarity analysis (Montero-Manso &amp; Hyndman, 2021)</w:t>
      </w:r>
      <w:bookmarkStart w:id="1" w:name="donor-screening"/>
      <w:r>
        <w:rPr>
          <w:rFonts w:asciiTheme="minorHAnsi" w:hAnsiTheme="minorHAnsi" w:cstheme="minorHAnsi"/>
        </w:rPr>
        <w:t xml:space="preserve">. </w:t>
      </w:r>
      <w:r>
        <w:t xml:space="preserve">After standardization </w:t>
      </w:r>
      <m:oMath>
        <m:sSub>
          <m:sSubPr>
            <m:ctrlPr>
              <w:rPr>
                <w:rFonts w:ascii="Cambria Math" w:hAnsi="Cambria Math"/>
                <w:i/>
              </w:rPr>
            </m:ctrlPr>
          </m:sSubPr>
          <m:e>
            <m:r>
              <m:rPr>
                <m:sty m:val="bi"/>
              </m:rPr>
              <w:rPr>
                <w:rFonts w:ascii="Cambria Math" w:hAnsi="Cambria Math"/>
              </w:rPr>
              <m:t>Z</m:t>
            </m:r>
            <m:ctrlPr>
              <w:rPr>
                <w:rFonts w:ascii="Cambria Math" w:hAnsi="Cambria Math"/>
                <w:b/>
                <w:i/>
              </w:rPr>
            </m:ctrlPr>
          </m:e>
          <m:sub>
            <m:r>
              <w:rPr>
                <w:rFonts w:ascii="Cambria Math" w:hAnsi="Cambria Math"/>
              </w:rPr>
              <m:t>c</m:t>
            </m:r>
          </m:sub>
        </m:sSub>
      </m:oMath>
      <w:r>
        <w:t xml:space="preserve"> is taken and used to compute </w:t>
      </w:r>
      <w:r>
        <w:rPr>
          <w:rFonts w:asciiTheme="minorHAnsi" w:hAnsiTheme="minorHAnsi" w:cstheme="minorHAnsi"/>
        </w:rPr>
        <w:t>pairwise Euclidean distances between standardized pre-trend paths:</w:t>
      </w:r>
    </w:p>
    <w:p w:rsidR="00C3586C" w:rsidRPr="00C3586C" w:rsidRDefault="00382665" w:rsidP="00C3586C">
      <w:pPr>
        <w:spacing w:line="360" w:lineRule="auto"/>
        <w:ind w:firstLine="720"/>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j←k</m:t>
              </m:r>
            </m:sub>
          </m:sSub>
          <m:r>
            <w:rPr>
              <w:rFonts w:ascii="Cambria Math" w:hAnsi="Cambria Math" w:cstheme="minorHAnsi"/>
            </w:rPr>
            <m:t>=</m:t>
          </m:r>
          <m:rad>
            <m:radPr>
              <m:degHide m:val="1"/>
              <m:ctrlPr>
                <w:rPr>
                  <w:rFonts w:ascii="Cambria Math" w:hAnsi="Cambria Math" w:cstheme="minorHAnsi"/>
                </w:rPr>
              </m:ctrlPr>
            </m:radPr>
            <m:deg/>
            <m:e>
              <m:nary>
                <m:naryPr>
                  <m:chr m:val="∑"/>
                  <m:limLoc m:val="undOvr"/>
                  <m:ctrlPr>
                    <w:rPr>
                      <w:rFonts w:ascii="Cambria Math" w:hAnsi="Cambria Math" w:cstheme="minorHAnsi"/>
                    </w:rPr>
                  </m:ctrlPr>
                </m:naryPr>
                <m:sub>
                  <m:r>
                    <w:rPr>
                      <w:rFonts w:ascii="Cambria Math" w:hAnsi="Cambria Math" w:cstheme="minorHAnsi"/>
                    </w:rPr>
                    <m:t>t≤2020</m:t>
                  </m:r>
                </m:sub>
                <m:sup>
                  <m:r>
                    <w:rPr>
                      <w:rFonts w:ascii="Cambria Math" w:hAnsi="Cambria Math" w:cstheme="minorHAnsi"/>
                    </w:rPr>
                    <m:t xml:space="preserve"> </m:t>
                  </m:r>
                </m:sup>
                <m:e>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k,t</m:t>
                              </m:r>
                            </m:sub>
                          </m:sSub>
                        </m:e>
                      </m:d>
                    </m:e>
                    <m:sup>
                      <m:r>
                        <w:rPr>
                          <w:rFonts w:ascii="Cambria Math" w:hAnsi="Cambria Math" w:cstheme="minorHAnsi"/>
                        </w:rPr>
                        <m:t>2</m:t>
                      </m:r>
                    </m:sup>
                  </m:sSup>
                </m:e>
              </m:nary>
            </m:e>
          </m:rad>
        </m:oMath>
      </m:oMathPara>
    </w:p>
    <w:p w:rsidR="00C3586C" w:rsidRDefault="00C3586C" w:rsidP="00C3586C">
      <w:pPr>
        <w:spacing w:line="360" w:lineRule="auto"/>
        <w:ind w:firstLine="720"/>
        <w:rPr>
          <w:rFonts w:asciiTheme="minorHAnsi" w:hAnsiTheme="minorHAnsi" w:cstheme="minorHAnsi"/>
        </w:rPr>
      </w:pPr>
    </w:p>
    <w:p w:rsidR="00C3586C" w:rsidRPr="00C3586C" w:rsidRDefault="00E806B3" w:rsidP="000A19E0">
      <w:pPr>
        <w:spacing w:line="360" w:lineRule="auto"/>
        <w:rPr>
          <w:rFonts w:asciiTheme="minorHAnsi" w:hAnsiTheme="minorHAnsi" w:cstheme="minorHAnsi"/>
        </w:rPr>
      </w:pPr>
      <w:r>
        <w:rPr>
          <w:rFonts w:asciiTheme="minorHAnsi" w:hAnsiTheme="minorHAnsi" w:cstheme="minorHAnsi"/>
        </w:rPr>
        <w:t xml:space="preserve">where </w:t>
      </w:r>
      <m:oMath>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j←k</m:t>
            </m:r>
          </m:sub>
        </m:sSub>
      </m:oMath>
      <w:r>
        <w:rPr>
          <w:rFonts w:asciiTheme="minorHAnsi" w:hAnsiTheme="minorHAnsi" w:cstheme="minorHAnsi"/>
        </w:rPr>
        <w:t xml:space="preserve"> denotes the Euclidean distance between country </w:t>
      </w:r>
      <m:oMath>
        <m:r>
          <w:rPr>
            <w:rFonts w:ascii="Cambria Math" w:hAnsi="Cambria Math" w:cstheme="minorHAnsi"/>
          </w:rPr>
          <m:t>j</m:t>
        </m:r>
      </m:oMath>
      <w:r>
        <w:rPr>
          <w:rFonts w:asciiTheme="minorHAnsi" w:hAnsiTheme="minorHAnsi" w:cstheme="minorHAnsi"/>
        </w:rPr>
        <w:t xml:space="preserve"> and all the other countries in the sample. For each EU origin market </w:t>
      </w:r>
      <m:oMath>
        <m:r>
          <w:rPr>
            <w:rFonts w:ascii="Cambria Math" w:hAnsi="Cambria Math" w:cstheme="minorHAnsi"/>
          </w:rPr>
          <m:t>j</m:t>
        </m:r>
      </m:oMath>
      <w:r>
        <w:rPr>
          <w:rFonts w:asciiTheme="minorHAnsi" w:hAnsiTheme="minorHAnsi" w:cstheme="minorHAnsi"/>
        </w:rPr>
        <w:t>, we select the 3 non-EU origins with the minimum trajectory distance:</w:t>
      </w:r>
    </w:p>
    <w:p w:rsidR="00C3586C" w:rsidRPr="00C3586C" w:rsidRDefault="00382665" w:rsidP="00C3586C">
      <w:pPr>
        <w:spacing w:line="360" w:lineRule="auto"/>
        <w:ind w:firstLine="720"/>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argmin</m:t>
              </m:r>
            </m:e>
            <m:sub>
              <m:r>
                <w:rPr>
                  <w:rFonts w:ascii="Cambria Math" w:hAnsi="Cambria Math" w:cstheme="minorHAnsi"/>
                </w:rPr>
                <m:t>k∉</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sub>
          </m:sSub>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j←k</m:t>
              </m:r>
            </m:sub>
          </m:sSub>
          <m:r>
            <w:rPr>
              <w:rFonts w:ascii="Cambria Math" w:hAnsi="Cambria Math" w:cstheme="minorHAnsi"/>
            </w:rPr>
            <m:t>  </m:t>
          </m:r>
          <m:d>
            <m:dPr>
              <m:begChr m:val="["/>
              <m:endChr m:val="]"/>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=3</m:t>
              </m:r>
            </m:e>
          </m:d>
        </m:oMath>
      </m:oMathPara>
    </w:p>
    <w:p w:rsidR="00D22D75" w:rsidRPr="00C3586C" w:rsidRDefault="001F394D" w:rsidP="000A19E0">
      <w:pPr>
        <w:pStyle w:val="FirstParagraph"/>
        <w:spacing w:after="0" w:line="360" w:lineRule="auto"/>
        <w:rPr>
          <w:rFonts w:asciiTheme="minorHAnsi" w:hAnsiTheme="minorHAnsi" w:cstheme="minorHAnsi"/>
        </w:rPr>
      </w:pPr>
      <w:bookmarkStart w:id="2" w:name="synthetic-control-weights"/>
      <w:bookmarkEnd w:id="1"/>
      <w:r>
        <w:rPr>
          <w:rFonts w:asciiTheme="minorHAnsi" w:hAnsiTheme="minorHAnsi" w:cstheme="minorHAnsi"/>
        </w:rPr>
        <w:lastRenderedPageBreak/>
        <w:t xml:space="preserve">Once the donor sets are fixed, the standardized series play no further role, and estimation proceeds on the logged levels so that each synthetic control tracks the actual scale of its treated series. To proceed further we stack the pre-treatment outcomes of treated country </w:t>
      </w:r>
      <m:oMath>
        <m:r>
          <w:rPr>
            <w:rFonts w:ascii="Cambria Math" w:hAnsi="Cambria Math" w:cstheme="minorHAnsi"/>
          </w:rPr>
          <m:t>j</m:t>
        </m:r>
      </m:oMath>
      <w:r>
        <w:rPr>
          <w:rFonts w:asciiTheme="minorHAnsi" w:hAnsiTheme="minorHAnsi" w:cstheme="minorHAnsi"/>
        </w:rPr>
        <w:t xml:space="preserve"> as </w:t>
      </w:r>
      <m:oMath>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jt</m:t>
                    </m:r>
                  </m:sub>
                </m:sSub>
              </m:e>
            </m:d>
          </m:e>
          <m:sub>
            <m:r>
              <w:rPr>
                <w:rFonts w:ascii="Cambria Math" w:hAnsi="Cambria Math" w:cstheme="minorHAnsi"/>
              </w:rPr>
              <m:t>t</m:t>
            </m:r>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sub>
        </m:sSub>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m:rPr>
                <m:sty m:val="p"/>
              </m:rPr>
              <w:rPr>
                <w:rFonts w:ascii="Cambria Math" w:hAnsi="Cambria Math" w:cstheme="minorHAnsi"/>
              </w:rPr>
              <m:t>7</m:t>
            </m:r>
          </m:sup>
        </m:sSup>
      </m:oMath>
      <w:r>
        <w:rPr>
          <w:rFonts w:asciiTheme="minorHAnsi" w:hAnsiTheme="minorHAnsi" w:cstheme="minorHAnsi"/>
        </w:rPr>
        <w:t xml:space="preserve"> and collect the corresponding donor trajectories columnwise in the matrix </w:t>
      </w:r>
      <m:oMath>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m:rPr>
                <m:sty m:val="p"/>
              </m:rPr>
              <w:rPr>
                <w:rFonts w:ascii="Cambria Math" w:hAnsi="Cambria Math" w:cstheme="minorHAnsi"/>
              </w:rPr>
              <m:t>7×</m:t>
            </m:r>
            <m:r>
              <w:rPr>
                <w:rFonts w:ascii="Cambria Math" w:hAnsi="Cambria Math" w:cstheme="minorHAnsi"/>
              </w:rPr>
              <m:t>m</m:t>
            </m:r>
          </m:sup>
        </m:sSup>
      </m:oMath>
      <w:r>
        <w:rPr>
          <w:rFonts w:asciiTheme="minorHAnsi" w:hAnsiTheme="minorHAnsi" w:cstheme="minorHAnsi"/>
        </w:rPr>
        <w:t xml:space="preserve">. The weight vector for country </w:t>
      </w:r>
      <m:oMath>
        <m:r>
          <w:rPr>
            <w:rFonts w:ascii="Cambria Math" w:hAnsi="Cambria Math" w:cstheme="minorHAnsi"/>
          </w:rPr>
          <m:t>j</m:t>
        </m:r>
      </m:oMath>
      <w:r>
        <w:rPr>
          <w:rFonts w:asciiTheme="minorHAnsi" w:hAnsiTheme="minorHAnsi" w:cstheme="minorHAnsi"/>
        </w:rPr>
        <w:t xml:space="preserve"> solves the quadratic programme: </w:t>
      </w:r>
    </w:p>
    <w:p w:rsidR="00E806B3" w:rsidRDefault="00382665" w:rsidP="00C3586C">
      <w:pPr>
        <w:pStyle w:val="FirstParagraph"/>
        <w:spacing w:after="0" w:line="360" w:lineRule="auto"/>
        <w:rPr>
          <w:rFonts w:asciiTheme="minorHAnsi" w:hAnsiTheme="minorHAnsi" w:cstheme="minorHAnsi"/>
        </w:rPr>
      </w:pPr>
      <m:oMathPara>
        <m:oMath>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w</m:t>
                  </m:r>
                </m:e>
              </m:acc>
            </m:e>
            <m:sub>
              <m:r>
                <w:rPr>
                  <w:rFonts w:ascii="Cambria Math" w:hAnsi="Cambria Math" w:cstheme="minorHAnsi"/>
                </w:rPr>
                <m:t>j</m:t>
              </m:r>
            </m:sub>
          </m:sSub>
          <m:r>
            <w:rPr>
              <w:rFonts w:ascii="Cambria Math" w:hAnsi="Cambria Math" w:cstheme="minorHAnsi"/>
            </w:rPr>
            <m:t>=</m:t>
          </m:r>
          <m:func>
            <m:funcPr>
              <m:ctrlPr>
                <w:rPr>
                  <w:rFonts w:ascii="Cambria Math" w:hAnsi="Cambria Math" w:cstheme="minorHAnsi"/>
                  <w:i/>
                </w:rPr>
              </m:ctrlPr>
            </m:funcPr>
            <m:fName>
              <m:limLow>
                <m:limLowPr>
                  <m:ctrlPr>
                    <w:rPr>
                      <w:rFonts w:ascii="Cambria Math" w:hAnsi="Cambria Math" w:cstheme="minorHAnsi"/>
                      <w:i/>
                    </w:rPr>
                  </m:ctrlPr>
                </m:limLowPr>
                <m:e>
                  <m:r>
                    <m:rPr>
                      <m:sty m:val="p"/>
                    </m:rPr>
                    <w:rPr>
                      <w:rFonts w:ascii="Cambria Math" w:hAnsi="Cambria Math" w:cstheme="minorHAnsi"/>
                    </w:rPr>
                    <m:t>min</m:t>
                  </m:r>
                </m:e>
                <m:lim>
                  <m:r>
                    <w:rPr>
                      <w:rFonts w:ascii="Cambria Math" w:hAnsi="Cambria Math" w:cstheme="minorHAnsi"/>
                    </w:rPr>
                    <m:t>w∈</m:t>
                  </m:r>
                  <m:sSup>
                    <m:sSupPr>
                      <m:ctrlPr>
                        <w:rPr>
                          <w:rFonts w:ascii="Cambria Math" w:hAnsi="Cambria Math" w:cstheme="minorHAnsi"/>
                          <w:i/>
                        </w:rPr>
                      </m:ctrlPr>
                    </m:sSupPr>
                    <m:e>
                      <m:r>
                        <m:rPr>
                          <m:sty m:val="p"/>
                        </m:rPr>
                        <w:rPr>
                          <w:rFonts w:ascii="Cambria Math" w:hAnsi="Cambria Math" w:cstheme="minorHAnsi"/>
                        </w:rPr>
                        <m:t>Δ</m:t>
                      </m:r>
                    </m:e>
                    <m:sup>
                      <m:r>
                        <w:rPr>
                          <w:rFonts w:ascii="Cambria Math" w:hAnsi="Cambria Math" w:cstheme="minorHAnsi"/>
                        </w:rPr>
                        <m:t>m-1</m:t>
                      </m:r>
                    </m:sup>
                  </m:sSup>
                </m:lim>
              </m:limLow>
            </m:fName>
            <m:e>
              <m:func>
                <m:funcPr>
                  <m:ctrlPr>
                    <w:rPr>
                      <w:rFonts w:ascii="Cambria Math" w:hAnsi="Cambria Math" w:cstheme="minorHAnsi"/>
                      <w:i/>
                    </w:rPr>
                  </m:ctrlPr>
                </m:funcPr>
                <m:fName>
                  <m:r>
                    <m:rPr>
                      <m:sty m:val="p"/>
                    </m:rPr>
                    <w:rPr>
                      <w:rFonts w:ascii="Cambria Math" w:hAnsi="Cambria Math" w:cstheme="minorHAnsi"/>
                    </w:rPr>
                    <m:t>min</m:t>
                  </m:r>
                </m:fName>
                <m:e>
                  <m:sSubSup>
                    <m:sSubSupPr>
                      <m:ctrlPr>
                        <w:rPr>
                          <w:rFonts w:ascii="Cambria Math" w:hAnsi="Cambria Math" w:cstheme="minorHAnsi"/>
                        </w:rPr>
                      </m:ctrlPr>
                    </m:sSubSupPr>
                    <m:e>
                      <m:d>
                        <m:dPr>
                          <m:begChr m:val="∥"/>
                          <m:endChr m:val="∥"/>
                          <m:ctrlPr>
                            <w:rPr>
                              <w:rFonts w:ascii="Cambria Math" w:hAnsi="Cambria Math" w:cstheme="minorHAnsi"/>
                            </w:rPr>
                          </m:ctrlPr>
                        </m:dPr>
                        <m:e>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bi"/>
                            </m:rPr>
                            <w:rPr>
                              <w:rFonts w:ascii="Cambria Math" w:hAnsi="Cambria Math" w:cstheme="minorHAnsi"/>
                            </w:rPr>
                            <m:t>w</m:t>
                          </m:r>
                        </m:e>
                      </m:d>
                    </m:e>
                    <m:sub>
                      <m:r>
                        <w:rPr>
                          <w:rFonts w:ascii="Cambria Math" w:hAnsi="Cambria Math" w:cstheme="minorHAnsi"/>
                        </w:rPr>
                        <m:t>2</m:t>
                      </m:r>
                    </m:sub>
                    <m:sup>
                      <m:r>
                        <w:rPr>
                          <w:rFonts w:ascii="Cambria Math" w:hAnsi="Cambria Math" w:cstheme="minorHAnsi"/>
                        </w:rPr>
                        <m:t>2</m:t>
                      </m:r>
                    </m:sup>
                  </m:sSubSup>
                </m:e>
              </m:func>
            </m:e>
          </m:func>
          <m:r>
            <w:rPr>
              <w:rFonts w:ascii="Cambria Math" w:hAnsi="Cambria Math" w:cstheme="minorHAnsi"/>
            </w:rPr>
            <m:t xml:space="preserve">,  </m:t>
          </m:r>
          <m:sSup>
            <m:sSupPr>
              <m:ctrlPr>
                <w:rPr>
                  <w:rFonts w:ascii="Cambria Math" w:hAnsi="Cambria Math" w:cstheme="minorHAnsi"/>
                  <w:i/>
                </w:rPr>
              </m:ctrlPr>
            </m:sSupPr>
            <m:e>
              <m:r>
                <m:rPr>
                  <m:sty m:val="p"/>
                </m:rPr>
                <w:rPr>
                  <w:rFonts w:ascii="Cambria Math" w:hAnsi="Cambria Math" w:cstheme="minorHAnsi"/>
                </w:rPr>
                <m:t>Δ</m:t>
              </m:r>
            </m:e>
            <m:sup>
              <m:r>
                <w:rPr>
                  <w:rFonts w:ascii="Cambria Math" w:hAnsi="Cambria Math" w:cstheme="minorHAnsi"/>
                </w:rPr>
                <m:t>m-1</m:t>
              </m:r>
            </m:sup>
          </m:sSup>
          <m:r>
            <w:rPr>
              <w:rFonts w:ascii="Cambria Math" w:hAnsi="Cambria Math" w:cstheme="minorHAnsi"/>
            </w:rPr>
            <m:t>=</m:t>
          </m:r>
          <m:d>
            <m:dPr>
              <m:begChr m:val="{"/>
              <m:endChr m:val="}"/>
              <m:ctrlPr>
                <w:rPr>
                  <w:rFonts w:ascii="Cambria Math" w:hAnsi="Cambria Math" w:cstheme="minorHAnsi"/>
                  <w:i/>
                </w:rPr>
              </m:ctrlPr>
            </m:dPr>
            <m:e>
              <m:r>
                <m:rPr>
                  <m:sty m:val="bi"/>
                </m:rPr>
                <w:rPr>
                  <w:rFonts w:ascii="Cambria Math" w:hAnsi="Cambria Math" w:cstheme="minorHAnsi"/>
                </w:rPr>
                <m:t>w</m:t>
              </m:r>
              <m:r>
                <w:rPr>
                  <w:rFonts w:ascii="Cambria Math" w:hAnsi="Cambria Math" w:cstheme="minorHAnsi"/>
                </w:rPr>
                <m:t>∈</m:t>
              </m:r>
              <m:sSup>
                <m:sSupPr>
                  <m:ctrlPr>
                    <w:rPr>
                      <w:rFonts w:ascii="Cambria Math" w:hAnsi="Cambria Math" w:cstheme="minorHAnsi"/>
                      <w:i/>
                    </w:rPr>
                  </m:ctrlPr>
                </m:sSupPr>
                <m:e>
                  <m:r>
                    <m:rPr>
                      <m:scr m:val="double-struck"/>
                    </m:rPr>
                    <w:rPr>
                      <w:rFonts w:ascii="Cambria Math" w:hAnsi="Cambria Math" w:cstheme="minorHAnsi"/>
                    </w:rPr>
                    <m:t>R</m:t>
                  </m:r>
                </m:e>
                <m:sup>
                  <m:r>
                    <w:rPr>
                      <w:rFonts w:ascii="Cambria Math" w:hAnsi="Cambria Math" w:cstheme="minorHAnsi"/>
                    </w:rPr>
                    <m:t>m</m:t>
                  </m:r>
                </m:sup>
              </m:sSup>
              <m:r>
                <w:rPr>
                  <w:rFonts w:ascii="Cambria Math" w:hAnsi="Cambria Math" w:cstheme="minorHAnsi"/>
                </w:rPr>
                <m:t>:</m:t>
              </m:r>
              <m:r>
                <m:rPr>
                  <m:sty m:val="bi"/>
                </m:rPr>
                <w:rPr>
                  <w:rFonts w:ascii="Cambria Math" w:hAnsi="Cambria Math" w:cstheme="minorHAnsi"/>
                </w:rPr>
                <m:t>w</m:t>
              </m:r>
              <m:r>
                <w:rPr>
                  <w:rFonts w:ascii="Cambria Math" w:hAnsi="Cambria Math" w:cstheme="minorHAnsi"/>
                </w:rPr>
                <m:t xml:space="preserve">≥0, </m:t>
              </m:r>
              <m:sSup>
                <m:sSupPr>
                  <m:ctrlPr>
                    <w:rPr>
                      <w:rFonts w:ascii="Cambria Math" w:hAnsi="Cambria Math" w:cstheme="minorHAnsi"/>
                      <w:i/>
                    </w:rPr>
                  </m:ctrlPr>
                </m:sSupPr>
                <m:e>
                  <m:r>
                    <m:rPr>
                      <m:sty m:val="bi"/>
                    </m:rPr>
                    <w:rPr>
                      <w:rFonts w:ascii="Cambria Math" w:hAnsi="Cambria Math" w:cstheme="minorHAnsi"/>
                    </w:rPr>
                    <m:t>1</m:t>
                  </m:r>
                </m:e>
                <m:sup>
                  <m:r>
                    <w:rPr>
                      <w:rFonts w:ascii="Cambria Math" w:hAnsi="Cambria Math" w:cstheme="minorHAnsi"/>
                    </w:rPr>
                    <m:t>'</m:t>
                  </m:r>
                </m:sup>
              </m:sSup>
              <m:r>
                <m:rPr>
                  <m:sty m:val="bi"/>
                </m:rPr>
                <w:rPr>
                  <w:rFonts w:ascii="Cambria Math" w:hAnsi="Cambria Math" w:cstheme="minorHAnsi"/>
                </w:rPr>
                <m:t>w</m:t>
              </m:r>
              <m:r>
                <w:rPr>
                  <w:rFonts w:ascii="Cambria Math" w:hAnsi="Cambria Math" w:cstheme="minorHAnsi"/>
                </w:rPr>
                <m:t>=</m:t>
              </m:r>
              <m:r>
                <m:rPr>
                  <m:sty m:val="bi"/>
                </m:rPr>
                <w:rPr>
                  <w:rFonts w:ascii="Cambria Math" w:hAnsi="Cambria Math" w:cstheme="minorHAnsi"/>
                </w:rPr>
                <m:t>1</m:t>
              </m:r>
            </m:e>
          </m:d>
        </m:oMath>
      </m:oMathPara>
    </w:p>
    <w:p w:rsidR="00D22D75" w:rsidRPr="00C3586C" w:rsidRDefault="001F394D" w:rsidP="00E806B3">
      <w:pPr>
        <w:pStyle w:val="FirstParagraph"/>
        <w:spacing w:after="0" w:line="360" w:lineRule="auto"/>
        <w:rPr>
          <w:rFonts w:asciiTheme="minorHAnsi" w:hAnsiTheme="minorHAnsi" w:cstheme="minorHAnsi"/>
        </w:rPr>
      </w:pPr>
      <w:r>
        <w:rPr>
          <w:rFonts w:asciiTheme="minorHAnsi" w:hAnsiTheme="minorHAnsi" w:cstheme="minorHAnsi"/>
        </w:rPr>
        <w:t xml:space="preserve">where </w:t>
      </w:r>
      <m:oMath>
        <m:sSup>
          <m:sSupPr>
            <m:ctrlPr>
              <w:rPr>
                <w:rFonts w:ascii="Cambria Math" w:hAnsi="Cambria Math" w:cstheme="minorHAnsi"/>
              </w:rPr>
            </m:ctrlPr>
          </m:sSupPr>
          <m:e>
            <m:r>
              <m:rPr>
                <m:sty m:val="p"/>
              </m:rPr>
              <w:rPr>
                <w:rFonts w:ascii="Cambria Math" w:hAnsi="Cambria Math" w:cstheme="minorHAnsi"/>
              </w:rPr>
              <m:t>Δ</m:t>
            </m:r>
          </m:e>
          <m:sup>
            <m:r>
              <w:rPr>
                <w:rFonts w:ascii="Cambria Math" w:hAnsi="Cambria Math" w:cstheme="minorHAnsi"/>
              </w:rPr>
              <m:t>m</m:t>
            </m:r>
            <m:r>
              <m:rPr>
                <m:sty m:val="p"/>
              </m:rPr>
              <w:rPr>
                <w:rFonts w:ascii="Cambria Math" w:hAnsi="Cambria Math" w:cstheme="minorHAnsi"/>
              </w:rPr>
              <m:t>-</m:t>
            </m:r>
            <m:r>
              <w:rPr>
                <w:rFonts w:ascii="Cambria Math" w:hAnsi="Cambria Math" w:cstheme="minorHAnsi"/>
              </w:rPr>
              <m:t>1</m:t>
            </m:r>
          </m:sup>
        </m:sSup>
      </m:oMath>
      <w:r>
        <w:rPr>
          <w:rFonts w:asciiTheme="minorHAnsi" w:hAnsiTheme="minorHAnsi" w:cstheme="minorHAnsi"/>
        </w:rPr>
        <w:t xml:space="preserve"> is the unit simplex. The structure of the solution follows from the first-order optimality conditions, which can be written using the Lagrangian,</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m:rPr>
                  <m:scr m:val="script"/>
                  <m:sty m:val="p"/>
                </m:rPr>
                <w:rPr>
                  <w:rFonts w:ascii="Cambria Math" w:hAnsi="Cambria Math" w:cstheme="minorHAnsi"/>
                </w:rPr>
                <m:t>L</m:t>
              </m:r>
            </m:e>
            <m:sub>
              <m:r>
                <w:rPr>
                  <w:rFonts w:ascii="Cambria Math" w:hAnsi="Cambria Math" w:cstheme="minorHAnsi"/>
                </w:rPr>
                <m:t>j</m:t>
              </m:r>
            </m:sub>
          </m:sSub>
          <m:r>
            <m:rPr>
              <m:sty m:val="p"/>
            </m:rPr>
            <w:rPr>
              <w:rFonts w:ascii="Cambria Math" w:hAnsi="Cambria Math" w:cstheme="minorHAnsi"/>
            </w:rPr>
            <m:t>(</m:t>
          </m:r>
          <m:r>
            <m:rPr>
              <m:sty m:val="bi"/>
            </m:rPr>
            <w:rPr>
              <w:rFonts w:ascii="Cambria Math" w:hAnsi="Cambria Math" w:cstheme="minorHAnsi"/>
            </w:rPr>
            <m:t>w</m:t>
          </m:r>
          <m:r>
            <m:rPr>
              <m:sty m:val="p"/>
            </m:rPr>
            <w:rPr>
              <w:rFonts w:ascii="Cambria Math" w:hAnsi="Cambria Math" w:cstheme="minorHAnsi"/>
            </w:rPr>
            <m:t>,</m:t>
          </m:r>
          <m:r>
            <w:rPr>
              <w:rFonts w:ascii="Cambria Math" w:hAnsi="Cambria Math" w:cstheme="minorHAnsi"/>
            </w:rPr>
            <m:t>λ</m:t>
          </m:r>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sSubSup>
            <m:sSubSupPr>
              <m:ctrlPr>
                <w:rPr>
                  <w:rFonts w:ascii="Cambria Math" w:hAnsi="Cambria Math" w:cstheme="minorHAnsi"/>
                </w:rPr>
              </m:ctrlPr>
            </m:sSubSupPr>
            <m:e>
              <m:d>
                <m:dPr>
                  <m:begChr m:val="∥"/>
                  <m:endChr m:val="∥"/>
                  <m:ctrlPr>
                    <w:rPr>
                      <w:rFonts w:ascii="Cambria Math" w:hAnsi="Cambria Math" w:cstheme="minorHAnsi"/>
                    </w:rPr>
                  </m:ctrlPr>
                </m:dPr>
                <m:e>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bi"/>
                    </m:rPr>
                    <w:rPr>
                      <w:rFonts w:ascii="Cambria Math" w:hAnsi="Cambria Math" w:cstheme="minorHAnsi"/>
                    </w:rPr>
                    <m:t>w</m:t>
                  </m:r>
                </m:e>
              </m:d>
            </m:e>
            <m:sub>
              <m:r>
                <w:rPr>
                  <w:rFonts w:ascii="Cambria Math" w:hAnsi="Cambria Math" w:cstheme="minorHAnsi"/>
                </w:rPr>
                <m:t>2</m:t>
              </m:r>
            </m:sub>
            <m:sup>
              <m:r>
                <w:rPr>
                  <w:rFonts w:ascii="Cambria Math" w:hAnsi="Cambria Math" w:cstheme="minorHAnsi"/>
                </w:rPr>
                <m:t>2</m:t>
              </m:r>
            </m:sup>
          </m:sSubSup>
          <m:r>
            <m:rPr>
              <m:sty m:val="p"/>
            </m:rPr>
            <w:rPr>
              <w:rFonts w:ascii="Cambria Math" w:hAnsi="Cambria Math" w:cstheme="minorHAnsi"/>
            </w:rPr>
            <m:t>+</m:t>
          </m:r>
          <m:r>
            <w:rPr>
              <w:rFonts w:ascii="Cambria Math" w:hAnsi="Cambria Math" w:cstheme="minorHAnsi"/>
            </w:rPr>
            <m:t>λ</m:t>
          </m:r>
          <m:d>
            <m:dPr>
              <m:ctrlPr>
                <w:rPr>
                  <w:rFonts w:ascii="Cambria Math" w:hAnsi="Cambria Math" w:cstheme="minorHAnsi"/>
                </w:rPr>
              </m:ctrlPr>
            </m:dPr>
            <m:e>
              <m:sSup>
                <m:sSupPr>
                  <m:ctrlPr>
                    <w:rPr>
                      <w:rFonts w:ascii="Cambria Math" w:hAnsi="Cambria Math" w:cstheme="minorHAnsi"/>
                    </w:rPr>
                  </m:ctrlPr>
                </m:sSupPr>
                <m:e>
                  <m:r>
                    <m:rPr>
                      <m:sty m:val="b"/>
                    </m:rPr>
                    <w:rPr>
                      <w:rFonts w:ascii="Cambria Math" w:hAnsi="Cambria Math" w:cstheme="minorHAnsi"/>
                    </w:rPr>
                    <m:t>1</m:t>
                  </m:r>
                </m:e>
                <m:sup>
                  <m:r>
                    <m:rPr>
                      <m:sty m:val="p"/>
                    </m:rPr>
                    <w:rPr>
                      <w:rFonts w:ascii="Cambria Math" w:hAnsi="Cambria Math" w:cstheme="minorHAnsi"/>
                    </w:rPr>
                    <m:t>'</m:t>
                  </m:r>
                </m:sup>
              </m:sSup>
              <m:r>
                <m:rPr>
                  <m:sty m:val="bi"/>
                </m:rPr>
                <w:rPr>
                  <w:rFonts w:ascii="Cambria Math" w:hAnsi="Cambria Math" w:cstheme="minorHAnsi"/>
                </w:rPr>
                <m:t>w</m:t>
              </m:r>
              <m:r>
                <m:rPr>
                  <m:sty m:val="p"/>
                </m:rPr>
                <w:rPr>
                  <w:rFonts w:ascii="Cambria Math" w:hAnsi="Cambria Math" w:cstheme="minorHAnsi"/>
                </w:rPr>
                <m:t>-</m:t>
              </m:r>
              <m:r>
                <w:rPr>
                  <w:rFonts w:ascii="Cambria Math" w:hAnsi="Cambria Math" w:cstheme="minorHAnsi"/>
                </w:rPr>
                <m:t>1</m:t>
              </m:r>
            </m:e>
          </m:d>
          <m:r>
            <m:rPr>
              <m:sty m:val="p"/>
            </m:rPr>
            <w:rPr>
              <w:rFonts w:ascii="Cambria Math" w:hAnsi="Cambria Math" w:cstheme="minorHAnsi"/>
            </w:rPr>
            <m:t>-</m:t>
          </m:r>
          <m:sSubSup>
            <m:sSubSupPr>
              <m:ctrlPr>
                <w:rPr>
                  <w:rFonts w:ascii="Cambria Math" w:hAnsi="Cambria Math" w:cstheme="minorHAnsi"/>
                </w:rPr>
              </m:ctrlPr>
            </m:sSubSupPr>
            <m:e>
              <m:r>
                <m:rPr>
                  <m:sty m:val="bi"/>
                </m:rPr>
                <w:rPr>
                  <w:rFonts w:ascii="Cambria Math" w:hAnsi="Cambria Math" w:cstheme="minorHAnsi"/>
                </w:rPr>
                <m:t>ν</m:t>
              </m:r>
            </m:e>
            <m:sub>
              <m:r>
                <w:rPr>
                  <w:rFonts w:ascii="Cambria Math" w:hAnsi="Cambria Math" w:cstheme="minorHAnsi"/>
                </w:rPr>
                <m:t>j</m:t>
              </m:r>
            </m:sub>
            <m:sup>
              <m:r>
                <m:rPr>
                  <m:sty m:val="p"/>
                </m:rPr>
                <w:rPr>
                  <w:rFonts w:ascii="Cambria Math" w:hAnsi="Cambria Math" w:cstheme="minorHAnsi"/>
                </w:rPr>
                <m:t>'</m:t>
              </m:r>
            </m:sup>
          </m:sSubSup>
          <m:r>
            <m:rPr>
              <m:sty m:val="bi"/>
            </m:rPr>
            <w:rPr>
              <w:rFonts w:ascii="Cambria Math" w:hAnsi="Cambria Math" w:cstheme="minorHAnsi"/>
            </w:rPr>
            <m:t>w</m:t>
          </m:r>
          <m:r>
            <m:rPr>
              <m:sty m:val="p"/>
            </m:rPr>
            <w:rPr>
              <w:rFonts w:ascii="Cambria Math" w:hAnsi="Cambria Math" w:cstheme="minorHAnsi"/>
            </w:rPr>
            <m:t>.</m:t>
          </m:r>
        </m:oMath>
      </m:oMathPara>
    </w:p>
    <w:p w:rsidR="00D22D75" w:rsidRPr="00C3586C" w:rsidRDefault="001F394D" w:rsidP="00E806B3">
      <w:pPr>
        <w:pStyle w:val="FirstParagraph"/>
        <w:spacing w:after="0" w:line="360" w:lineRule="auto"/>
        <w:rPr>
          <w:rFonts w:asciiTheme="minorHAnsi" w:hAnsiTheme="minorHAnsi" w:cstheme="minorHAnsi"/>
        </w:rPr>
      </w:pPr>
      <w:r>
        <w:rPr>
          <w:rFonts w:asciiTheme="minorHAnsi" w:hAnsiTheme="minorHAnsi" w:cstheme="minorHAnsi"/>
        </w:rPr>
        <w:t xml:space="preserve">where </w:t>
      </w:r>
      <m:oMath>
        <m:r>
          <w:rPr>
            <w:rFonts w:ascii="Cambria Math" w:hAnsi="Cambria Math" w:cstheme="minorHAnsi"/>
          </w:rPr>
          <m:t>λ</m:t>
        </m:r>
      </m:oMath>
      <w:r>
        <w:rPr>
          <w:rFonts w:asciiTheme="minorHAnsi" w:hAnsiTheme="minorHAnsi" w:cstheme="minorHAnsi"/>
        </w:rPr>
        <w:t xml:space="preserve"> is the multiplier on the adding-up constraint and </w:t>
      </w:r>
      <m:oMath>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jk</m:t>
            </m:r>
          </m:sub>
        </m:sSub>
        <m:sSub>
          <m:sSubPr>
            <m:ctrlPr>
              <w:rPr>
                <w:rFonts w:ascii="Cambria Math" w:hAnsi="Cambria Math" w:cstheme="minorHAnsi"/>
              </w:rPr>
            </m:ctrlPr>
          </m:sSubPr>
          <m:e>
            <m:r>
              <m:rPr>
                <m:sty m:val="p"/>
              </m:rPr>
              <w:rPr>
                <w:rFonts w:ascii="Cambria Math" w:hAnsi="Cambria Math" w:cstheme="minorHAnsi"/>
              </w:rPr>
              <m:t>)</m:t>
            </m:r>
          </m:e>
          <m:sub>
            <m:r>
              <w:rPr>
                <w:rFonts w:ascii="Cambria Math" w:hAnsi="Cambria Math" w:cstheme="minorHAnsi"/>
              </w:rPr>
              <m:t>k</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oMath>
      <w:r>
        <w:rPr>
          <w:rFonts w:asciiTheme="minorHAnsi" w:hAnsiTheme="minorHAnsi" w:cstheme="minorHAnsi"/>
        </w:rPr>
        <w:t xml:space="preserve"> is the vector of multipliers on the non-negativity constraints, with </w:t>
      </w:r>
      <m:oMath>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r>
          <m:rPr>
            <m:sty m:val="b"/>
          </m:rPr>
          <w:rPr>
            <w:rFonts w:ascii="Cambria Math" w:hAnsi="Cambria Math" w:cstheme="minorHAnsi"/>
          </w:rPr>
          <m:t>0</m:t>
        </m:r>
      </m:oMath>
      <w:r>
        <w:rPr>
          <w:rFonts w:asciiTheme="minorHAnsi" w:hAnsiTheme="minorHAnsi" w:cstheme="minorHAnsi"/>
        </w:rPr>
        <w:t>. The Karush–Kuhn–Tucker (KKT) conditions are</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eqArr>
            <m:eqArrPr>
              <m:ctrlPr>
                <w:rPr>
                  <w:rFonts w:ascii="Cambria Math" w:hAnsi="Cambria Math" w:cstheme="minorHAnsi"/>
                </w:rPr>
              </m:ctrlPr>
            </m:eqArrPr>
            <m:e>
              <m:r>
                <m:rPr>
                  <m:sty m:val="p"/>
                </m:rPr>
                <w:rPr>
                  <w:rFonts w:ascii="Cambria Math" w:hAnsi="Cambria Math" w:cstheme="minorHAnsi"/>
                </w:rPr>
                <m:t>-</m:t>
              </m:r>
              <m:r>
                <w:rPr>
                  <w:rFonts w:ascii="Cambria Math" w:hAnsi="Cambria Math" w:cstheme="minorHAnsi"/>
                </w:rPr>
                <m:t>2</m:t>
              </m:r>
              <m:sSubSup>
                <m:sSubSupPr>
                  <m:ctrlPr>
                    <w:rPr>
                      <w:rFonts w:ascii="Cambria Math" w:hAnsi="Cambria Math" w:cstheme="minorHAnsi"/>
                    </w:rPr>
                  </m:ctrlPr>
                </m:sSubSup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up>
                  <m:r>
                    <m:rPr>
                      <m:sty m:val="p"/>
                    </m:rPr>
                    <w:rPr>
                      <w:rFonts w:ascii="Cambria Math" w:hAnsi="Cambria Math" w:cstheme="minorHAnsi"/>
                    </w:rPr>
                    <m:t>'</m:t>
                  </m:r>
                </m:sup>
              </m:sSubSup>
              <m:d>
                <m:dPr>
                  <m:ctrlPr>
                    <w:rPr>
                      <w:rFonts w:ascii="Cambria Math" w:hAnsi="Cambria Math" w:cstheme="minorHAnsi"/>
                    </w:rPr>
                  </m:ctrlPr>
                </m:dPr>
                <m:e>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sSub>
                    <m:sSubPr>
                      <m:ctrlPr>
                        <w:rPr>
                          <w:rFonts w:ascii="Cambria Math" w:hAnsi="Cambria Math" w:cstheme="minorHAnsi"/>
                        </w:rPr>
                      </m:ctrlPr>
                    </m:sSubPr>
                    <m:e>
                      <m:acc>
                        <m:accPr>
                          <m:ctrlPr>
                            <w:rPr>
                              <w:rFonts w:ascii="Cambria Math" w:hAnsi="Cambria Math" w:cstheme="minorHAnsi"/>
                            </w:rPr>
                          </m:ctrlPr>
                        </m:accPr>
                        <m:e>
                          <m:r>
                            <m:rPr>
                              <m:sty m:val="bi"/>
                            </m:rPr>
                            <w:rPr>
                              <w:rFonts w:ascii="Cambria Math" w:hAnsi="Cambria Math" w:cstheme="minorHAnsi"/>
                            </w:rPr>
                            <m:t>w</m:t>
                          </m:r>
                        </m:e>
                      </m:acc>
                    </m:e>
                    <m:sub>
                      <m:r>
                        <w:rPr>
                          <w:rFonts w:ascii="Cambria Math" w:hAnsi="Cambria Math" w:cstheme="minorHAnsi"/>
                        </w:rPr>
                        <m:t>j</m:t>
                      </m:r>
                    </m:sub>
                  </m:sSub>
                </m:e>
              </m:d>
              <m:r>
                <m:rPr>
                  <m:sty m:val="p"/>
                </m:rPr>
                <w:rPr>
                  <w:rFonts w:ascii="Cambria Math" w:hAnsi="Cambria Math" w:cstheme="minorHAnsi"/>
                </w:rPr>
                <m:t>+</m:t>
              </m:r>
              <m:r>
                <w:rPr>
                  <w:rFonts w:ascii="Cambria Math" w:hAnsi="Cambria Math" w:cstheme="minorHAnsi"/>
                </w:rPr>
                <m:t>λ</m:t>
              </m:r>
              <m:r>
                <m:rPr>
                  <m:sty m:val="b"/>
                </m:rPr>
                <w:rPr>
                  <w:rFonts w:ascii="Cambria Math" w:hAnsi="Cambria Math" w:cstheme="minorHAnsi"/>
                </w:rPr>
                <m:t>1</m:t>
              </m:r>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w:rPr>
                  <w:rFonts w:ascii="Cambria Math" w:hAnsi="Cambria Math" w:cstheme="minorHAnsi"/>
                </w:rPr>
                <m:t>&amp;</m:t>
              </m:r>
              <m:r>
                <m:rPr>
                  <m:sty m:val="p"/>
                </m:rPr>
                <w:rPr>
                  <w:rFonts w:ascii="Cambria Math" w:hAnsi="Cambria Math" w:cstheme="minorHAnsi"/>
                </w:rPr>
                <m:t>=</m:t>
              </m:r>
              <m:r>
                <m:rPr>
                  <m:sty m:val="b"/>
                </m:rPr>
                <w:rPr>
                  <w:rFonts w:ascii="Cambria Math" w:hAnsi="Cambria Math" w:cstheme="minorHAnsi"/>
                </w:rPr>
                <m:t>0</m:t>
              </m:r>
              <m:r>
                <m:rPr>
                  <m:sty m:val="p"/>
                </m:rPr>
                <w:rPr>
                  <w:rFonts w:ascii="Cambria Math" w:hAnsi="Cambria Math" w:cstheme="minorHAnsi"/>
                </w:rPr>
                <m:t>,</m:t>
              </m:r>
            </m:e>
            <m:e>
              <m:sSup>
                <m:sSupPr>
                  <m:ctrlPr>
                    <w:rPr>
                      <w:rFonts w:ascii="Cambria Math" w:hAnsi="Cambria Math" w:cstheme="minorHAnsi"/>
                    </w:rPr>
                  </m:ctrlPr>
                </m:sSupPr>
                <m:e>
                  <m:r>
                    <m:rPr>
                      <m:sty m:val="b"/>
                    </m:rPr>
                    <w:rPr>
                      <w:rFonts w:ascii="Cambria Math" w:hAnsi="Cambria Math" w:cstheme="minorHAnsi"/>
                    </w:rPr>
                    <m:t>1</m:t>
                  </m:r>
                </m:e>
                <m:sup>
                  <m:r>
                    <m:rPr>
                      <m:sty m:val="p"/>
                    </m:rPr>
                    <w:rPr>
                      <w:rFonts w:ascii="Cambria Math" w:hAnsi="Cambria Math" w:cstheme="minorHAnsi"/>
                    </w:rPr>
                    <m:t>'</m:t>
                  </m:r>
                </m:sup>
              </m:sSup>
              <m:sSub>
                <m:sSubPr>
                  <m:ctrlPr>
                    <w:rPr>
                      <w:rFonts w:ascii="Cambria Math" w:hAnsi="Cambria Math" w:cstheme="minorHAnsi"/>
                    </w:rPr>
                  </m:ctrlPr>
                </m:sSubPr>
                <m:e>
                  <m:acc>
                    <m:accPr>
                      <m:ctrlPr>
                        <w:rPr>
                          <w:rFonts w:ascii="Cambria Math" w:hAnsi="Cambria Math" w:cstheme="minorHAnsi"/>
                        </w:rPr>
                      </m:ctrlPr>
                    </m:accPr>
                    <m:e>
                      <m:r>
                        <m:rPr>
                          <m:sty m:val="bi"/>
                        </m:rPr>
                        <w:rPr>
                          <w:rFonts w:ascii="Cambria Math" w:hAnsi="Cambria Math" w:cstheme="minorHAnsi"/>
                        </w:rPr>
                        <m:t>w</m:t>
                      </m:r>
                    </m:e>
                  </m:acc>
                </m:e>
                <m:sub>
                  <m:r>
                    <w:rPr>
                      <w:rFonts w:ascii="Cambria Math" w:hAnsi="Cambria Math" w:cstheme="minorHAnsi"/>
                    </w:rPr>
                    <m:t>j</m:t>
                  </m:r>
                </m:sub>
              </m:sSub>
              <m:r>
                <w:rPr>
                  <w:rFonts w:ascii="Cambria Math" w:hAnsi="Cambria Math" w:cstheme="minorHAnsi"/>
                </w:rPr>
                <m:t>&amp;</m:t>
              </m:r>
              <m:r>
                <m:rPr>
                  <m:sty m:val="p"/>
                </m:rPr>
                <w:rPr>
                  <w:rFonts w:ascii="Cambria Math" w:hAnsi="Cambria Math" w:cstheme="minorHAnsi"/>
                </w:rPr>
                <m:t>=</m:t>
              </m:r>
              <m:r>
                <w:rPr>
                  <w:rFonts w:ascii="Cambria Math" w:hAnsi="Cambria Math" w:cstheme="minorHAnsi"/>
                </w:rPr>
                <m:t>1</m:t>
              </m:r>
              <m:r>
                <m:rPr>
                  <m:sty m:val="p"/>
                </m:rPr>
                <w:rPr>
                  <w:rFonts w:ascii="Cambria Math" w:hAnsi="Cambria Math" w:cstheme="minorHAnsi"/>
                </w:rPr>
                <m:t>,</m:t>
              </m:r>
            </m:e>
            <m:e>
              <m:sSub>
                <m:sSubPr>
                  <m:ctrlPr>
                    <w:rPr>
                      <w:rFonts w:ascii="Cambria Math" w:hAnsi="Cambria Math" w:cstheme="minorHAnsi"/>
                    </w:rPr>
                  </m:ctrlPr>
                </m:sSubPr>
                <m:e>
                  <m:acc>
                    <m:accPr>
                      <m:ctrlPr>
                        <w:rPr>
                          <w:rFonts w:ascii="Cambria Math" w:hAnsi="Cambria Math" w:cstheme="minorHAnsi"/>
                        </w:rPr>
                      </m:ctrlPr>
                    </m:accPr>
                    <m:e>
                      <m:r>
                        <m:rPr>
                          <m:sty m:val="bi"/>
                        </m:rPr>
                        <w:rPr>
                          <w:rFonts w:ascii="Cambria Math" w:hAnsi="Cambria Math" w:cstheme="minorHAnsi"/>
                        </w:rPr>
                        <m:t>w</m:t>
                      </m:r>
                    </m:e>
                  </m:acc>
                </m:e>
                <m:sub>
                  <m:r>
                    <w:rPr>
                      <w:rFonts w:ascii="Cambria Math" w:hAnsi="Cambria Math" w:cstheme="minorHAnsi"/>
                    </w:rPr>
                    <m:t>j</m:t>
                  </m:r>
                </m:sub>
              </m:sSub>
              <m:r>
                <w:rPr>
                  <w:rFonts w:ascii="Cambria Math" w:hAnsi="Cambria Math" w:cstheme="minorHAnsi"/>
                </w:rPr>
                <m:t>&amp;</m:t>
              </m:r>
              <m:r>
                <m:rPr>
                  <m:sty m:val="p"/>
                </m:rPr>
                <w:rPr>
                  <w:rFonts w:ascii="Cambria Math" w:hAnsi="Cambria Math" w:cstheme="minorHAnsi"/>
                </w:rPr>
                <m:t>≥</m:t>
              </m:r>
              <m:r>
                <m:rPr>
                  <m:sty m:val="b"/>
                </m:rPr>
                <w:rPr>
                  <w:rFonts w:ascii="Cambria Math" w:hAnsi="Cambria Math" w:cstheme="minorHAnsi"/>
                </w:rPr>
                <m:t>0</m:t>
              </m:r>
              <m:r>
                <m:rPr>
                  <m:sty m:val="p"/>
                </m:rPr>
                <w:rPr>
                  <w:rFonts w:ascii="Cambria Math" w:hAnsi="Cambria Math" w:cstheme="minorHAnsi"/>
                </w:rPr>
                <m:t>,</m:t>
              </m:r>
              <m:r>
                <w:rPr>
                  <w:rFonts w:ascii="Cambria Math" w:hAnsi="Cambria Math" w:cstheme="minorHAnsi"/>
                </w:rPr>
                <m:t>  </m:t>
              </m:r>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r>
                <m:rPr>
                  <m:sty m:val="b"/>
                </m:rPr>
                <w:rPr>
                  <w:rFonts w:ascii="Cambria Math" w:hAnsi="Cambria Math" w:cstheme="minorHAnsi"/>
                </w:rPr>
                <m:t>0</m:t>
              </m:r>
              <m:r>
                <m:rPr>
                  <m:sty m:val="p"/>
                </m:rPr>
                <w:rPr>
                  <w:rFonts w:ascii="Cambria Math" w:hAnsi="Cambria Math" w:cstheme="minorHAnsi"/>
                </w:rPr>
                <m:t>,</m:t>
              </m:r>
            </m:e>
            <m:e>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jk</m:t>
                  </m:r>
                </m:sub>
              </m:sSub>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r>
                <w:rPr>
                  <w:rFonts w:ascii="Cambria Math" w:hAnsi="Cambria Math" w:cstheme="minorHAnsi"/>
                </w:rPr>
                <m:t>&amp;</m:t>
              </m:r>
              <m:r>
                <m:rPr>
                  <m:sty m:val="p"/>
                </m:rPr>
                <w:rPr>
                  <w:rFonts w:ascii="Cambria Math" w:hAnsi="Cambria Math" w:cstheme="minorHAnsi"/>
                </w:rPr>
                <m:t>=</m:t>
              </m:r>
              <m:r>
                <w:rPr>
                  <w:rFonts w:ascii="Cambria Math" w:hAnsi="Cambria Math" w:cstheme="minorHAnsi"/>
                </w:rPr>
                <m:t>0  </m:t>
              </m:r>
              <m:r>
                <m:rPr>
                  <m:sty m:val="p"/>
                </m:rPr>
                <w:rPr>
                  <w:rFonts w:ascii="Cambria Math" w:hAnsi="Cambria Math" w:cstheme="minorHAnsi"/>
                </w:rPr>
                <m:t>∀</m:t>
              </m:r>
              <m:r>
                <w:rPr>
                  <w:rFonts w:ascii="Cambria Math" w:hAnsi="Cambria Math" w:cstheme="minorHAnsi"/>
                </w:rPr>
                <m:t>k</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r>
                <m:rPr>
                  <m:sty m:val="p"/>
                </m:rPr>
                <w:rPr>
                  <w:rFonts w:ascii="Cambria Math" w:hAnsi="Cambria Math" w:cstheme="minorHAnsi"/>
                </w:rPr>
                <m:t>.</m:t>
              </m:r>
            </m:e>
          </m:eqArr>
        </m:oMath>
      </m:oMathPara>
    </w:p>
    <w:p w:rsidR="00D22D75" w:rsidRPr="00C3586C" w:rsidRDefault="001F394D" w:rsidP="00C3586C">
      <w:pPr>
        <w:pStyle w:val="BodyText"/>
        <w:spacing w:after="0" w:line="360" w:lineRule="auto"/>
        <w:rPr>
          <w:rFonts w:asciiTheme="minorHAnsi" w:hAnsiTheme="minorHAnsi" w:cstheme="minorHAnsi"/>
        </w:rPr>
      </w:pPr>
      <w:r>
        <w:rPr>
          <w:rFonts w:asciiTheme="minorHAnsi" w:hAnsiTheme="minorHAnsi" w:cstheme="minorHAnsi"/>
        </w:rPr>
        <w:t>The fitted pre-treatment path and its associated fit diagnostic are</w:t>
      </w:r>
    </w:p>
    <w:bookmarkEnd w:id="2"/>
    <w:p w:rsidR="00FD5F43" w:rsidRPr="00FD5F43" w:rsidRDefault="00382665" w:rsidP="00C3586C">
      <w:pPr>
        <w:pStyle w:val="FirstParagraph"/>
        <w:spacing w:line="360" w:lineRule="auto"/>
        <w:jc w:val="center"/>
      </w:pPr>
      <m:oMathPara>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j</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Y</m:t>
              </m:r>
            </m:e>
            <m:sub>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p"/>
            </m:rPr>
            <w:rPr>
              <w:rFonts w:ascii="Cambria Math" w:hAnsi="Cambria Math" w:cstheme="minorHAnsi"/>
            </w:rPr>
            <m:t xml:space="preserve"> </m:t>
          </m:r>
          <m:acc>
            <m:accPr>
              <m:ctrlPr>
                <w:rPr>
                  <w:rFonts w:ascii="Cambria Math" w:hAnsi="Cambria Math" w:cstheme="minorHAnsi"/>
                </w:rPr>
              </m:ctrlPr>
            </m:acc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acc>
          <m:r>
            <m:rPr>
              <m:sty m:val="p"/>
            </m:rPr>
            <w:rPr>
              <w:rFonts w:ascii="Cambria Math" w:hAnsi="Cambria Math" w:cstheme="minorHAnsi"/>
            </w:rPr>
            <m:t xml:space="preserve">,   </m:t>
          </m:r>
          <m:r>
            <w:rPr>
              <w:rFonts w:ascii="Cambria Math" w:hAnsi="Cambria Math" w:cstheme="minorHAnsi"/>
            </w:rPr>
            <m:t>RMSP</m:t>
          </m:r>
          <m:sSub>
            <m:sSubPr>
              <m:ctrlPr>
                <w:rPr>
                  <w:rFonts w:ascii="Cambria Math" w:hAnsi="Cambria Math" w:cstheme="minorHAnsi"/>
                </w:rPr>
              </m:ctrlPr>
            </m:sSubPr>
            <m:e>
              <m:r>
                <w:rPr>
                  <w:rFonts w:ascii="Cambria Math" w:hAnsi="Cambria Math" w:cstheme="minorHAnsi"/>
                </w:rPr>
                <m:t>E</m:t>
              </m:r>
            </m:e>
            <m:sub>
              <m:r>
                <w:rPr>
                  <w:rFonts w:ascii="Cambria Math" w:hAnsi="Cambria Math" w:cstheme="minorHAnsi"/>
                </w:rPr>
                <m:t>j</m:t>
              </m:r>
            </m:sub>
          </m:sSub>
          <m:r>
            <m:rPr>
              <m:sty m:val="p"/>
            </m:rP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rPr>
                  </m:ctrlPr>
                </m:sSubSupPr>
                <m:e>
                  <m:d>
                    <m:dPr>
                      <m:begChr m:val="∥"/>
                      <m:endChr m:val="∥"/>
                      <m:ctrlPr>
                        <w:rPr>
                          <w:rFonts w:ascii="Cambria Math" w:hAnsi="Cambria Math" w:cstheme="minorHAnsi"/>
                        </w:rPr>
                      </m:ctrlPr>
                    </m:dPr>
                    <m:e>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acc>
                            <m:accPr>
                              <m:ctrlPr>
                                <w:rPr>
                                  <w:rFonts w:ascii="Cambria Math" w:hAnsi="Cambria Math" w:cstheme="minorHAnsi"/>
                                </w:rPr>
                              </m:ctrlPr>
                            </m:accPr>
                            <m:e>
                              <m:r>
                                <m:rPr>
                                  <m:sty m:val="bi"/>
                                </m:rPr>
                                <w:rPr>
                                  <w:rFonts w:ascii="Cambria Math" w:hAnsi="Cambria Math" w:cstheme="minorHAnsi"/>
                                </w:rPr>
                                <m:t>Y</m:t>
                              </m:r>
                            </m:e>
                          </m:acc>
                        </m:e>
                        <m:sub>
                          <m:r>
                            <w:rPr>
                              <w:rFonts w:ascii="Cambria Math" w:hAnsi="Cambria Math" w:cstheme="minorHAnsi"/>
                            </w:rPr>
                            <m:t>j</m:t>
                          </m:r>
                        </m:sub>
                      </m:sSub>
                    </m:e>
                  </m:d>
                </m:e>
                <m:sub>
                  <m:r>
                    <m:rPr>
                      <m:sty m:val="p"/>
                    </m:rPr>
                    <w:rPr>
                      <w:rFonts w:ascii="Cambria Math" w:hAnsi="Cambria Math" w:cstheme="minorHAnsi"/>
                    </w:rPr>
                    <m:t>2</m:t>
                  </m:r>
                </m:sub>
                <m:sup>
                  <m:r>
                    <m:rPr>
                      <m:sty m:val="p"/>
                    </m:rPr>
                    <w:rPr>
                      <w:rFonts w:ascii="Cambria Math" w:hAnsi="Cambria Math" w:cstheme="minorHAnsi"/>
                    </w:rPr>
                    <m:t>2</m:t>
                  </m:r>
                </m:sup>
              </m:sSubSup>
            </m:num>
            <m:den>
              <m:rad>
                <m:radPr>
                  <m:degHide m:val="1"/>
                  <m:ctrlPr>
                    <w:rPr>
                      <w:rFonts w:ascii="Cambria Math" w:hAnsi="Cambria Math" w:cstheme="minorHAnsi"/>
                    </w:rPr>
                  </m:ctrlPr>
                </m:radPr>
                <m:deg/>
                <m:e>
                  <m:r>
                    <m:rPr>
                      <m:sty m:val="p"/>
                    </m:rPr>
                    <w:rPr>
                      <w:rFonts w:ascii="Cambria Math" w:hAnsi="Cambria Math" w:cstheme="minorHAnsi"/>
                    </w:rPr>
                    <m:t>7</m:t>
                  </m:r>
                </m:e>
              </m:rad>
            </m:den>
          </m:f>
          <m:r>
            <m:rPr>
              <m:sty m:val="p"/>
            </m:rPr>
            <w:rPr>
              <w:rFonts w:ascii="Cambria Math" w:hAnsi="Cambria Math"/>
            </w:rPr>
            <m:t xml:space="preserve"> </m:t>
          </m:r>
        </m:oMath>
      </m:oMathPara>
    </w:p>
    <w:p w:rsidR="00D22D75" w:rsidRPr="00C3586C" w:rsidRDefault="001F394D" w:rsidP="000A19E0">
      <w:pPr>
        <w:pStyle w:val="FirstParagraph"/>
        <w:spacing w:after="0" w:line="360" w:lineRule="auto"/>
        <w:rPr>
          <w:rFonts w:asciiTheme="minorHAnsi" w:hAnsiTheme="minorHAnsi" w:cstheme="minorHAnsi"/>
        </w:rPr>
      </w:pPr>
      <w:r>
        <w:rPr>
          <w:rFonts w:asciiTheme="minorHAnsi" w:hAnsiTheme="minorHAnsi" w:cstheme="minorHAnsi"/>
        </w:rPr>
        <w:t xml:space="preserve">The saturated difference-in-differences specification relies on a single common control trajectory for all treated countries, so the </w:t>
      </w:r>
      <m:oMath>
        <m:r>
          <w:rPr>
            <w:rFonts w:ascii="Cambria Math" w:hAnsi="Cambria Math" w:cstheme="minorHAnsi"/>
          </w:rPr>
          <m:t>J</m:t>
        </m:r>
      </m:oMath>
      <w:r>
        <w:rPr>
          <w:rFonts w:asciiTheme="minorHAnsi" w:hAnsiTheme="minorHAnsi" w:cstheme="minorHAnsi"/>
        </w:rPr>
        <w:t xml:space="preserve"> country-specific weight vectors must be collapsed into one global weight per donor.</w:t>
      </w:r>
      <w:r w:rsidR="000A19E0">
        <w:rPr>
          <w:rFonts w:asciiTheme="minorHAnsi" w:hAnsiTheme="minorHAnsi" w:cstheme="minorHAnsi"/>
        </w:rPr>
        <w:t xml:space="preserve"> </w:t>
      </w:r>
      <w:r>
        <w:rPr>
          <w:rFonts w:asciiTheme="minorHAnsi" w:hAnsiTheme="minorHAnsi" w:cstheme="minorHAnsi"/>
        </w:rPr>
        <w:t xml:space="preserve">Let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oMath>
      <w:r>
        <w:rPr>
          <w:rFonts w:asciiTheme="minorHAnsi" w:hAnsiTheme="minorHAnsi" w:cstheme="minorHAnsi"/>
        </w:rPr>
        <w:t xml:space="preserve"> denote the weight that country </w:t>
      </w:r>
      <m:oMath>
        <m:r>
          <w:rPr>
            <w:rFonts w:ascii="Cambria Math" w:hAnsi="Cambria Math" w:cstheme="minorHAnsi"/>
          </w:rPr>
          <m:t>j</m:t>
        </m:r>
      </m:oMath>
      <w:r>
        <w:rPr>
          <w:rFonts w:asciiTheme="minorHAnsi" w:hAnsiTheme="minorHAnsi" w:cstheme="minorHAnsi"/>
        </w:rPr>
        <w:t xml:space="preserve"> assigns to donor </w:t>
      </w:r>
      <m:oMath>
        <m:r>
          <w:rPr>
            <w:rFonts w:ascii="Cambria Math" w:hAnsi="Cambria Math" w:cstheme="minorHAnsi"/>
          </w:rPr>
          <m:t>k</m:t>
        </m:r>
      </m:oMath>
      <w:r>
        <w:rPr>
          <w:rFonts w:asciiTheme="minorHAnsi" w:hAnsiTheme="minorHAnsi" w:cstheme="minorHAnsi"/>
        </w:rPr>
        <w:t xml:space="preserve">, with the convention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r>
          <m:rPr>
            <m:sty m:val="p"/>
          </m:rPr>
          <w:rPr>
            <w:rFonts w:ascii="Cambria Math" w:hAnsi="Cambria Math" w:cstheme="minorHAnsi"/>
          </w:rPr>
          <m:t>=</m:t>
        </m:r>
        <m:r>
          <w:rPr>
            <w:rFonts w:ascii="Cambria Math" w:hAnsi="Cambria Math" w:cstheme="minorHAnsi"/>
          </w:rPr>
          <m:t>0</m:t>
        </m:r>
      </m:oMath>
      <w:r>
        <w:rPr>
          <w:rFonts w:asciiTheme="minorHAnsi" w:hAnsiTheme="minorHAnsi" w:cstheme="minorHAnsi"/>
        </w:rPr>
        <w:t xml:space="preserve"> whenever </w:t>
      </w:r>
      <m:oMath>
        <m:r>
          <w:rPr>
            <w:rFonts w:ascii="Cambria Math" w:hAnsi="Cambria Math" w:cstheme="minorHAnsi"/>
          </w:rPr>
          <m:t>k</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oMath>
      <w:r>
        <w:rPr>
          <w:rFonts w:asciiTheme="minorHAnsi" w:hAnsiTheme="minorHAnsi" w:cstheme="minorHAnsi"/>
        </w:rPr>
        <w:t>. The active donor set is</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limLow>
            <m:limLowPr>
              <m:ctrlPr>
                <w:rPr>
                  <w:rFonts w:ascii="Cambria Math" w:hAnsi="Cambria Math" w:cstheme="minorHAnsi"/>
                </w:rPr>
              </m:ctrlPr>
            </m:limLowPr>
            <m:e>
              <m:r>
                <m:rPr>
                  <m:sty m:val="p"/>
                </m:rPr>
                <w:rPr>
                  <w:rFonts w:ascii="Cambria Math" w:hAnsi="Cambria Math" w:cstheme="minorHAnsi"/>
                </w:rPr>
                <m:t>⋃</m:t>
              </m:r>
            </m:e>
            <m:lim>
              <m:r>
                <w:rPr>
                  <w:rFonts w:ascii="Cambria Math" w:hAnsi="Cambria Math" w:cstheme="minorHAnsi"/>
                </w:rPr>
                <m:t>j</m:t>
              </m:r>
              <m:r>
                <m:rPr>
                  <m:sty m:val="p"/>
                </m:rPr>
                <w:rPr>
                  <w:rFonts w:ascii="Cambria Math" w:hAnsi="Cambria Math" w:cstheme="minorHAnsi"/>
                </w:rPr>
                <m:t>∈Ω</m:t>
              </m:r>
            </m:lim>
          </m:limLow>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Donors outside </w:t>
      </w:r>
      <m:oMath>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oMath>
      <w:r>
        <w:rPr>
          <w:rFonts w:asciiTheme="minorHAnsi" w:hAnsiTheme="minorHAnsi" w:cstheme="minorHAnsi"/>
        </w:rPr>
        <w:t xml:space="preserve"> receive weight zero, while donors inside </w:t>
      </w:r>
      <m:oMath>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oMath>
      <w:r>
        <w:rPr>
          <w:rFonts w:asciiTheme="minorHAnsi" w:hAnsiTheme="minorHAnsi" w:cstheme="minorHAnsi"/>
        </w:rPr>
        <w:t xml:space="preserve"> enter at least one country-specific donor pool. Stack the zero-padded country-specific weights rowwise in the matrix</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acc>
            <m:accPr>
              <m:ctrlPr>
                <w:rPr>
                  <w:rFonts w:ascii="Cambria Math" w:hAnsi="Cambria Math" w:cstheme="minorHAnsi"/>
                </w:rPr>
              </m:ctrlPr>
            </m:accPr>
            <m:e>
              <m:r>
                <m:rPr>
                  <m:sty m:val="bi"/>
                </m:rPr>
                <w:rPr>
                  <w:rFonts w:ascii="Cambria Math" w:hAnsi="Cambria Math" w:cstheme="minorHAnsi"/>
                </w:rPr>
                <m:t>H</m:t>
              </m:r>
            </m:e>
          </m:acc>
          <m:r>
            <m:rPr>
              <m:sty m:val="p"/>
            </m:rPr>
            <w:rPr>
              <w:rFonts w:ascii="Cambria Math" w:hAnsi="Cambria Math" w:cstheme="minorHAnsi"/>
            </w:rPr>
            <m:t>=</m:t>
          </m:r>
          <m:sSub>
            <m:sSubPr>
              <m:ctrlPr>
                <w:rPr>
                  <w:rFonts w:ascii="Cambria Math" w:hAnsi="Cambria Math" w:cstheme="minorHAnsi"/>
                </w:rPr>
              </m:ctrlPr>
            </m:sSubPr>
            <m:e>
              <m:d>
                <m:dPr>
                  <m:begChr m:val="["/>
                  <m:endChr m:val="]"/>
                  <m:ctrlPr>
                    <w:rPr>
                      <w:rFonts w:ascii="Cambria Math" w:hAnsi="Cambria Math" w:cstheme="minorHAnsi"/>
                    </w:rPr>
                  </m:ctrlPr>
                </m:dPr>
                <m:e>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e>
              </m:d>
            </m:e>
            <m:sub>
              <m:r>
                <w:rPr>
                  <w:rFonts w:ascii="Cambria Math" w:hAnsi="Cambria Math" w:cstheme="minorHAnsi"/>
                </w:rPr>
                <m:t>j</m:t>
              </m:r>
              <m:r>
                <m:rPr>
                  <m:sty m:val="p"/>
                </m:rPr>
                <w:rPr>
                  <w:rFonts w:ascii="Cambria Math" w:hAnsi="Cambria Math" w:cstheme="minorHAnsi"/>
                </w:rPr>
                <m:t>∈Ω,</m:t>
              </m:r>
              <m:r>
                <w:rPr>
                  <w:rFonts w:ascii="Cambria Math" w:hAnsi="Cambria Math" w:cstheme="minorHAnsi"/>
                </w:rPr>
                <m:t> k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Sub>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w:rPr>
                  <w:rFonts w:ascii="Cambria Math" w:hAnsi="Cambria Math" w:cstheme="minorHAnsi"/>
                </w:rPr>
                <m:t>J</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sup>
          </m:sSup>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lastRenderedPageBreak/>
        <w:t xml:space="preserve">Each row of </w:t>
      </w:r>
      <m:oMath>
        <m:acc>
          <m:accPr>
            <m:ctrlPr>
              <w:rPr>
                <w:rFonts w:ascii="Cambria Math" w:hAnsi="Cambria Math" w:cstheme="minorHAnsi"/>
              </w:rPr>
            </m:ctrlPr>
          </m:accPr>
          <m:e>
            <m:r>
              <m:rPr>
                <m:sty m:val="bi"/>
              </m:rPr>
              <w:rPr>
                <w:rFonts w:ascii="Cambria Math" w:hAnsi="Cambria Math" w:cstheme="minorHAnsi"/>
              </w:rPr>
              <m:t>H</m:t>
            </m:r>
          </m:e>
        </m:acc>
      </m:oMath>
      <w:r>
        <w:rPr>
          <w:rFonts w:asciiTheme="minorHAnsi" w:hAnsiTheme="minorHAnsi" w:cstheme="minorHAnsi"/>
        </w:rPr>
        <w:t xml:space="preserve"> is zero outside the corresponding donor set </w:t>
      </w:r>
      <m:oMath>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oMath>
      <w:r>
        <w:rPr>
          <w:rFonts w:asciiTheme="minorHAnsi" w:hAnsiTheme="minorHAnsi" w:cstheme="minorHAnsi"/>
        </w:rPr>
        <w:t xml:space="preserve"> and sums to one. The vector of aggregate donor weights is then</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acc>
            <m:accPr>
              <m:chr m:val="‾"/>
              <m:ctrlPr>
                <w:rPr>
                  <w:rFonts w:ascii="Cambria Math" w:hAnsi="Cambria Math" w:cstheme="minorHAnsi"/>
                </w:rPr>
              </m:ctrlPr>
            </m:accPr>
            <m:e>
              <m:r>
                <m:rPr>
                  <m:sty m:val="bi"/>
                </m:rPr>
                <w:rPr>
                  <w:rFonts w:ascii="Cambria Math" w:hAnsi="Cambria Math" w:cstheme="minorHAnsi"/>
                </w:rPr>
                <m:t>w</m:t>
              </m:r>
            </m:e>
          </m:acc>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sSup>
            <m:sSupPr>
              <m:ctrlPr>
                <w:rPr>
                  <w:rFonts w:ascii="Cambria Math" w:hAnsi="Cambria Math" w:cstheme="minorHAnsi"/>
                </w:rPr>
              </m:ctrlPr>
            </m:sSupPr>
            <m:e>
              <m:acc>
                <m:accPr>
                  <m:ctrlPr>
                    <w:rPr>
                      <w:rFonts w:ascii="Cambria Math" w:hAnsi="Cambria Math" w:cstheme="minorHAnsi"/>
                    </w:rPr>
                  </m:ctrlPr>
                </m:accPr>
                <m:e>
                  <m:r>
                    <m:rPr>
                      <m:sty m:val="bi"/>
                    </m:rPr>
                    <w:rPr>
                      <w:rFonts w:ascii="Cambria Math" w:hAnsi="Cambria Math" w:cstheme="minorHAnsi"/>
                    </w:rPr>
                    <m:t>H</m:t>
                  </m:r>
                </m:e>
              </m:acc>
            </m:e>
            <m:sup>
              <m:r>
                <m:rPr>
                  <m:sty m:val="p"/>
                </m:rPr>
                <w:rPr>
                  <w:rFonts w:ascii="Cambria Math" w:hAnsi="Cambria Math" w:cstheme="minorHAnsi"/>
                </w:rPr>
                <m:t>'</m:t>
              </m:r>
            </m:sup>
          </m:sSup>
          <m:sSub>
            <m:sSubPr>
              <m:ctrlPr>
                <w:rPr>
                  <w:rFonts w:ascii="Cambria Math" w:hAnsi="Cambria Math" w:cstheme="minorHAnsi"/>
                </w:rPr>
              </m:ctrlPr>
            </m:sSubPr>
            <m:e>
              <m:r>
                <m:rPr>
                  <m:sty m:val="b"/>
                </m:rPr>
                <w:rPr>
                  <w:rFonts w:ascii="Cambria Math" w:hAnsi="Cambria Math" w:cstheme="minorHAnsi"/>
                </w:rPr>
                <m:t>1</m:t>
              </m:r>
            </m:e>
            <m:sub>
              <m:r>
                <w:rPr>
                  <w:rFonts w:ascii="Cambria Math" w:hAnsi="Cambria Math" w:cstheme="minorHAnsi"/>
                </w:rPr>
                <m:t>J</m:t>
              </m:r>
            </m:sub>
          </m:sSub>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or, equivalently, componentwise,</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nary>
            <m:naryPr>
              <m:chr m:val="∑"/>
              <m:limLoc m:val="undOvr"/>
              <m:supHide m:val="1"/>
              <m:ctrlPr>
                <w:rPr>
                  <w:rFonts w:ascii="Cambria Math" w:hAnsi="Cambria Math" w:cstheme="minorHAnsi"/>
                </w:rPr>
              </m:ctrlPr>
            </m:naryPr>
            <m:sub>
              <m:r>
                <w:rPr>
                  <w:rFonts w:ascii="Cambria Math" w:hAnsi="Cambria Math" w:cstheme="minorHAnsi"/>
                </w:rPr>
                <m:t>j</m:t>
              </m:r>
              <m:r>
                <m:rPr>
                  <m:sty m:val="p"/>
                </m:rPr>
                <w:rPr>
                  <w:rFonts w:ascii="Cambria Math" w:hAnsi="Cambria Math" w:cstheme="minorHAnsi"/>
                </w:rPr>
                <m:t>∈Ω</m:t>
              </m:r>
            </m:sub>
            <m:sup>
              <m:r>
                <w:rPr>
                  <w:rFonts w:ascii="Cambria Math" w:hAnsi="Cambria Math" w:cstheme="minorHAnsi"/>
                </w:rPr>
                <m:t>​</m:t>
              </m:r>
            </m:sup>
            <m:e>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e>
          </m:nary>
          <m:r>
            <m:rPr>
              <m:sty m:val="p"/>
            </m:rPr>
            <w:rPr>
              <w:rFonts w:ascii="Cambria Math" w:hAnsi="Cambria Math" w:cstheme="minorHAnsi"/>
            </w:rPr>
            <m:t>,</m:t>
          </m:r>
          <m:r>
            <w:rPr>
              <w:rFonts w:ascii="Cambria Math" w:hAnsi="Cambria Math" w:cstheme="minorHAnsi"/>
            </w:rPr>
            <m:t>  k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The normalised global weights are</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num>
            <m:den>
              <m:nary>
                <m:naryPr>
                  <m:chr m:val="∑"/>
                  <m:limLoc m:val="undOvr"/>
                  <m:supHide m:val="1"/>
                  <m:ctrlPr>
                    <w:rPr>
                      <w:rFonts w:ascii="Cambria Math" w:hAnsi="Cambria Math" w:cstheme="minorHAnsi"/>
                    </w:rPr>
                  </m:ctrlPr>
                </m:naryPr>
                <m:sub>
                  <m:r>
                    <w:rPr>
                      <w:rFonts w:ascii="Cambria Math" w:hAnsi="Cambria Math" w:cstheme="minorHAnsi"/>
                    </w:rPr>
                    <m:t>s</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s</m:t>
                      </m:r>
                    </m:sub>
                  </m:sSub>
                </m:e>
              </m:nary>
            </m:den>
          </m:f>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The normalisation in the expression above is exact</w:t>
      </w:r>
      <w:r w:rsidR="00F97494">
        <w:rPr>
          <w:rFonts w:asciiTheme="minorHAnsi" w:hAnsiTheme="minorHAnsi" w:cstheme="minorHAnsi"/>
        </w:rPr>
        <w:t xml:space="preserve"> as</w:t>
      </w:r>
      <w:r>
        <w:rPr>
          <w:rFonts w:asciiTheme="minorHAnsi" w:hAnsiTheme="minorHAnsi" w:cstheme="minorHAnsi"/>
        </w:rPr>
        <w:t xml:space="preserve"> </w:t>
      </w:r>
      <m:oMath>
        <m:nary>
          <m:naryPr>
            <m:chr m:val="∑"/>
            <m:limLoc m:val="undOvr"/>
            <m:supHide m:val="1"/>
            <m:ctrlPr>
              <w:rPr>
                <w:rFonts w:ascii="Cambria Math" w:hAnsi="Cambria Math" w:cstheme="minorHAnsi"/>
              </w:rPr>
            </m:ctrlPr>
          </m:naryPr>
          <m:sub>
            <m:r>
              <w:rPr>
                <w:rFonts w:ascii="Cambria Math" w:hAnsi="Cambria Math" w:cstheme="minorHAnsi"/>
              </w:rPr>
              <m:t>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e>
        </m:nary>
        <m:r>
          <m:rPr>
            <m:sty m:val="p"/>
          </m:rPr>
          <w:rPr>
            <w:rFonts w:ascii="Cambria Math" w:hAnsi="Cambria Math" w:cstheme="minorHAnsi"/>
          </w:rPr>
          <m:t>=</m:t>
        </m:r>
        <m:r>
          <w:rPr>
            <w:rFonts w:ascii="Cambria Math" w:hAnsi="Cambria Math" w:cstheme="minorHAnsi"/>
          </w:rPr>
          <m:t>1</m:t>
        </m:r>
      </m:oMath>
      <w:r>
        <w:rPr>
          <w:rFonts w:asciiTheme="minorHAnsi" w:hAnsiTheme="minorHAnsi" w:cstheme="minorHAnsi"/>
        </w:rPr>
        <w:t xml:space="preserve"> by construction, so </w:t>
      </w:r>
      <m:oMath>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r>
          <m:rPr>
            <m:sty m:val="p"/>
          </m:rPr>
          <w:rPr>
            <w:rFonts w:ascii="Cambria Math" w:hAnsi="Cambria Math" w:cstheme="minorHAnsi"/>
          </w:rPr>
          <m:t>=</m:t>
        </m:r>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oMath>
      <w:r>
        <w:rPr>
          <w:rFonts w:asciiTheme="minorHAnsi" w:hAnsiTheme="minorHAnsi" w:cstheme="minorHAnsi"/>
        </w:rPr>
        <w:t xml:space="preserve"> in theory and the rescaling operates purely as a numerical safeguard. In vector form,</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Sup>
            <m:sSubSupPr>
              <m:ctrlPr>
                <w:rPr>
                  <w:rFonts w:ascii="Cambria Math" w:hAnsi="Cambria Math" w:cstheme="minorHAnsi"/>
                </w:rPr>
              </m:ctrlPr>
            </m:sSubSupPr>
            <m:e>
              <m:r>
                <m:rPr>
                  <m:sty m:val="b"/>
                </m:rPr>
                <w:rPr>
                  <w:rFonts w:ascii="Cambria Math" w:hAnsi="Cambria Math" w:cstheme="minorHAnsi"/>
                </w:rPr>
                <m:t>1</m:t>
              </m:r>
            </m:e>
            <m:sub>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sub>
            <m:sup>
              <m:r>
                <m:rPr>
                  <m:sty m:val="p"/>
                </m:rPr>
                <w:rPr>
                  <w:rFonts w:ascii="Cambria Math" w:hAnsi="Cambria Math" w:cstheme="minorHAnsi"/>
                </w:rPr>
                <m:t>'</m:t>
              </m:r>
            </m:sup>
          </m:sSubSup>
          <m:acc>
            <m:accPr>
              <m:chr m:val="‾"/>
              <m:ctrlPr>
                <w:rPr>
                  <w:rFonts w:ascii="Cambria Math" w:hAnsi="Cambria Math" w:cstheme="minorHAnsi"/>
                </w:rPr>
              </m:ctrlPr>
            </m:accPr>
            <m:e>
              <m:r>
                <m:rPr>
                  <m:sty m:val="bi"/>
                </m:rPr>
                <w:rPr>
                  <w:rFonts w:ascii="Cambria Math" w:hAnsi="Cambria Math" w:cstheme="minorHAnsi"/>
                </w:rPr>
                <m:t>w</m:t>
              </m:r>
            </m:e>
          </m:acc>
          <m:r>
            <m:rPr>
              <m:sty m:val="p"/>
            </m:rPr>
            <w:rPr>
              <w:rFonts w:ascii="Cambria Math" w:hAnsi="Cambria Math" w:cstheme="minorHAnsi"/>
            </w:rPr>
            <m:t>=</m:t>
          </m:r>
          <m:sSubSup>
            <m:sSubSupPr>
              <m:ctrlPr>
                <w:rPr>
                  <w:rFonts w:ascii="Cambria Math" w:hAnsi="Cambria Math" w:cstheme="minorHAnsi"/>
                </w:rPr>
              </m:ctrlPr>
            </m:sSubSupPr>
            <m:e>
              <m:r>
                <m:rPr>
                  <m:sty m:val="b"/>
                </m:rPr>
                <w:rPr>
                  <w:rFonts w:ascii="Cambria Math" w:hAnsi="Cambria Math" w:cstheme="minorHAnsi"/>
                </w:rPr>
                <m:t>1</m:t>
              </m:r>
            </m:e>
            <m:sub>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sub>
            <m:sup>
              <m:r>
                <m:rPr>
                  <m:sty m:val="p"/>
                </m:rPr>
                <w:rPr>
                  <w:rFonts w:ascii="Cambria Math" w:hAnsi="Cambria Math" w:cstheme="minorHAnsi"/>
                </w:rPr>
                <m:t>'</m:t>
              </m:r>
            </m:sup>
          </m:sSubSup>
          <m:d>
            <m:dPr>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sSup>
                <m:sSupPr>
                  <m:ctrlPr>
                    <w:rPr>
                      <w:rFonts w:ascii="Cambria Math" w:hAnsi="Cambria Math" w:cstheme="minorHAnsi"/>
                    </w:rPr>
                  </m:ctrlPr>
                </m:sSupPr>
                <m:e>
                  <m:acc>
                    <m:accPr>
                      <m:ctrlPr>
                        <w:rPr>
                          <w:rFonts w:ascii="Cambria Math" w:hAnsi="Cambria Math" w:cstheme="minorHAnsi"/>
                        </w:rPr>
                      </m:ctrlPr>
                    </m:accPr>
                    <m:e>
                      <m:r>
                        <m:rPr>
                          <m:sty m:val="bi"/>
                        </m:rPr>
                        <w:rPr>
                          <w:rFonts w:ascii="Cambria Math" w:hAnsi="Cambria Math" w:cstheme="minorHAnsi"/>
                        </w:rPr>
                        <m:t>H</m:t>
                      </m:r>
                    </m:e>
                  </m:acc>
                </m:e>
                <m:sup>
                  <m:r>
                    <m:rPr>
                      <m:sty m:val="p"/>
                    </m:rPr>
                    <w:rPr>
                      <w:rFonts w:ascii="Cambria Math" w:hAnsi="Cambria Math" w:cstheme="minorHAnsi"/>
                    </w:rPr>
                    <m:t>'</m:t>
                  </m:r>
                </m:sup>
              </m:sSup>
              <m:sSub>
                <m:sSubPr>
                  <m:ctrlPr>
                    <w:rPr>
                      <w:rFonts w:ascii="Cambria Math" w:hAnsi="Cambria Math" w:cstheme="minorHAnsi"/>
                    </w:rPr>
                  </m:ctrlPr>
                </m:sSubPr>
                <m:e>
                  <m:r>
                    <m:rPr>
                      <m:sty m:val="b"/>
                    </m:rPr>
                    <w:rPr>
                      <w:rFonts w:ascii="Cambria Math" w:hAnsi="Cambria Math" w:cstheme="minorHAnsi"/>
                    </w:rPr>
                    <m:t>1</m:t>
                  </m:r>
                </m:e>
                <m:sub>
                  <m:r>
                    <w:rPr>
                      <w:rFonts w:ascii="Cambria Math" w:hAnsi="Cambria Math" w:cstheme="minorHAnsi"/>
                    </w:rPr>
                    <m:t>J</m:t>
                  </m:r>
                </m:sub>
              </m:sSub>
            </m:e>
          </m:d>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sSup>
            <m:sSupPr>
              <m:ctrlPr>
                <w:rPr>
                  <w:rFonts w:ascii="Cambria Math" w:hAnsi="Cambria Math" w:cstheme="minorHAnsi"/>
                </w:rPr>
              </m:ctrlPr>
            </m:sSupPr>
            <m:e>
              <m:d>
                <m:dPr>
                  <m:ctrlPr>
                    <w:rPr>
                      <w:rFonts w:ascii="Cambria Math" w:hAnsi="Cambria Math" w:cstheme="minorHAnsi"/>
                    </w:rPr>
                  </m:ctrlPr>
                </m:dPr>
                <m:e>
                  <m:acc>
                    <m:accPr>
                      <m:ctrlPr>
                        <w:rPr>
                          <w:rFonts w:ascii="Cambria Math" w:hAnsi="Cambria Math" w:cstheme="minorHAnsi"/>
                        </w:rPr>
                      </m:ctrlPr>
                    </m:accPr>
                    <m:e>
                      <m:r>
                        <m:rPr>
                          <m:sty m:val="bi"/>
                        </m:rPr>
                        <w:rPr>
                          <w:rFonts w:ascii="Cambria Math" w:hAnsi="Cambria Math" w:cstheme="minorHAnsi"/>
                        </w:rPr>
                        <m:t>H</m:t>
                      </m:r>
                    </m:e>
                  </m:acc>
                  <m:sSub>
                    <m:sSubPr>
                      <m:ctrlPr>
                        <w:rPr>
                          <w:rFonts w:ascii="Cambria Math" w:hAnsi="Cambria Math" w:cstheme="minorHAnsi"/>
                        </w:rPr>
                      </m:ctrlPr>
                    </m:sSubPr>
                    <m:e>
                      <m:r>
                        <m:rPr>
                          <m:sty m:val="b"/>
                        </m:rPr>
                        <w:rPr>
                          <w:rFonts w:ascii="Cambria Math" w:hAnsi="Cambria Math" w:cstheme="minorHAnsi"/>
                        </w:rPr>
                        <m:t>1</m:t>
                      </m:r>
                    </m:e>
                    <m:sub>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sub>
                  </m:sSub>
                </m:e>
              </m:d>
            </m:e>
            <m:sup>
              <m:r>
                <m:rPr>
                  <m:sty m:val="p"/>
                </m:rPr>
                <w:rPr>
                  <w:rFonts w:ascii="Cambria Math" w:hAnsi="Cambria Math" w:cstheme="minorHAnsi"/>
                </w:rPr>
                <m:t>'</m:t>
              </m:r>
            </m:sup>
          </m:sSup>
          <m:sSub>
            <m:sSubPr>
              <m:ctrlPr>
                <w:rPr>
                  <w:rFonts w:ascii="Cambria Math" w:hAnsi="Cambria Math" w:cstheme="minorHAnsi"/>
                </w:rPr>
              </m:ctrlPr>
            </m:sSubPr>
            <m:e>
              <m:r>
                <m:rPr>
                  <m:sty m:val="b"/>
                </m:rPr>
                <w:rPr>
                  <w:rFonts w:ascii="Cambria Math" w:hAnsi="Cambria Math" w:cstheme="minorHAnsi"/>
                </w:rPr>
                <m:t>1</m:t>
              </m:r>
            </m:e>
            <m:sub>
              <m:r>
                <w:rPr>
                  <w:rFonts w:ascii="Cambria Math" w:hAnsi="Cambria Math" w:cstheme="minorHAnsi"/>
                </w:rPr>
                <m:t>J</m:t>
              </m:r>
            </m:sub>
          </m:sSub>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sSubSup>
            <m:sSubSupPr>
              <m:ctrlPr>
                <w:rPr>
                  <w:rFonts w:ascii="Cambria Math" w:hAnsi="Cambria Math" w:cstheme="minorHAnsi"/>
                </w:rPr>
              </m:ctrlPr>
            </m:sSubSupPr>
            <m:e>
              <m:r>
                <m:rPr>
                  <m:sty m:val="b"/>
                </m:rPr>
                <w:rPr>
                  <w:rFonts w:ascii="Cambria Math" w:hAnsi="Cambria Math" w:cstheme="minorHAnsi"/>
                </w:rPr>
                <m:t>1</m:t>
              </m:r>
            </m:e>
            <m:sub>
              <m:r>
                <w:rPr>
                  <w:rFonts w:ascii="Cambria Math" w:hAnsi="Cambria Math" w:cstheme="minorHAnsi"/>
                </w:rPr>
                <m:t>J</m:t>
              </m:r>
            </m:sub>
            <m:sup>
              <m:r>
                <m:rPr>
                  <m:sty m:val="p"/>
                </m:rPr>
                <w:rPr>
                  <w:rFonts w:ascii="Cambria Math" w:hAnsi="Cambria Math" w:cstheme="minorHAnsi"/>
                </w:rPr>
                <m:t>'</m:t>
              </m:r>
            </m:sup>
          </m:sSubSup>
          <m:sSub>
            <m:sSubPr>
              <m:ctrlPr>
                <w:rPr>
                  <w:rFonts w:ascii="Cambria Math" w:hAnsi="Cambria Math" w:cstheme="minorHAnsi"/>
                </w:rPr>
              </m:ctrlPr>
            </m:sSubPr>
            <m:e>
              <m:r>
                <m:rPr>
                  <m:sty m:val="b"/>
                </m:rPr>
                <w:rPr>
                  <w:rFonts w:ascii="Cambria Math" w:hAnsi="Cambria Math" w:cstheme="minorHAnsi"/>
                </w:rPr>
                <m:t>1</m:t>
              </m:r>
            </m:e>
            <m:sub>
              <m:r>
                <w:rPr>
                  <w:rFonts w:ascii="Cambria Math" w:hAnsi="Cambria Math" w:cstheme="minorHAnsi"/>
                </w:rPr>
                <m:t>J</m:t>
              </m:r>
            </m:sub>
          </m:sSub>
          <m:r>
            <m:rPr>
              <m:sty m:val="p"/>
            </m:rPr>
            <w:rPr>
              <w:rFonts w:ascii="Cambria Math" w:hAnsi="Cambria Math" w:cstheme="minorHAnsi"/>
            </w:rPr>
            <m:t>=</m:t>
          </m:r>
          <m:r>
            <w:rPr>
              <w:rFonts w:ascii="Cambria Math" w:hAnsi="Cambria Math" w:cstheme="minorHAnsi"/>
            </w:rPr>
            <m:t>1</m:t>
          </m:r>
          <m:r>
            <m:rPr>
              <m:sty m:val="p"/>
            </m:rPr>
            <w:rPr>
              <w:rFonts w:ascii="Cambria Math" w:hAnsi="Cambria Math" w:cstheme="minorHAnsi"/>
            </w:rPr>
            <m:t>,</m:t>
          </m:r>
        </m:oMath>
      </m:oMathPara>
    </w:p>
    <w:p w:rsidR="00FD5F43" w:rsidRPr="00FD5F43" w:rsidRDefault="001F394D" w:rsidP="00FD5F43">
      <w:pPr>
        <w:pStyle w:val="FirstParagraph"/>
        <w:spacing w:after="0" w:line="360" w:lineRule="auto"/>
        <w:rPr>
          <w:rFonts w:asciiTheme="minorHAnsi" w:hAnsiTheme="minorHAnsi" w:cstheme="minorHAnsi"/>
        </w:rPr>
      </w:pPr>
      <w:r>
        <w:rPr>
          <w:rFonts w:asciiTheme="minorHAnsi" w:hAnsiTheme="minorHAnsi" w:cstheme="minorHAnsi"/>
        </w:rPr>
        <w:t xml:space="preserve">because each row of </w:t>
      </w:r>
      <m:oMath>
        <m:acc>
          <m:accPr>
            <m:ctrlPr>
              <w:rPr>
                <w:rFonts w:ascii="Cambria Math" w:hAnsi="Cambria Math" w:cstheme="minorHAnsi"/>
              </w:rPr>
            </m:ctrlPr>
          </m:accPr>
          <m:e>
            <m:r>
              <m:rPr>
                <m:sty m:val="bi"/>
              </m:rPr>
              <w:rPr>
                <w:rFonts w:ascii="Cambria Math" w:hAnsi="Cambria Math" w:cstheme="minorHAnsi"/>
              </w:rPr>
              <m:t>H</m:t>
            </m:r>
          </m:e>
        </m:acc>
      </m:oMath>
      <w:r>
        <w:rPr>
          <w:rFonts w:asciiTheme="minorHAnsi" w:hAnsiTheme="minorHAnsi" w:cstheme="minorHAnsi"/>
        </w:rPr>
        <w:t xml:space="preserve"> sums to one. Equivalently,</w:t>
      </w:r>
    </w:p>
    <w:p w:rsidR="00D22D75" w:rsidRPr="00FD5F43" w:rsidRDefault="00382665" w:rsidP="00C3586C">
      <w:pPr>
        <w:pStyle w:val="BodyText"/>
        <w:spacing w:after="0" w:line="360" w:lineRule="auto"/>
        <w:rPr>
          <w:rFonts w:asciiTheme="minorHAnsi" w:hAnsiTheme="minorHAnsi" w:cstheme="minorHAnsi"/>
        </w:rPr>
      </w:pPr>
      <m:oMathPara>
        <m:oMathParaPr>
          <m:jc m:val="center"/>
        </m:oMathParaPr>
        <m:oMath>
          <m:nary>
            <m:naryPr>
              <m:chr m:val="∑"/>
              <m:limLoc m:val="undOvr"/>
              <m:supHide m:val="1"/>
              <m:ctrlPr>
                <w:rPr>
                  <w:rFonts w:ascii="Cambria Math" w:hAnsi="Cambria Math" w:cstheme="minorHAnsi"/>
                </w:rPr>
              </m:ctrlPr>
            </m:naryPr>
            <m:sub>
              <m:r>
                <w:rPr>
                  <w:rFonts w:ascii="Cambria Math" w:hAnsi="Cambria Math" w:cstheme="minorHAnsi"/>
                </w:rPr>
                <m:t>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e>
          </m:nary>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nary>
            <m:naryPr>
              <m:chr m:val="∑"/>
              <m:limLoc m:val="undOvr"/>
              <m:supHide m:val="1"/>
              <m:ctrlPr>
                <w:rPr>
                  <w:rFonts w:ascii="Cambria Math" w:hAnsi="Cambria Math" w:cstheme="minorHAnsi"/>
                </w:rPr>
              </m:ctrlPr>
            </m:naryPr>
            <m:sub>
              <m:r>
                <w:rPr>
                  <w:rFonts w:ascii="Cambria Math" w:hAnsi="Cambria Math" w:cstheme="minorHAnsi"/>
                </w:rPr>
                <m:t>j</m:t>
              </m:r>
              <m:r>
                <m:rPr>
                  <m:sty m:val="p"/>
                </m:rPr>
                <w:rPr>
                  <w:rFonts w:ascii="Cambria Math" w:hAnsi="Cambria Math" w:cstheme="minorHAnsi"/>
                </w:rPr>
                <m:t>∈Ω</m:t>
              </m:r>
            </m:sub>
            <m:sup>
              <m:r>
                <w:rPr>
                  <w:rFonts w:ascii="Cambria Math" w:hAnsi="Cambria Math" w:cstheme="minorHAnsi"/>
                </w:rPr>
                <m:t>​</m:t>
              </m:r>
            </m:sup>
            <m:e>
              <m:nary>
                <m:naryPr>
                  <m:chr m:val="∑"/>
                  <m:limLoc m:val="undOvr"/>
                  <m:supHide m:val="1"/>
                  <m:ctrlPr>
                    <w:rPr>
                      <w:rFonts w:ascii="Cambria Math" w:hAnsi="Cambria Math" w:cstheme="minorHAnsi"/>
                    </w:rPr>
                  </m:ctrlPr>
                </m:naryPr>
                <m:sub>
                  <m:r>
                    <w:rPr>
                      <w:rFonts w:ascii="Cambria Math" w:hAnsi="Cambria Math" w:cstheme="minorHAnsi"/>
                    </w:rPr>
                    <m:t>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e>
              </m:nary>
            </m:e>
          </m:nary>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nary>
            <m:naryPr>
              <m:chr m:val="∑"/>
              <m:limLoc m:val="undOvr"/>
              <m:supHide m:val="1"/>
              <m:ctrlPr>
                <w:rPr>
                  <w:rFonts w:ascii="Cambria Math" w:hAnsi="Cambria Math" w:cstheme="minorHAnsi"/>
                </w:rPr>
              </m:ctrlPr>
            </m:naryPr>
            <m:sub>
              <m:r>
                <w:rPr>
                  <w:rFonts w:ascii="Cambria Math" w:hAnsi="Cambria Math" w:cstheme="minorHAnsi"/>
                </w:rPr>
                <m:t>j</m:t>
              </m:r>
              <m:r>
                <m:rPr>
                  <m:sty m:val="p"/>
                </m:rPr>
                <w:rPr>
                  <w:rFonts w:ascii="Cambria Math" w:hAnsi="Cambria Math" w:cstheme="minorHAnsi"/>
                </w:rPr>
                <m:t>∈Ω</m:t>
              </m:r>
            </m:sub>
            <m:sup>
              <m:r>
                <w:rPr>
                  <w:rFonts w:ascii="Cambria Math" w:hAnsi="Cambria Math" w:cstheme="minorHAnsi"/>
                </w:rPr>
                <m:t>​</m:t>
              </m:r>
            </m:sup>
            <m:e>
              <m:r>
                <w:rPr>
                  <w:rFonts w:ascii="Cambria Math" w:hAnsi="Cambria Math" w:cstheme="minorHAnsi"/>
                </w:rPr>
                <m:t>1</m:t>
              </m:r>
            </m:e>
          </m:nary>
          <m:r>
            <m:rPr>
              <m:sty m:val="p"/>
            </m:rPr>
            <w:rPr>
              <w:rFonts w:ascii="Cambria Math" w:hAnsi="Cambria Math" w:cstheme="minorHAnsi"/>
            </w:rPr>
            <m:t>=</m:t>
          </m:r>
          <m:r>
            <w:rPr>
              <w:rFonts w:ascii="Cambria Math" w:hAnsi="Cambria Math" w:cstheme="minorHAnsi"/>
            </w:rPr>
            <m:t>1</m:t>
          </m:r>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The outcome variable is unchanged. The global weights enter the estimation as fixed regression weights, constant over time, with treated observations receiving unit weight. To equalise the total influence of the treated and control sides, the donor weights are scaled by the number of treated countries,</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i</m:t>
              </m:r>
            </m:sub>
          </m:sSub>
          <m:r>
            <m:rPr>
              <m:sty m:val="p"/>
            </m:rPr>
            <w:rPr>
              <w:rFonts w:ascii="Cambria Math" w:hAnsi="Cambria Math" w:cstheme="minorHAnsi"/>
            </w:rPr>
            <m:t>=</m:t>
          </m:r>
          <m:d>
            <m:dPr>
              <m:begChr m:val="{"/>
              <m:endChr m:val=""/>
              <m:ctrlPr>
                <w:rPr>
                  <w:rFonts w:ascii="Cambria Math" w:hAnsi="Cambria Math" w:cstheme="minorHAnsi"/>
                </w:rPr>
              </m:ctrlPr>
            </m:dPr>
            <m:e>
              <m:m>
                <m:mPr>
                  <m:plcHide m:val="1"/>
                  <m:mcs>
                    <m:mc>
                      <m:mcPr>
                        <m:count m:val="2"/>
                        <m:mcJc m:val="left"/>
                      </m:mcPr>
                    </m:mc>
                  </m:mcs>
                  <m:ctrlPr>
                    <w:rPr>
                      <w:rFonts w:ascii="Cambria Math" w:hAnsi="Cambria Math" w:cstheme="minorHAnsi"/>
                    </w:rPr>
                  </m:ctrlPr>
                </m:mPr>
                <m:mr>
                  <m:e>
                    <m:r>
                      <w:rPr>
                        <w:rFonts w:ascii="Cambria Math" w:hAnsi="Cambria Math" w:cstheme="minorHAnsi"/>
                      </w:rPr>
                      <m:t>1</m:t>
                    </m:r>
                    <m:r>
                      <m:rPr>
                        <m:sty m:val="p"/>
                      </m:rPr>
                      <w:rPr>
                        <w:rFonts w:ascii="Cambria Math" w:hAnsi="Cambria Math" w:cstheme="minorHAnsi"/>
                      </w:rPr>
                      <m:t>,</m:t>
                    </m:r>
                  </m:e>
                  <m:e>
                    <m:r>
                      <w:rPr>
                        <w:rFonts w:ascii="Cambria Math" w:hAnsi="Cambria Math" w:cstheme="minorHAnsi"/>
                      </w:rPr>
                      <m:t>i</m:t>
                    </m:r>
                    <m:r>
                      <m:rPr>
                        <m:sty m:val="p"/>
                      </m:rPr>
                      <w:rPr>
                        <w:rFonts w:ascii="Cambria Math" w:hAnsi="Cambria Math" w:cstheme="minorHAnsi"/>
                      </w:rPr>
                      <m:t>∈Ω,</m:t>
                    </m:r>
                  </m:e>
                </m:mr>
                <m:mr>
                  <m:e>
                    <m:r>
                      <w:rPr>
                        <w:rFonts w:ascii="Cambria Math" w:hAnsi="Cambria Math" w:cstheme="minorHAnsi"/>
                      </w:rPr>
                      <m:t>J</m:t>
                    </m:r>
                    <m:r>
                      <m:rPr>
                        <m:sty m:val="p"/>
                      </m:rPr>
                      <w:rPr>
                        <w:rFonts w:ascii="Cambria Math" w:hAnsi="Cambria Math" w:cstheme="minorHAnsi"/>
                      </w:rPr>
                      <m:t>⋅</m:t>
                    </m:r>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i</m:t>
                        </m:r>
                      </m:sub>
                    </m:sSub>
                    <m:r>
                      <m:rPr>
                        <m:sty m:val="p"/>
                      </m:rPr>
                      <w:rPr>
                        <w:rFonts w:ascii="Cambria Math" w:hAnsi="Cambria Math" w:cstheme="minorHAnsi"/>
                      </w:rPr>
                      <m:t>,</m:t>
                    </m:r>
                  </m:e>
                  <m:e>
                    <m:r>
                      <w:rPr>
                        <w:rFonts w:ascii="Cambria Math" w:hAnsi="Cambria Math" w:cstheme="minorHAnsi"/>
                      </w:rPr>
                      <m:t>i</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e>
                </m:mr>
              </m:m>
            </m:e>
          </m:d>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with </w:t>
      </w:r>
      <m:oMath>
        <m:r>
          <w:rPr>
            <w:rFonts w:ascii="Cambria Math" w:hAnsi="Cambria Math" w:cstheme="minorHAnsi"/>
          </w:rPr>
          <m:t>J</m:t>
        </m:r>
        <m:r>
          <m:rPr>
            <m:sty m:val="p"/>
          </m:rPr>
          <w:rPr>
            <w:rFonts w:ascii="Cambria Math" w:hAnsi="Cambria Math" w:cstheme="minorHAnsi"/>
          </w:rPr>
          <m:t>=</m:t>
        </m:r>
        <m:r>
          <w:rPr>
            <w:rFonts w:ascii="Cambria Math" w:hAnsi="Cambria Math" w:cstheme="minorHAnsi"/>
          </w:rPr>
          <m:t>26</m:t>
        </m:r>
      </m:oMath>
      <w:r>
        <w:rPr>
          <w:rFonts w:asciiTheme="minorHAnsi" w:hAnsiTheme="minorHAnsi" w:cstheme="minorHAnsi"/>
        </w:rPr>
        <w:t xml:space="preserve"> in our application. The total mass on the control side then satisfies</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nary>
            <m:naryPr>
              <m:chr m:val="∑"/>
              <m:limLoc m:val="undOvr"/>
              <m:supHide m:val="1"/>
              <m:ctrlPr>
                <w:rPr>
                  <w:rFonts w:ascii="Cambria Math" w:hAnsi="Cambria Math" w:cstheme="minorHAnsi"/>
                </w:rPr>
              </m:ctrlPr>
            </m:naryPr>
            <m:sub>
              <m:r>
                <w:rPr>
                  <w:rFonts w:ascii="Cambria Math" w:hAnsi="Cambria Math" w:cstheme="minorHAnsi"/>
                </w:rPr>
                <m:t>i</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i</m:t>
                  </m:r>
                </m:sub>
              </m:sSub>
            </m:e>
          </m:nary>
          <m:r>
            <m:rPr>
              <m:sty m:val="p"/>
            </m:rPr>
            <w:rPr>
              <w:rFonts w:ascii="Cambria Math" w:hAnsi="Cambria Math" w:cstheme="minorHAnsi"/>
            </w:rPr>
            <m:t>=</m:t>
          </m:r>
          <m:r>
            <w:rPr>
              <w:rFonts w:ascii="Cambria Math" w:hAnsi="Cambria Math" w:cstheme="minorHAnsi"/>
            </w:rPr>
            <m:t>J</m:t>
          </m:r>
          <m:nary>
            <m:naryPr>
              <m:chr m:val="∑"/>
              <m:limLoc m:val="undOvr"/>
              <m:supHide m:val="1"/>
              <m:ctrlPr>
                <w:rPr>
                  <w:rFonts w:ascii="Cambria Math" w:hAnsi="Cambria Math" w:cstheme="minorHAnsi"/>
                </w:rPr>
              </m:ctrlPr>
            </m:naryPr>
            <m:sub>
              <m:r>
                <w:rPr>
                  <w:rFonts w:ascii="Cambria Math" w:hAnsi="Cambria Math" w:cstheme="minorHAnsi"/>
                </w:rPr>
                <m:t>i</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i</m:t>
                  </m:r>
                </m:sub>
              </m:sSub>
            </m:e>
          </m:nary>
          <m:r>
            <m:rPr>
              <m:sty m:val="p"/>
            </m:rPr>
            <w:rPr>
              <w:rFonts w:ascii="Cambria Math" w:hAnsi="Cambria Math" w:cstheme="minorHAnsi"/>
            </w:rPr>
            <m:t>=</m:t>
          </m:r>
          <m:r>
            <w:rPr>
              <w:rFonts w:ascii="Cambria Math" w:hAnsi="Cambria Math" w:cstheme="minorHAnsi"/>
            </w:rPr>
            <m:t>J</m:t>
          </m:r>
          <m:r>
            <m:rPr>
              <m:sty m:val="p"/>
            </m:rPr>
            <w:rPr>
              <w:rFonts w:ascii="Cambria Math" w:hAnsi="Cambria Math" w:cstheme="minorHAnsi"/>
            </w:rPr>
            <m:t>=</m:t>
          </m:r>
          <m:nary>
            <m:naryPr>
              <m:chr m:val="∑"/>
              <m:limLoc m:val="undOvr"/>
              <m:supHide m:val="1"/>
              <m:ctrlPr>
                <w:rPr>
                  <w:rFonts w:ascii="Cambria Math" w:hAnsi="Cambria Math" w:cstheme="minorHAnsi"/>
                </w:rPr>
              </m:ctrlPr>
            </m:naryPr>
            <m:sub>
              <m:r>
                <w:rPr>
                  <w:rFonts w:ascii="Cambria Math" w:hAnsi="Cambria Math" w:cstheme="minorHAnsi"/>
                </w:rPr>
                <m:t>i</m:t>
              </m:r>
              <m:r>
                <m:rPr>
                  <m:sty m:val="p"/>
                </m:rPr>
                <w:rPr>
                  <w:rFonts w:ascii="Cambria Math" w:hAnsi="Cambria Math" w:cstheme="minorHAnsi"/>
                </w:rPr>
                <m:t>∈Ω</m:t>
              </m:r>
            </m:sub>
            <m:sup>
              <m:r>
                <w:rPr>
                  <w:rFonts w:ascii="Cambria Math" w:hAnsi="Cambria Math" w:cstheme="minorHAnsi"/>
                </w:rPr>
                <m:t>​</m:t>
              </m:r>
            </m:sup>
            <m:e>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i</m:t>
                  </m:r>
                </m:sub>
              </m:sSub>
            </m:e>
          </m:nary>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lastRenderedPageBreak/>
        <w:t>so the control group carries the same aggregate weight as the treated group regardless of the number of donors. This equalises the aggregate weight assigned to treated and donor observations in the saturated specification</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it</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i</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t</m:t>
              </m:r>
            </m:sub>
          </m:sSub>
          <m:r>
            <m:rPr>
              <m:sty m:val="p"/>
            </m:rPr>
            <w:rPr>
              <w:rFonts w:ascii="Cambria Math" w:hAnsi="Cambria Math" w:cstheme="minorHAnsi"/>
            </w:rPr>
            <m:t>+</m:t>
          </m:r>
          <m:nary>
            <m:naryPr>
              <m:chr m:val="∑"/>
              <m:limLoc m:val="undOvr"/>
              <m:supHide m:val="1"/>
              <m:ctrlPr>
                <w:rPr>
                  <w:rFonts w:ascii="Cambria Math" w:hAnsi="Cambria Math" w:cstheme="minorHAnsi"/>
                </w:rPr>
              </m:ctrlPr>
            </m:naryPr>
            <m:sub>
              <m:r>
                <w:rPr>
                  <w:rFonts w:ascii="Cambria Math" w:hAnsi="Cambria Math" w:cstheme="minorHAnsi"/>
                </w:rPr>
                <m:t>j</m:t>
              </m:r>
              <m:r>
                <m:rPr>
                  <m:sty m:val="p"/>
                </m:rPr>
                <w:rPr>
                  <w:rFonts w:ascii="Cambria Math" w:hAnsi="Cambria Math" w:cstheme="minorHAnsi"/>
                </w:rPr>
                <m:t>∈Ω</m:t>
              </m:r>
            </m:sub>
            <m:sup>
              <m:r>
                <w:rPr>
                  <w:rFonts w:ascii="Cambria Math" w:hAnsi="Cambria Math" w:cstheme="minorHAnsi"/>
                </w:rPr>
                <m:t>​</m:t>
              </m:r>
            </m:sup>
            <m:e>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e>
          </m:nary>
          <m:r>
            <w:rPr>
              <w:rFonts w:ascii="Cambria Math" w:hAnsi="Cambria Math" w:cstheme="minorHAnsi"/>
            </w:rPr>
            <m:t> </m:t>
          </m:r>
          <m:r>
            <m:rPr>
              <m:sty m:val="b"/>
            </m:rPr>
            <w:rPr>
              <w:rFonts w:ascii="Cambria Math" w:hAnsi="Cambria Math" w:cstheme="minorHAnsi"/>
            </w:rPr>
            <m:t>1</m:t>
          </m:r>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i</m:t>
              </m:r>
              <m:r>
                <m:rPr>
                  <m:sty m:val="p"/>
                </m:rPr>
                <w:rPr>
                  <w:rFonts w:ascii="Cambria Math" w:hAnsi="Cambria Math" w:cstheme="minorHAnsi"/>
                </w:rPr>
                <m:t>=</m:t>
              </m:r>
              <m:r>
                <w:rPr>
                  <w:rFonts w:ascii="Cambria Math" w:hAnsi="Cambria Math" w:cstheme="minorHAnsi"/>
                </w:rPr>
                <m:t>j</m:t>
              </m:r>
            </m:e>
          </m:d>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Post</m:t>
              </m:r>
            </m:e>
            <m:sub>
              <m:r>
                <w:rPr>
                  <w:rFonts w:ascii="Cambria Math" w:hAnsi="Cambria Math" w:cstheme="minorHAnsi"/>
                </w:rPr>
                <m:t>t</m:t>
              </m:r>
            </m:sub>
          </m:sSub>
          <m:r>
            <m:rPr>
              <m:sty m:val="p"/>
            </m:rPr>
            <w:rPr>
              <w:rFonts w:ascii="Cambria Math" w:hAnsi="Cambria Math" w:cstheme="minorHAnsi"/>
            </w:rPr>
            <m:t>+</m:t>
          </m:r>
          <m:sSubSup>
            <m:sSubSupPr>
              <m:ctrlPr>
                <w:rPr>
                  <w:rFonts w:ascii="Cambria Math" w:hAnsi="Cambria Math" w:cstheme="minorHAnsi"/>
                </w:rPr>
              </m:ctrlPr>
            </m:sSubSupPr>
            <m:e>
              <m:r>
                <m:rPr>
                  <m:sty m:val="bi"/>
                </m:rPr>
                <w:rPr>
                  <w:rFonts w:ascii="Cambria Math" w:hAnsi="Cambria Math" w:cstheme="minorHAnsi"/>
                </w:rPr>
                <m:t>X</m:t>
              </m:r>
            </m:e>
            <m:sub>
              <m:r>
                <w:rPr>
                  <w:rFonts w:ascii="Cambria Math" w:hAnsi="Cambria Math" w:cstheme="minorHAnsi"/>
                </w:rPr>
                <m:t>it</m:t>
              </m:r>
            </m:sub>
            <m:sup>
              <m:r>
                <m:rPr>
                  <m:sty m:val="p"/>
                </m:rPr>
                <w:rPr>
                  <w:rFonts w:ascii="Cambria Math" w:hAnsi="Cambria Math" w:cstheme="minorHAnsi"/>
                </w:rPr>
                <m:t>'</m:t>
              </m:r>
            </m:sup>
          </m:sSubSup>
          <m:r>
            <m:rPr>
              <m:sty m:val="bi"/>
            </m:rPr>
            <w:rPr>
              <w:rFonts w:ascii="Cambria Math" w:hAnsi="Cambria Math" w:cstheme="minorHAnsi"/>
            </w:rPr>
            <m:t>ρ</m:t>
          </m:r>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it</m:t>
              </m:r>
            </m:sub>
          </m:sSub>
          <m:r>
            <m:rPr>
              <m:sty m:val="p"/>
            </m:rPr>
            <w:rPr>
              <w:rFonts w:ascii="Cambria Math" w:hAnsi="Cambria Math" w:cstheme="minorHAnsi"/>
            </w:rPr>
            <m:t>,</m:t>
          </m:r>
        </m:oMath>
      </m:oMathPara>
    </w:p>
    <w:p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where </w:t>
      </w:r>
      <m:oMath>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i</m:t>
            </m:r>
          </m:sub>
        </m:sSub>
      </m:oMath>
      <w:r>
        <w:rPr>
          <w:rFonts w:asciiTheme="minorHAnsi" w:hAnsiTheme="minorHAnsi" w:cstheme="minorHAnsi"/>
        </w:rPr>
        <w:t xml:space="preserve"> and </w:t>
      </w:r>
      <m:oMath>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t</m:t>
            </m:r>
          </m:sub>
        </m:sSub>
      </m:oMath>
      <w:r>
        <w:rPr>
          <w:rFonts w:asciiTheme="minorHAnsi" w:hAnsiTheme="minorHAnsi" w:cstheme="minorHAnsi"/>
        </w:rPr>
        <w:t xml:space="preserve"> are country and cycle fixed effects, </w:t>
      </w:r>
      <m:oMath>
        <m:sSub>
          <m:sSubPr>
            <m:ctrlPr>
              <w:rPr>
                <w:rFonts w:ascii="Cambria Math" w:hAnsi="Cambria Math" w:cstheme="minorHAnsi"/>
              </w:rPr>
            </m:ctrlPr>
          </m:sSubPr>
          <m:e>
            <m:r>
              <m:rPr>
                <m:sty m:val="p"/>
              </m:rPr>
              <w:rPr>
                <w:rFonts w:ascii="Cambria Math" w:hAnsi="Cambria Math" w:cstheme="minorHAnsi"/>
              </w:rPr>
              <m:t>Post</m:t>
            </m:r>
          </m:e>
          <m:sub>
            <m:r>
              <w:rPr>
                <w:rFonts w:ascii="Cambria Math" w:hAnsi="Cambria Math" w:cstheme="minorHAnsi"/>
              </w:rPr>
              <m:t>t</m:t>
            </m:r>
          </m:sub>
        </m:sSub>
        <m:r>
          <m:rPr>
            <m:sty m:val="p"/>
          </m:rPr>
          <w:rPr>
            <w:rFonts w:ascii="Cambria Math" w:hAnsi="Cambria Math" w:cstheme="minorHAnsi"/>
          </w:rPr>
          <m:t>=</m:t>
        </m:r>
        <m:r>
          <m:rPr>
            <m:sty m:val="b"/>
          </m:rPr>
          <w:rPr>
            <w:rFonts w:ascii="Cambria Math" w:hAnsi="Cambria Math" w:cstheme="minorHAnsi"/>
          </w:rPr>
          <m:t>1</m:t>
        </m:r>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t</m:t>
            </m:r>
            <m:r>
              <m:rPr>
                <m:sty m:val="p"/>
              </m:rPr>
              <w:rPr>
                <w:rFonts w:ascii="Cambria Math" w:hAnsi="Cambria Math" w:cstheme="minorHAnsi"/>
              </w:rPr>
              <m:t>&gt;</m:t>
            </m:r>
            <m:r>
              <w:rPr>
                <w:rFonts w:ascii="Cambria Math" w:hAnsi="Cambria Math" w:cstheme="minorHAnsi"/>
              </w:rPr>
              <m:t>2020</m:t>
            </m:r>
          </m:e>
        </m:d>
      </m:oMath>
      <w:r>
        <w:rPr>
          <w:rFonts w:asciiTheme="minorHAnsi" w:hAnsiTheme="minorHAnsi" w:cstheme="minorHAnsi"/>
        </w:rPr>
        <w:t xml:space="preserve">, and </w:t>
      </w:r>
      <m:oMath>
        <m:sSub>
          <m:sSubPr>
            <m:ctrlPr>
              <w:rPr>
                <w:rFonts w:ascii="Cambria Math" w:hAnsi="Cambria Math" w:cstheme="minorHAnsi"/>
              </w:rPr>
            </m:ctrlPr>
          </m:sSubPr>
          <m:e>
            <m:r>
              <m:rPr>
                <m:sty m:val="bi"/>
              </m:rPr>
              <w:rPr>
                <w:rFonts w:ascii="Cambria Math" w:hAnsi="Cambria Math" w:cstheme="minorHAnsi"/>
              </w:rPr>
              <m:t>X</m:t>
            </m:r>
          </m:e>
          <m:sub>
            <m:r>
              <w:rPr>
                <w:rFonts w:ascii="Cambria Math" w:hAnsi="Cambria Math" w:cstheme="minorHAnsi"/>
              </w:rPr>
              <m:t>it</m:t>
            </m:r>
          </m:sub>
        </m:sSub>
      </m:oMath>
      <w:r>
        <w:rPr>
          <w:rFonts w:asciiTheme="minorHAnsi" w:hAnsiTheme="minorHAnsi" w:cstheme="minorHAnsi"/>
        </w:rPr>
        <w:t xml:space="preserve"> collects time-varying controls. Stacking the saturated specification as </w:t>
      </w:r>
      <m:oMath>
        <m:r>
          <m:rPr>
            <m:sty m:val="bi"/>
          </m:rPr>
          <w:rPr>
            <w:rFonts w:ascii="Cambria Math" w:hAnsi="Cambria Math" w:cstheme="minorHAnsi"/>
          </w:rPr>
          <m:t>Y</m:t>
        </m:r>
        <m:r>
          <m:rPr>
            <m:sty m:val="p"/>
          </m:rPr>
          <w:rPr>
            <w:rFonts w:ascii="Cambria Math" w:hAnsi="Cambria Math" w:cstheme="minorHAnsi"/>
          </w:rPr>
          <m:t>=</m:t>
        </m:r>
        <m:r>
          <m:rPr>
            <m:sty m:val="bi"/>
          </m:rPr>
          <w:rPr>
            <w:rFonts w:ascii="Cambria Math" w:hAnsi="Cambria Math" w:cstheme="minorHAnsi"/>
          </w:rPr>
          <m:t>Xθ</m:t>
        </m:r>
        <m:r>
          <m:rPr>
            <m:sty m:val="p"/>
          </m:rPr>
          <w:rPr>
            <w:rFonts w:ascii="Cambria Math" w:hAnsi="Cambria Math" w:cstheme="minorHAnsi"/>
          </w:rPr>
          <m:t>+</m:t>
        </m:r>
        <m:r>
          <m:rPr>
            <m:sty m:val="bi"/>
          </m:rPr>
          <w:rPr>
            <w:rFonts w:ascii="Cambria Math" w:hAnsi="Cambria Math" w:cstheme="minorHAnsi"/>
          </w:rPr>
          <m:t>ε</m:t>
        </m:r>
      </m:oMath>
      <w:r>
        <w:rPr>
          <w:rFonts w:asciiTheme="minorHAnsi" w:hAnsiTheme="minorHAnsi" w:cstheme="minorHAnsi"/>
        </w:rPr>
        <w:t xml:space="preserve"> with </w:t>
      </w:r>
      <m:oMath>
        <m:r>
          <m:rPr>
            <m:sty m:val="bi"/>
          </m:rPr>
          <w:rPr>
            <w:rFonts w:ascii="Cambria Math" w:hAnsi="Cambria Math" w:cstheme="minorHAnsi"/>
          </w:rPr>
          <m:t>W</m:t>
        </m:r>
        <m:r>
          <m:rPr>
            <m:sty m:val="p"/>
          </m:rPr>
          <w:rPr>
            <w:rFonts w:ascii="Cambria Math" w:hAnsi="Cambria Math" w:cstheme="minorHAnsi"/>
          </w:rPr>
          <m:t>=diag(</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i</m:t>
            </m:r>
          </m:sub>
        </m:sSub>
        <m:r>
          <m:rPr>
            <m:sty m:val="p"/>
          </m:rPr>
          <w:rPr>
            <w:rFonts w:ascii="Cambria Math" w:hAnsi="Cambria Math" w:cstheme="minorHAnsi"/>
          </w:rPr>
          <m:t>)</m:t>
        </m:r>
      </m:oMath>
      <w:r>
        <w:rPr>
          <w:rFonts w:asciiTheme="minorHAnsi" w:hAnsiTheme="minorHAnsi" w:cstheme="minorHAnsi"/>
        </w:rPr>
        <w:t>, the parameters are estimated by weighted least squares,</w:t>
      </w:r>
    </w:p>
    <w:p w:rsidR="00D22D75" w:rsidRPr="00C3586C" w:rsidRDefault="00382665" w:rsidP="00C3586C">
      <w:pPr>
        <w:pStyle w:val="BodyText"/>
        <w:spacing w:after="0" w:line="360" w:lineRule="auto"/>
        <w:rPr>
          <w:rFonts w:asciiTheme="minorHAnsi" w:hAnsiTheme="minorHAnsi" w:cstheme="minorHAnsi"/>
        </w:rPr>
      </w:pPr>
      <m:oMathPara>
        <m:oMathParaPr>
          <m:jc m:val="center"/>
        </m:oMathParaPr>
        <m:oMath>
          <m:acc>
            <m:accPr>
              <m:ctrlPr>
                <w:rPr>
                  <w:rFonts w:ascii="Cambria Math" w:hAnsi="Cambria Math" w:cstheme="minorHAnsi"/>
                </w:rPr>
              </m:ctrlPr>
            </m:accPr>
            <m:e>
              <m:r>
                <m:rPr>
                  <m:sty m:val="bi"/>
                </m:rPr>
                <w:rPr>
                  <w:rFonts w:ascii="Cambria Math" w:hAnsi="Cambria Math" w:cstheme="minorHAnsi"/>
                </w:rPr>
                <m:t>θ</m:t>
              </m:r>
            </m:e>
          </m:acc>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arg min</m:t>
              </m:r>
            </m:e>
            <m:sub>
              <m:r>
                <m:rPr>
                  <m:sty m:val="bi"/>
                </m:rPr>
                <w:rPr>
                  <w:rFonts w:ascii="Cambria Math" w:hAnsi="Cambria Math" w:cstheme="minorHAnsi"/>
                </w:rPr>
                <m:t>θ</m:t>
              </m:r>
            </m:sub>
          </m:sSub>
          <m:r>
            <w:rPr>
              <w:rFonts w:ascii="Cambria Math" w:hAnsi="Cambria Math" w:cstheme="minorHAnsi"/>
            </w:rPr>
            <m:t> </m:t>
          </m:r>
          <m:sSup>
            <m:sSupPr>
              <m:ctrlPr>
                <w:rPr>
                  <w:rFonts w:ascii="Cambria Math" w:hAnsi="Cambria Math" w:cstheme="minorHAnsi"/>
                </w:rPr>
              </m:ctrlPr>
            </m:sSupPr>
            <m:e>
              <m:d>
                <m:dPr>
                  <m:ctrlPr>
                    <w:rPr>
                      <w:rFonts w:ascii="Cambria Math" w:hAnsi="Cambria Math" w:cstheme="minorHAnsi"/>
                    </w:rPr>
                  </m:ctrlPr>
                </m:dPr>
                <m:e>
                  <m:r>
                    <m:rPr>
                      <m:sty m:val="bi"/>
                    </m:rPr>
                    <w:rPr>
                      <w:rFonts w:ascii="Cambria Math" w:hAnsi="Cambria Math" w:cstheme="minorHAnsi"/>
                    </w:rPr>
                    <m:t>Y</m:t>
                  </m:r>
                  <m:r>
                    <m:rPr>
                      <m:sty m:val="p"/>
                    </m:rPr>
                    <w:rPr>
                      <w:rFonts w:ascii="Cambria Math" w:hAnsi="Cambria Math" w:cstheme="minorHAnsi"/>
                    </w:rPr>
                    <m:t>-</m:t>
                  </m:r>
                  <m:r>
                    <m:rPr>
                      <m:sty m:val="bi"/>
                    </m:rPr>
                    <w:rPr>
                      <w:rFonts w:ascii="Cambria Math" w:hAnsi="Cambria Math" w:cstheme="minorHAnsi"/>
                    </w:rPr>
                    <m:t>Xθ</m:t>
                  </m:r>
                </m:e>
              </m:d>
            </m:e>
            <m:sup>
              <m:r>
                <m:rPr>
                  <m:sty m:val="p"/>
                </m:rPr>
                <w:rPr>
                  <w:rFonts w:ascii="Cambria Math" w:hAnsi="Cambria Math" w:cstheme="minorHAnsi"/>
                </w:rPr>
                <m:t>'</m:t>
              </m:r>
            </m:sup>
          </m:sSup>
          <m:r>
            <m:rPr>
              <m:sty m:val="bi"/>
            </m:rPr>
            <w:rPr>
              <w:rFonts w:ascii="Cambria Math" w:hAnsi="Cambria Math" w:cstheme="minorHAnsi"/>
            </w:rPr>
            <m:t>W</m:t>
          </m:r>
          <m:d>
            <m:dPr>
              <m:ctrlPr>
                <w:rPr>
                  <w:rFonts w:ascii="Cambria Math" w:hAnsi="Cambria Math" w:cstheme="minorHAnsi"/>
                </w:rPr>
              </m:ctrlPr>
            </m:dPr>
            <m:e>
              <m:r>
                <m:rPr>
                  <m:sty m:val="bi"/>
                </m:rPr>
                <w:rPr>
                  <w:rFonts w:ascii="Cambria Math" w:hAnsi="Cambria Math" w:cstheme="minorHAnsi"/>
                </w:rPr>
                <m:t>Y</m:t>
              </m:r>
              <m:r>
                <m:rPr>
                  <m:sty m:val="p"/>
                </m:rPr>
                <w:rPr>
                  <w:rFonts w:ascii="Cambria Math" w:hAnsi="Cambria Math" w:cstheme="minorHAnsi"/>
                </w:rPr>
                <m:t>-</m:t>
              </m:r>
              <m:r>
                <m:rPr>
                  <m:sty m:val="bi"/>
                </m:rPr>
                <w:rPr>
                  <w:rFonts w:ascii="Cambria Math" w:hAnsi="Cambria Math" w:cstheme="minorHAnsi"/>
                </w:rPr>
                <m:t>Xθ</m:t>
              </m:r>
            </m:e>
          </m:d>
          <m:r>
            <m:rPr>
              <m:sty m:val="p"/>
            </m:rPr>
            <w:rPr>
              <w:rFonts w:ascii="Cambria Math" w:hAnsi="Cambria Math" w:cstheme="minorHAnsi"/>
            </w:rPr>
            <m:t>=</m:t>
          </m:r>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bi"/>
                        </m:rPr>
                        <w:rPr>
                          <w:rFonts w:ascii="Cambria Math" w:hAnsi="Cambria Math" w:cstheme="minorHAnsi"/>
                        </w:rPr>
                        <m:t>X</m:t>
                      </m:r>
                    </m:e>
                    <m:sup>
                      <m:r>
                        <m:rPr>
                          <m:sty m:val="p"/>
                        </m:rPr>
                        <w:rPr>
                          <w:rFonts w:ascii="Cambria Math" w:hAnsi="Cambria Math" w:cstheme="minorHAnsi"/>
                        </w:rPr>
                        <m:t>'</m:t>
                      </m:r>
                    </m:sup>
                  </m:sSup>
                  <m:r>
                    <m:rPr>
                      <m:sty m:val="bi"/>
                    </m:rPr>
                    <w:rPr>
                      <w:rFonts w:ascii="Cambria Math" w:hAnsi="Cambria Math" w:cstheme="minorHAnsi"/>
                    </w:rPr>
                    <m:t>WX</m:t>
                  </m:r>
                </m:e>
              </m:d>
            </m:e>
            <m:sup>
              <m:r>
                <m:rPr>
                  <m:sty m:val="p"/>
                </m:rPr>
                <w:rPr>
                  <w:rFonts w:ascii="Cambria Math" w:hAnsi="Cambria Math" w:cstheme="minorHAnsi"/>
                </w:rPr>
                <m:t>-</m:t>
              </m:r>
              <m:r>
                <w:rPr>
                  <w:rFonts w:ascii="Cambria Math" w:hAnsi="Cambria Math" w:cstheme="minorHAnsi"/>
                </w:rPr>
                <m:t>1</m:t>
              </m:r>
            </m:sup>
          </m:sSup>
          <m:sSup>
            <m:sSupPr>
              <m:ctrlPr>
                <w:rPr>
                  <w:rFonts w:ascii="Cambria Math" w:hAnsi="Cambria Math" w:cstheme="minorHAnsi"/>
                </w:rPr>
              </m:ctrlPr>
            </m:sSupPr>
            <m:e>
              <m:r>
                <m:rPr>
                  <m:sty m:val="bi"/>
                </m:rPr>
                <w:rPr>
                  <w:rFonts w:ascii="Cambria Math" w:hAnsi="Cambria Math" w:cstheme="minorHAnsi"/>
                </w:rPr>
                <m:t>X</m:t>
              </m:r>
            </m:e>
            <m:sup>
              <m:r>
                <m:rPr>
                  <m:sty m:val="p"/>
                </m:rPr>
                <w:rPr>
                  <w:rFonts w:ascii="Cambria Math" w:hAnsi="Cambria Math" w:cstheme="minorHAnsi"/>
                </w:rPr>
                <m:t>'</m:t>
              </m:r>
            </m:sup>
          </m:sSup>
          <m:r>
            <m:rPr>
              <m:sty m:val="bi"/>
            </m:rPr>
            <w:rPr>
              <w:rFonts w:ascii="Cambria Math" w:hAnsi="Cambria Math" w:cstheme="minorHAnsi"/>
            </w:rPr>
            <m:t>WY</m:t>
          </m:r>
          <m:r>
            <m:rPr>
              <m:sty m:val="p"/>
            </m:rPr>
            <w:rPr>
              <w:rFonts w:ascii="Cambria Math" w:hAnsi="Cambria Math" w:cstheme="minorHAnsi"/>
            </w:rPr>
            <m:t>.</m:t>
          </m:r>
        </m:oMath>
      </m:oMathPara>
    </w:p>
    <w:p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II. From the Bresnahan conduct model to the DiD specification</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Clifton-Sprigg et al. (2025) use the ATE in synthetic DiD to estimate the average collapse in applications for higher education in the UK and derive a mechanical elasticity from that estimate. Their approach, however, lacks a robust theoretical foundation for the elasticity coefficients. In particular, no functional form or structural assumption is invoked to ensure that the implied elasticity is interpretable as a true demand-side parameter. Their design also abstracts from the heterogeneity in demand elasticity across affected EU countries, a limitation we address directly.</w:t>
      </w:r>
    </w:p>
    <w:p w:rsidR="00236015" w:rsidRPr="00C3586C" w:rsidRDefault="008B0A6B" w:rsidP="000A19E0">
      <w:pPr>
        <w:spacing w:line="360" w:lineRule="auto"/>
        <w:ind w:firstLine="720"/>
        <w:rPr>
          <w:rFonts w:asciiTheme="minorHAnsi" w:hAnsiTheme="minorHAnsi" w:cstheme="minorHAnsi"/>
        </w:rPr>
      </w:pPr>
      <w:r>
        <w:rPr>
          <w:rFonts w:asciiTheme="minorHAnsi" w:hAnsiTheme="minorHAnsi" w:cstheme="minorHAnsi"/>
        </w:rPr>
        <w:t xml:space="preserve">To derive demand elasticities theoretically from a DiD (or DiD-adjacent) design, consider a segmented demand system indexed by origin country </w:t>
      </w:r>
      <m:oMath>
        <m:r>
          <w:rPr>
            <w:rFonts w:ascii="Cambria Math" w:hAnsi="Cambria Math" w:cstheme="minorHAnsi"/>
          </w:rPr>
          <m:t>j</m:t>
        </m:r>
      </m:oMath>
      <w:r>
        <w:rPr>
          <w:rFonts w:asciiTheme="minorHAnsi" w:hAnsiTheme="minorHAnsi" w:cstheme="minorHAnsi"/>
        </w:rPr>
        <w:t xml:space="preserve"> and year </w:t>
      </w:r>
      <m:oMath>
        <m:r>
          <w:rPr>
            <w:rFonts w:ascii="Cambria Math" w:hAnsi="Cambria Math" w:cstheme="minorHAnsi"/>
          </w:rPr>
          <m:t>t</m:t>
        </m:r>
      </m:oMath>
      <w:r>
        <w:rPr>
          <w:rFonts w:asciiTheme="minorHAnsi" w:hAnsiTheme="minorHAnsi" w:cstheme="minorHAnsi"/>
        </w:rPr>
        <w:t xml:space="preserve">. Let </w:t>
      </w:r>
      <m:oMath>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oMath>
      <w:r>
        <w:rPr>
          <w:rFonts w:asciiTheme="minorHAnsi" w:hAnsiTheme="minorHAnsi" w:cstheme="minorHAnsi"/>
        </w:rPr>
        <w:t xml:space="preserve"> denote applications from country </w:t>
      </w:r>
      <m:oMath>
        <m:r>
          <w:rPr>
            <w:rFonts w:ascii="Cambria Math" w:hAnsi="Cambria Math" w:cstheme="minorHAnsi"/>
          </w:rPr>
          <m:t>j</m:t>
        </m:r>
      </m:oMath>
      <w:r>
        <w:rPr>
          <w:rFonts w:asciiTheme="minorHAnsi" w:hAnsiTheme="minorHAnsi" w:cstheme="minorHAnsi"/>
        </w:rPr>
        <w:t xml:space="preserve"> to UK universities, and </w:t>
      </w:r>
      <m:oMath>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oMath>
      <w:r>
        <w:rPr>
          <w:rFonts w:asciiTheme="minorHAnsi" w:hAnsiTheme="minorHAnsi" w:cstheme="minorHAnsi"/>
        </w:rPr>
        <w:t xml:space="preserve"> the effective tuition price faced by students from </w:t>
      </w:r>
      <m:oMath>
        <m:r>
          <w:rPr>
            <w:rFonts w:ascii="Cambria Math" w:hAnsi="Cambria Math" w:cstheme="minorHAnsi"/>
          </w:rPr>
          <m:t>j</m:t>
        </m:r>
      </m:oMath>
      <w:r>
        <w:rPr>
          <w:rFonts w:asciiTheme="minorHAnsi" w:hAnsiTheme="minorHAnsi" w:cstheme="minorHAnsi"/>
        </w:rPr>
        <w:t>. A standard log–linear demand specification consistent with Bresnahan’s (1982) framework with heterogeneous elasticities can be written as:</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m:rPr>
                <m:sty m:val="p"/>
              </m:rP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func>
          <m:funcPr>
            <m:ctrlPr>
              <w:rPr>
                <w:rFonts w:ascii="Cambria Math" w:hAnsi="Cambria Math" w:cstheme="minorHAnsi"/>
              </w:rPr>
            </m:ctrlPr>
          </m:funcPr>
          <m:fName>
            <m:r>
              <m:rPr>
                <m:sty m:val="p"/>
              </m:rPr>
              <w:rPr>
                <w:rFonts w:ascii="Cambria Math" w:hAnsi="Cambria Math" w:cstheme="minorHAnsi"/>
              </w:rPr>
              <m:t>log</m:t>
            </m:r>
            <m:ctrlPr>
              <w:rPr>
                <w:rFonts w:ascii="Cambria Math" w:hAnsi="Cambria Math" w:cstheme="minorHAnsi"/>
                <w:i/>
              </w:rPr>
            </m:ctrlP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X</m:t>
            </m:r>
          </m:e>
          <m:sub>
            <m:r>
              <w:rPr>
                <w:rFonts w:ascii="Cambria Math" w:hAnsi="Cambria Math" w:cstheme="minorHAnsi"/>
              </w:rPr>
              <m:t>j,t</m:t>
            </m:r>
          </m:sub>
          <m:sup>
            <m:r>
              <w:rPr>
                <w:rFonts w:ascii="Cambria Math" w:hAnsi="Cambria Math" w:cstheme="minorHAnsi"/>
              </w:rPr>
              <m:t>'</m:t>
            </m:r>
          </m:sup>
        </m:sSubSup>
        <m:r>
          <w:rPr>
            <w:rFonts w:ascii="Cambria Math" w:hAnsi="Cambria Math" w:cstheme="minorHAnsi"/>
          </w:rPr>
          <m:t xml:space="preserve"> 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Pr>
          <w:rFonts w:asciiTheme="minorHAnsi" w:hAnsiTheme="minorHAnsi" w:cstheme="minorHAnsi"/>
        </w:rPr>
        <w:tab/>
        <w:t>(1)</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where:</w:t>
      </w:r>
    </w:p>
    <w:p w:rsidR="00236015" w:rsidRPr="00C3586C" w:rsidRDefault="00382665"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oMath>
      <w:r w:rsidR="00C3586C">
        <w:rPr>
          <w:rFonts w:asciiTheme="minorHAnsi" w:hAnsiTheme="minorHAnsi" w:cstheme="minorHAnsi"/>
        </w:rPr>
        <w:t xml:space="preserve"> are country fixed effects (time-invariant demand shifters);</w:t>
      </w:r>
    </w:p>
    <w:p w:rsidR="00236015" w:rsidRPr="00C3586C" w:rsidRDefault="00382665"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oMath>
      <w:r w:rsidR="00C3586C">
        <w:rPr>
          <w:rFonts w:asciiTheme="minorHAnsi" w:hAnsiTheme="minorHAnsi" w:cstheme="minorHAnsi"/>
        </w:rPr>
        <w:t xml:space="preserve"> are year fixed effects (common shocks, e.g., COVID);</w:t>
      </w:r>
    </w:p>
    <w:p w:rsidR="00236015" w:rsidRPr="00C3586C" w:rsidRDefault="00382665" w:rsidP="00C3586C">
      <w:pPr>
        <w:pStyle w:val="ListParagraph"/>
        <w:numPr>
          <w:ilvl w:val="0"/>
          <w:numId w:val="1"/>
        </w:numPr>
        <w:spacing w:line="360" w:lineRule="auto"/>
        <w:rPr>
          <w:rFonts w:asciiTheme="minorHAnsi" w:hAnsiTheme="minorHAnsi" w:cstheme="minorHAnsi"/>
        </w:rPr>
      </w:pPr>
      <m:oMath>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oMath>
      <w:r w:rsidR="00C3586C">
        <w:rPr>
          <w:rFonts w:asciiTheme="minorHAnsi" w:hAnsiTheme="minorHAnsi" w:cstheme="minorHAnsi"/>
        </w:rPr>
        <w:t xml:space="preserve"> is a vector of additional observables;</w:t>
      </w:r>
    </w:p>
    <w:p w:rsidR="00236015" w:rsidRPr="00C3586C" w:rsidRDefault="00382665"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oMath>
      <w:r w:rsidR="00C3586C">
        <w:rPr>
          <w:rFonts w:asciiTheme="minorHAnsi" w:hAnsiTheme="minorHAnsi" w:cstheme="minorHAnsi"/>
        </w:rPr>
        <w:t xml:space="preserve"> is the demand elasticity for country </w:t>
      </w:r>
      <m:oMath>
        <m:r>
          <w:rPr>
            <w:rFonts w:ascii="Cambria Math" w:hAnsi="Cambria Math" w:cstheme="minorHAnsi"/>
          </w:rPr>
          <m:t>j</m:t>
        </m:r>
      </m:oMath>
      <w:r w:rsidR="00C3586C">
        <w:rPr>
          <w:rFonts w:asciiTheme="minorHAnsi" w:hAnsiTheme="minorHAnsi" w:cstheme="minorHAnsi"/>
        </w:rPr>
        <w:t>;</w:t>
      </w:r>
    </w:p>
    <w:p w:rsidR="00236015" w:rsidRPr="00C3586C" w:rsidRDefault="00382665"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sidR="00C3586C">
        <w:rPr>
          <w:rFonts w:asciiTheme="minorHAnsi" w:hAnsiTheme="minorHAnsi" w:cstheme="minorHAnsi"/>
        </w:rPr>
        <w:t xml:space="preserve"> is an error term assumed to be normally distributed with mean zero.</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lastRenderedPageBreak/>
        <w:t xml:space="preserve">In this specification, the (absolute) price elasticity of demand is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num>
          <m:den>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den>
        </m:f>
      </m:oMath>
      <w:r>
        <w:rPr>
          <w:rFonts w:asciiTheme="minorHAnsi" w:hAnsiTheme="minorHAnsi" w:cstheme="minorHAnsi"/>
        </w:rPr>
        <w:t>, which represents the local derivative of an isoelastic demand curve. We do not add a constant inside the logarithm because no country in the sample ever records zero applications; taking the direct log of demand is also more directly tied to the isoelastic curve we estimate.</w:t>
      </w:r>
    </w:p>
    <w:p w:rsidR="00236015" w:rsidRPr="00C3586C" w:rsidRDefault="008B0A6B" w:rsidP="000A19E0">
      <w:pPr>
        <w:spacing w:line="360" w:lineRule="auto"/>
        <w:ind w:firstLine="720"/>
        <w:rPr>
          <w:rFonts w:asciiTheme="minorHAnsi" w:hAnsiTheme="minorHAnsi" w:cstheme="minorHAnsi"/>
        </w:rPr>
      </w:pPr>
      <w:r>
        <w:rPr>
          <w:rFonts w:asciiTheme="minorHAnsi" w:hAnsiTheme="minorHAnsi" w:cstheme="minorHAnsi"/>
        </w:rPr>
        <w:t xml:space="preserve">Brexit introduces a discrete and exogenous tuition shock for EU origin markets. Let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oMath>
      <w:r>
        <w:rPr>
          <w:rFonts w:asciiTheme="minorHAnsi" w:hAnsiTheme="minorHAnsi" w:cstheme="minorHAnsi"/>
        </w:rPr>
        <w:t xml:space="preserve"> be an indicator equal to 1 in years after the new fee regime is introduced (post-2020) and 0 otherwise, and let </w:t>
      </w:r>
      <m:oMath>
        <m: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oMath>
      <w:r>
        <w:rPr>
          <w:rFonts w:asciiTheme="minorHAnsi" w:hAnsiTheme="minorHAnsi" w:cstheme="minorHAnsi"/>
        </w:rPr>
        <w:t xml:space="preserve"> indicate EU origin countries (excluding Ireland). The Brexit shock enters the price equation as the system of simultaneous equations defining the country-specific reaction to the exogenous tuition shock:</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1</m:t>
        </m:r>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ab/>
        <w:t>(2)</w:t>
      </w:r>
    </w:p>
    <w:p w:rsidR="00236015" w:rsidRPr="00C3586C" w:rsidRDefault="00382665"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r w:rsidR="00C3586C">
        <w:rPr>
          <w:rFonts w:asciiTheme="minorHAnsi" w:hAnsiTheme="minorHAnsi" w:cstheme="minorHAnsi"/>
        </w:rPr>
        <w:t xml:space="preserve"> are country-specific intercepts identifying the price level-maintained pre-Brexit;</w:t>
      </w:r>
    </w:p>
    <w:p w:rsidR="00236015" w:rsidRPr="00C3586C" w:rsidRDefault="00382665"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sidR="00C3586C">
        <w:rPr>
          <w:rFonts w:asciiTheme="minorHAnsi" w:hAnsiTheme="minorHAnsi" w:cstheme="minorHAnsi"/>
        </w:rPr>
        <w:t xml:space="preserve"> is the log price change induced by Brexit for origin </w:t>
      </w:r>
      <m:oMath>
        <m:r>
          <w:rPr>
            <w:rFonts w:ascii="Cambria Math" w:hAnsi="Cambria Math" w:cstheme="minorHAnsi"/>
          </w:rPr>
          <m:t>j</m:t>
        </m:r>
      </m:oMath>
      <w:r w:rsidR="00C3586C">
        <w:rPr>
          <w:rFonts w:asciiTheme="minorHAnsi" w:hAnsiTheme="minorHAnsi" w:cstheme="minorHAnsi"/>
        </w:rPr>
        <w:t xml:space="preserve"> (assumed fixed for now; we relax this assumption later to expose an alternative source of heterogeneity in elasticities);</w:t>
      </w:r>
    </w:p>
    <w:p w:rsidR="00236015" w:rsidRPr="00C3586C" w:rsidRDefault="00382665"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sidR="00C3586C">
        <w:rPr>
          <w:rFonts w:asciiTheme="minorHAnsi" w:hAnsiTheme="minorHAnsi" w:cstheme="minorHAnsi"/>
        </w:rPr>
        <w:t xml:space="preserve"> is a pricing error term assumed to be normally distributed with mean zero.</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Combining equations (1) and (2) yields:</w:t>
      </w:r>
    </w:p>
    <w:p w:rsidR="00236015" w:rsidRPr="00C3586C" w:rsidRDefault="00382665" w:rsidP="00C3586C">
      <w:pPr>
        <w:spacing w:before="120" w:line="360" w:lineRule="auto"/>
        <w:rPr>
          <w:rFonts w:asciiTheme="minorHAnsi" w:hAnsiTheme="minorHAnsi" w:cstheme="minorHAnsi"/>
        </w:rPr>
      </w:pPr>
      <m:oMathPara>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 xml:space="preserve"> </m:t>
          </m:r>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m:t>
              </m:r>
              <m:r>
                <m:rPr>
                  <m:sty m:val="bi"/>
                </m:rP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e>
          </m:d>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m:oMathPara>
    </w:p>
    <w:p w:rsidR="00236015" w:rsidRPr="00C3586C" w:rsidRDefault="008B0A6B" w:rsidP="00C3586C">
      <w:pPr>
        <w:spacing w:before="120" w:line="360" w:lineRule="auto"/>
        <w:rPr>
          <w:rFonts w:asciiTheme="minorHAnsi" w:hAnsiTheme="minorHAnsi" w:cstheme="minorHAnsi"/>
        </w:rPr>
      </w:pPr>
      <m:oMathPara>
        <m:oMath>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m:rPr>
              <m:sty m:val="bi"/>
            </m:rP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Let </w:t>
      </w:r>
      <m:oMath>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r>
        <w:rPr>
          <w:rFonts w:asciiTheme="minorHAnsi" w:hAnsiTheme="minorHAnsi" w:cstheme="minorHAnsi"/>
        </w:rPr>
        <w:t xml:space="preserve"> absorb the country-specific demand shifter and the pre-Brexit price intercept, and let </w:t>
      </w:r>
      <m:oMath>
        <m:sSubSup>
          <m:sSubSupPr>
            <m:ctrlPr>
              <w:rPr>
                <w:rFonts w:ascii="Cambria Math" w:hAnsi="Cambria Math" w:cstheme="minorHAnsi"/>
              </w:rPr>
            </m:ctrlPr>
          </m:sSubSupPr>
          <m:e>
            <m:r>
              <w:rPr>
                <w:rFonts w:ascii="Cambria Math" w:hAnsi="Cambria Math" w:cstheme="minorHAnsi"/>
              </w:rPr>
              <m:t>ε</m:t>
            </m:r>
          </m:e>
          <m:sub>
            <m:r>
              <w:rPr>
                <w:rFonts w:ascii="Cambria Math" w:hAnsi="Cambria Math" w:cstheme="minorHAnsi"/>
              </w:rPr>
              <m:t>j,t</m:t>
            </m:r>
          </m:sub>
          <m:sup>
            <m:r>
              <w:rPr>
                <w:rFonts w:ascii="Cambria Math" w:hAnsi="Cambria Math" w:cstheme="minorHAnsi"/>
              </w:rPr>
              <m:t>*</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 xml:space="preserve"> denote the composite error. Both </w:t>
      </w:r>
      <m:oMath>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oMath>
      <w:r>
        <w:rPr>
          <w:rFonts w:asciiTheme="minorHAnsi" w:hAnsiTheme="minorHAnsi" w:cstheme="minorHAnsi"/>
        </w:rPr>
        <w:t xml:space="preserve"> and </w:t>
      </w:r>
      <m:oMath>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r>
        <w:rPr>
          <w:rFonts w:asciiTheme="minorHAnsi" w:hAnsiTheme="minorHAnsi" w:cstheme="minorHAnsi"/>
        </w:rPr>
        <w:t xml:space="preserve"> are time-invariant and are absorbed by the demeaning step in any standard TWFE specification. The composite error is inherently heteroskedastic and serially correlated, so we estimate the models using Driscoll and Kraay (1998) standard errors to account for cross-sectional dependence and serial correlation. The derivations imply the reduced-form specification:</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r>
          <m:rPr>
            <m:sty m:val="bi"/>
          </m:rP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Sup>
          <m:sSubSupPr>
            <m:ctrlPr>
              <w:rPr>
                <w:rFonts w:ascii="Cambria Math" w:hAnsi="Cambria Math" w:cstheme="minorHAnsi"/>
              </w:rPr>
            </m:ctrlPr>
          </m:sSubSupPr>
          <m:e>
            <m:r>
              <w:rPr>
                <w:rFonts w:ascii="Cambria Math" w:hAnsi="Cambria Math" w:cstheme="minorHAnsi"/>
              </w:rPr>
              <m:t>ε</m:t>
            </m:r>
          </m:e>
          <m:sub>
            <m:r>
              <w:rPr>
                <w:rFonts w:ascii="Cambria Math" w:hAnsi="Cambria Math" w:cstheme="minorHAnsi"/>
              </w:rPr>
              <m:t>j,t</m:t>
            </m:r>
          </m:sub>
          <m:sup>
            <m:r>
              <w:rPr>
                <w:rFonts w:ascii="Cambria Math" w:hAnsi="Cambria Math" w:cstheme="minorHAnsi"/>
              </w:rPr>
              <m:t>*</m:t>
            </m:r>
          </m:sup>
        </m:sSubSup>
      </m:oMath>
      <w:r>
        <w:rPr>
          <w:rFonts w:asciiTheme="minorHAnsi" w:hAnsiTheme="minorHAnsi" w:cstheme="minorHAnsi"/>
        </w:rPr>
        <w:tab/>
        <w:t>(3)</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with </w: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The country-specific DiD coefficient </w: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oMath>
      <w:r>
        <w:rPr>
          <w:rFonts w:asciiTheme="minorHAnsi" w:hAnsiTheme="minorHAnsi" w:cstheme="minorHAnsi"/>
        </w:rPr>
        <w:t xml:space="preserve"> is therefore the product of the demand elasticity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oMath>
      <w:r>
        <w:rPr>
          <w:rFonts w:asciiTheme="minorHAnsi" w:hAnsiTheme="minorHAnsi" w:cstheme="minorHAnsi"/>
        </w:rPr>
        <w:t xml:space="preserve"> and the log price shock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equivalently,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num>
          <m:den>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en>
        </m:f>
      </m:oMath>
      <w:r>
        <w:rPr>
          <w:rFonts w:asciiTheme="minorHAnsi" w:hAnsiTheme="minorHAnsi" w:cstheme="minorHAnsi"/>
        </w:rPr>
        <w:t xml:space="preserve">. When we collapse to a single treatment indicator for all EU countries (an indicator equal to 1 for any country in the EU), the two-way fixed-effects (TWFE) DiD regression identifies the average treatment effect on the treated in log units. Although we report robustness checks under alternative estimators, the most credible way to retain the </w:t>
      </w:r>
      <w:r>
        <w:rPr>
          <w:rFonts w:asciiTheme="minorHAnsi" w:hAnsiTheme="minorHAnsi" w:cstheme="minorHAnsi"/>
        </w:rPr>
        <w:lastRenderedPageBreak/>
        <w:t xml:space="preserve">saturated form of the DiD regression is via the TWFE estimator. After simple algebraic manipulation of equation (2), and imposing </w:t>
      </w:r>
      <m:oMath>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=1</m:t>
        </m:r>
      </m:oMath>
      <w:r>
        <w:rPr>
          <w:rFonts w:asciiTheme="minorHAnsi" w:hAnsiTheme="minorHAnsi" w:cstheme="minorHAnsi"/>
        </w:rPr>
        <w:t xml:space="preserve"> together with </w:t>
      </w:r>
      <m:oMath>
        <m:r>
          <w:rPr>
            <w:rFonts w:ascii="Cambria Math" w:hAnsi="Cambria Math" w:cstheme="minorHAnsi"/>
          </w:rPr>
          <m:t>Δ</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m:t>
            </m:r>
          </m:sub>
        </m:sSub>
        <m:r>
          <w:rPr>
            <w:rFonts w:ascii="Cambria Math" w:hAnsi="Cambria Math" w:cstheme="minorHAnsi"/>
          </w:rPr>
          <m:t>≈0</m:t>
        </m:r>
      </m:oMath>
      <w:r>
        <w:rPr>
          <w:rFonts w:asciiTheme="minorHAnsi" w:hAnsiTheme="minorHAnsi" w:cstheme="minorHAnsi"/>
        </w:rPr>
        <w:t xml:space="preserve">,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is given by:</w:t>
      </w:r>
    </w:p>
    <w:p w:rsidR="00236015" w:rsidRPr="00C3586C" w:rsidRDefault="008B0A6B" w:rsidP="00C3586C">
      <w:pPr>
        <w:spacing w:before="120" w:line="360" w:lineRule="auto"/>
        <w:rPr>
          <w:rFonts w:asciiTheme="minorHAnsi" w:hAnsiTheme="minorHAnsi" w:cstheme="minorHAnsi"/>
        </w:rPr>
      </w:pPr>
      <m:oMathPara>
        <m:oMath>
          <m:r>
            <w:rPr>
              <w:rFonts w:ascii="Cambria Math" w:hAnsi="Cambria Math" w:cstheme="minorHAnsi"/>
            </w:rPr>
            <m:t xml:space="preserve">Δ </m:t>
          </m:r>
          <m:sSubSup>
            <m:sSubSupPr>
              <m:ctrlPr>
                <w:rPr>
                  <w:rFonts w:ascii="Cambria Math" w:hAnsi="Cambria Math" w:cstheme="minorHAnsi"/>
                </w:rPr>
              </m:ctrlPr>
            </m:sSubSupPr>
            <m:e>
              <m:r>
                <w:rPr>
                  <w:rFonts w:ascii="Cambria Math" w:hAnsi="Cambria Math" w:cstheme="minorHAnsi"/>
                </w:rPr>
                <m:t>log P</m:t>
              </m:r>
            </m:e>
            <m:sub>
              <m:r>
                <w:rPr>
                  <w:rFonts w:ascii="Cambria Math" w:hAnsi="Cambria Math" w:cstheme="minorHAnsi"/>
                </w:rPr>
                <m:t>j</m:t>
              </m:r>
            </m:sub>
            <m:sup>
              <m:r>
                <w:rPr>
                  <w:rFonts w:ascii="Cambria Math" w:hAnsi="Cambria Math" w:cstheme="minorHAnsi"/>
                </w:rPr>
                <m:t>Brexit</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Thus, if the post-Brexit tuition jumped from </w:t>
      </w:r>
      <m:oMath>
        <m:r>
          <w:rPr>
            <w:rFonts w:ascii="Cambria Math" w:hAnsi="Cambria Math" w:cstheme="minorHAnsi"/>
          </w:rPr>
          <m:t>£9250</m:t>
        </m:r>
      </m:oMath>
      <w:r>
        <w:rPr>
          <w:rFonts w:asciiTheme="minorHAnsi" w:hAnsiTheme="minorHAnsi" w:cstheme="minorHAnsi"/>
        </w:rPr>
        <w:t xml:space="preserve"> to </w:t>
      </w:r>
      <m:oMath>
        <m:r>
          <w:rPr>
            <w:rFonts w:ascii="Cambria Math" w:hAnsi="Cambria Math" w:cstheme="minorHAnsi"/>
          </w:rPr>
          <m:t>£22,200</m:t>
        </m:r>
      </m:oMath>
      <w:r>
        <w:rPr>
          <w:rFonts w:asciiTheme="minorHAnsi" w:hAnsiTheme="minorHAnsi" w:cstheme="minorHAnsi"/>
        </w:rPr>
        <w:t xml:space="preserve"> (implying a homogeneous price shock,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m:rPr>
                <m:scr m:val="script"/>
              </m:rPr>
              <w:rPr>
                <w:rFonts w:ascii="Cambria Math" w:hAnsi="Cambria Math" w:cstheme="minorHAnsi"/>
              </w:rPr>
              <m:t>l</m:t>
            </m:r>
          </m:sub>
        </m:sSub>
      </m:oMath>
      <w:r>
        <w:rPr>
          <w:rFonts w:asciiTheme="minorHAnsi" w:hAnsiTheme="minorHAnsi" w:cstheme="minorHAnsi"/>
        </w:rPr>
        <w:t xml:space="preserve"> for all </w:t>
      </w:r>
      <m:oMath>
        <m:r>
          <m:rPr>
            <m:scr m:val="script"/>
          </m:rPr>
          <w:rPr>
            <w:rFonts w:ascii="Cambria Math" w:hAnsi="Cambria Math" w:cstheme="minorHAnsi"/>
          </w:rPr>
          <m:t>l≠</m:t>
        </m:r>
        <m:r>
          <w:rPr>
            <w:rFonts w:ascii="Cambria Math" w:hAnsi="Cambria Math" w:cstheme="minorHAnsi"/>
          </w:rPr>
          <m:t>j</m:t>
        </m:r>
      </m:oMath>
      <w:r>
        <w:rPr>
          <w:rFonts w:asciiTheme="minorHAnsi" w:hAnsiTheme="minorHAnsi" w:cstheme="minorHAnsi"/>
        </w:rPr>
        <w:t xml:space="preserve"> ) it follows that:</w:t>
      </w:r>
    </w:p>
    <w:p w:rsidR="00236015" w:rsidRPr="00C3586C" w:rsidRDefault="00382665"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r>
                <w:rPr>
                  <w:rFonts w:ascii="Cambria Math" w:hAnsi="Cambria Math" w:cstheme="minorHAnsi"/>
                </w:rPr>
                <m:t>22,200</m:t>
              </m:r>
            </m:e>
          </m:func>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r>
                <w:rPr>
                  <w:rFonts w:ascii="Cambria Math" w:hAnsi="Cambria Math" w:cstheme="minorHAnsi"/>
                </w:rPr>
                <m:t>9250</m:t>
              </m:r>
            </m:e>
          </m:func>
          <m:r>
            <w:rPr>
              <w:rFonts w:ascii="Cambria Math" w:hAnsi="Cambria Math" w:cstheme="minorHAnsi"/>
            </w:rPr>
            <m:t>≈0.86</m:t>
          </m:r>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To allow heterogeneous values of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we exploit the structure of the Plan 2 income-contingent loan. Under Plan 2, graduates repay 9% of annual earnings above a statutory threshold (UK Government, n.d.-a). For the relevant cohort, the threshold is </w:t>
      </w:r>
      <m:oMath>
        <m:r>
          <w:rPr>
            <w:rFonts w:ascii="Cambria Math" w:hAnsi="Cambria Math" w:cstheme="minorHAnsi"/>
          </w:rPr>
          <m:t>£27,295</m:t>
        </m:r>
      </m:oMath>
      <w:r>
        <w:rPr>
          <w:rFonts w:asciiTheme="minorHAnsi" w:hAnsiTheme="minorHAnsi" w:cstheme="minorHAnsi"/>
        </w:rPr>
        <w:t xml:space="preserve"> per annum. Annual repayments are therefore</w:t>
      </w:r>
    </w:p>
    <w:p w:rsidR="00236015" w:rsidRPr="00C3586C" w:rsidRDefault="00382665"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R</m:t>
              </m:r>
            </m:e>
            <m:sub>
              <m:r>
                <w:rPr>
                  <w:rFonts w:ascii="Cambria Math" w:hAnsi="Cambria Math" w:cstheme="minorHAnsi"/>
                </w:rPr>
                <m:t>t</m:t>
              </m:r>
            </m:sub>
          </m:sSub>
          <m:r>
            <w:rPr>
              <w:rFonts w:ascii="Cambria Math" w:hAnsi="Cambria Math" w:cstheme="minorHAnsi"/>
            </w:rPr>
            <m:t>=0.09⋅max</m:t>
          </m:r>
          <m:d>
            <m:dPr>
              <m:begChr m:val="{"/>
              <m:endChr m:val="}"/>
              <m:ctrlPr>
                <w:rPr>
                  <w:rFonts w:ascii="Cambria Math" w:hAnsi="Cambria Math" w:cstheme="minorHAnsi"/>
                </w:rPr>
              </m:ctrlPr>
            </m:dPr>
            <m:e>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t</m:t>
                  </m:r>
                </m:sub>
              </m:sSub>
              <m:r>
                <w:rPr>
                  <w:rFonts w:ascii="Cambria Math" w:hAnsi="Cambria Math" w:cstheme="minorHAnsi"/>
                </w:rPr>
                <m:t>-τ</m:t>
              </m:r>
            </m:e>
          </m:d>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where </w:t>
      </w:r>
      <m:oMath>
        <m:r>
          <w:rPr>
            <w:rFonts w:ascii="Cambria Math" w:hAnsi="Cambria Math" w:cstheme="minorHAnsi"/>
          </w:rPr>
          <m:t>τ</m:t>
        </m:r>
      </m:oMath>
      <w:r>
        <w:rPr>
          <w:rFonts w:asciiTheme="minorHAnsi" w:hAnsiTheme="minorHAnsi" w:cstheme="minorHAnsi"/>
        </w:rPr>
        <w:t xml:space="preserve"> denotes the repayment threshold and </w:t>
      </w: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t</m:t>
            </m:r>
          </m:sub>
        </m:sSub>
      </m:oMath>
      <w:r>
        <w:rPr>
          <w:rFonts w:asciiTheme="minorHAnsi" w:hAnsiTheme="minorHAnsi" w:cstheme="minorHAnsi"/>
        </w:rPr>
        <w:t xml:space="preserve"> follows a deterministic wage path with annual growth rate </w:t>
      </w:r>
      <m:oMath>
        <m:r>
          <w:rPr>
            <w:rFonts w:ascii="Cambria Math" w:hAnsi="Cambria Math" w:cstheme="minorHAnsi"/>
          </w:rPr>
          <m:t>g</m:t>
        </m:r>
      </m:oMath>
      <w:r>
        <w:rPr>
          <w:rFonts w:asciiTheme="minorHAnsi" w:hAnsiTheme="minorHAnsi" w:cstheme="minorHAnsi"/>
        </w:rPr>
        <w:t xml:space="preserve">. The loan is written off 30 years after the April in which repayment becomes due (UK Government, n.d.-b), giving a finite horizon </w:t>
      </w:r>
      <m:oMath>
        <m:r>
          <w:rPr>
            <w:rFonts w:ascii="Cambria Math" w:hAnsi="Cambria Math" w:cstheme="minorHAnsi"/>
          </w:rPr>
          <m:t>T=30</m:t>
        </m:r>
      </m:oMath>
      <w:r>
        <w:rPr>
          <w:rFonts w:asciiTheme="minorHAnsi" w:hAnsiTheme="minorHAnsi" w:cstheme="minorHAnsi"/>
        </w:rPr>
        <w:t xml:space="preserve">. Interest accrues at the Retail Price Index (RPI) plus up to three percentage points, depending on income (UK Government, n.d.-c). Rather than replicate the full income-dependent interest schedule, we model the economic burden of the loan as the present value of expected repayments, discounted at a constant rate </w:t>
      </w:r>
      <m:oMath>
        <m:r>
          <w:rPr>
            <w:rFonts w:ascii="Cambria Math" w:hAnsi="Cambria Math" w:cstheme="minorHAnsi"/>
          </w:rPr>
          <m:t>δ</m:t>
        </m:r>
      </m:oMath>
      <w:r>
        <w:rPr>
          <w:rFonts w:asciiTheme="minorHAnsi" w:hAnsiTheme="minorHAnsi" w:cstheme="minorHAnsi"/>
        </w:rPr>
        <w:t>. The present value of the loan is therefore</w:t>
      </w:r>
    </w:p>
    <w:p w:rsidR="00236015" w:rsidRPr="00C3586C" w:rsidRDefault="00382665"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PV</m:t>
              </m:r>
            </m:e>
            <m:sub>
              <m:r>
                <w:rPr>
                  <w:rFonts w:ascii="Cambria Math" w:hAnsi="Cambria Math" w:cstheme="minorHAnsi"/>
                </w:rPr>
                <m:t>loan</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d>
          <m:r>
            <w:rPr>
              <w:rFonts w:ascii="Cambria Math" w:hAnsi="Cambria Math" w:cstheme="minorHAnsi"/>
            </w:rPr>
            <m:t>=</m:t>
          </m:r>
          <m:nary>
            <m:naryPr>
              <m:chr m:val="∑"/>
              <m:limLoc m:val="undOvr"/>
              <m:ctrlPr>
                <w:rPr>
                  <w:rFonts w:ascii="Cambria Math" w:hAnsi="Cambria Math" w:cstheme="minorHAnsi"/>
                </w:rPr>
              </m:ctrlPr>
            </m:naryPr>
            <m:sub>
              <m:r>
                <w:rPr>
                  <w:rFonts w:ascii="Cambria Math" w:hAnsi="Cambria Math" w:cstheme="minorHAnsi"/>
                </w:rPr>
                <m:t>t=1</m:t>
              </m:r>
            </m:sub>
            <m:sup>
              <m:r>
                <w:rPr>
                  <w:rFonts w:ascii="Cambria Math" w:hAnsi="Cambria Math" w:cstheme="minorHAnsi"/>
                </w:rPr>
                <m:t>30</m:t>
              </m:r>
            </m:sup>
            <m:e>
              <m:f>
                <m:fPr>
                  <m:ctrlPr>
                    <w:rPr>
                      <w:rFonts w:ascii="Cambria Math" w:hAnsi="Cambria Math" w:cstheme="minorHAnsi"/>
                    </w:rPr>
                  </m:ctrlPr>
                </m:fPr>
                <m:num>
                  <m:r>
                    <w:rPr>
                      <w:rFonts w:ascii="Cambria Math" w:hAnsi="Cambria Math" w:cstheme="minorHAnsi"/>
                    </w:rPr>
                    <m:t>0.09⋅max</m:t>
                  </m:r>
                  <m:d>
                    <m:dPr>
                      <m:begChr m:val="{"/>
                      <m:endChr m:val="}"/>
                      <m:ctrlPr>
                        <w:rPr>
                          <w:rFonts w:ascii="Cambria Math" w:hAnsi="Cambria Math" w:cstheme="minorHAnsi"/>
                        </w:rPr>
                      </m:ctrlPr>
                    </m:dPr>
                    <m:e>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sSup>
                        <m:sSupPr>
                          <m:ctrlPr>
                            <w:rPr>
                              <w:rFonts w:ascii="Cambria Math" w:hAnsi="Cambria Math" w:cstheme="minorHAnsi"/>
                            </w:rPr>
                          </m:ctrlPr>
                        </m:sSupPr>
                        <m:e>
                          <m:d>
                            <m:dPr>
                              <m:ctrlPr>
                                <w:rPr>
                                  <w:rFonts w:ascii="Cambria Math" w:hAnsi="Cambria Math" w:cstheme="minorHAnsi"/>
                                </w:rPr>
                              </m:ctrlPr>
                            </m:dPr>
                            <m:e>
                              <m:r>
                                <w:rPr>
                                  <w:rFonts w:ascii="Cambria Math" w:hAnsi="Cambria Math" w:cstheme="minorHAnsi"/>
                                </w:rPr>
                                <m:t>1+g</m:t>
                              </m:r>
                            </m:e>
                          </m:d>
                        </m:e>
                        <m:sup>
                          <m:r>
                            <w:rPr>
                              <w:rFonts w:ascii="Cambria Math" w:hAnsi="Cambria Math" w:cstheme="minorHAnsi"/>
                            </w:rPr>
                            <m:t>t-1</m:t>
                          </m:r>
                        </m:sup>
                      </m:sSup>
                      <m:r>
                        <w:rPr>
                          <w:rFonts w:ascii="Cambria Math" w:hAnsi="Cambria Math" w:cstheme="minorHAnsi"/>
                        </w:rPr>
                        <m:t>-τ</m:t>
                      </m:r>
                    </m:e>
                  </m:d>
                </m:num>
                <m:den>
                  <m:sSup>
                    <m:sSupPr>
                      <m:ctrlPr>
                        <w:rPr>
                          <w:rFonts w:ascii="Cambria Math" w:hAnsi="Cambria Math" w:cstheme="minorHAnsi"/>
                        </w:rPr>
                      </m:ctrlPr>
                    </m:sSupPr>
                    <m:e>
                      <m:d>
                        <m:dPr>
                          <m:ctrlPr>
                            <w:rPr>
                              <w:rFonts w:ascii="Cambria Math" w:hAnsi="Cambria Math" w:cstheme="minorHAnsi"/>
                            </w:rPr>
                          </m:ctrlPr>
                        </m:dPr>
                        <m:e>
                          <m:r>
                            <w:rPr>
                              <w:rFonts w:ascii="Cambria Math" w:hAnsi="Cambria Math" w:cstheme="minorHAnsi"/>
                            </w:rPr>
                            <m:t>1+δ</m:t>
                          </m:r>
                        </m:e>
                      </m:d>
                    </m:e>
                    <m:sup>
                      <m:r>
                        <w:rPr>
                          <w:rFonts w:ascii="Cambria Math" w:hAnsi="Cambria Math" w:cstheme="minorHAnsi"/>
                        </w:rPr>
                        <m:t>t</m:t>
                      </m:r>
                    </m:sup>
                  </m:sSup>
                </m:den>
              </m:f>
            </m:e>
          </m:nary>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In the baseline specification we set </w:t>
      </w:r>
      <m:oMath>
        <m:r>
          <w:rPr>
            <w:rFonts w:ascii="Cambria Math" w:hAnsi="Cambria Math" w:cstheme="minorHAnsi"/>
          </w:rPr>
          <m:t>δ=3%</m:t>
        </m:r>
      </m:oMath>
      <w:r>
        <w:rPr>
          <w:rFonts w:asciiTheme="minorHAnsi" w:hAnsiTheme="minorHAnsi" w:cstheme="minorHAnsi"/>
        </w:rPr>
        <w:t xml:space="preserve">. We compute the present value at the average country-specific wage </w:t>
      </w:r>
      <m:oMath>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oMath>
      <w:r>
        <w:rPr>
          <w:rFonts w:asciiTheme="minorHAnsi" w:hAnsiTheme="minorHAnsi" w:cstheme="minorHAnsi"/>
        </w:rPr>
        <w:t xml:space="preserve">, and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becomes a function of that wage:</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d>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r>
              <w:rPr>
                <w:rFonts w:ascii="Cambria Math" w:hAnsi="Cambria Math" w:cstheme="minorHAnsi"/>
              </w:rPr>
              <m:t>22 200</m:t>
            </m:r>
          </m:e>
        </m:func>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PV</m:t>
                </m:r>
              </m:e>
              <m:sub>
                <m:r>
                  <w:rPr>
                    <w:rFonts w:ascii="Cambria Math" w:hAnsi="Cambria Math" w:cstheme="minorHAnsi"/>
                  </w:rPr>
                  <m:t>loan</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d>
          </m:e>
        </m:func>
      </m:oMath>
      <w:r>
        <w:rPr>
          <w:rFonts w:asciiTheme="minorHAnsi" w:hAnsiTheme="minorHAnsi" w:cstheme="minorHAnsi"/>
        </w:rPr>
        <w:tab/>
        <w:t>(4)</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The income gradient in the country-specific elasticities collapses only if </w: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r>
          <w:rPr>
            <w:rFonts w:ascii="Cambria Math" w:hAnsi="Cambria Math" w:cstheme="minorHAnsi"/>
          </w:rPr>
          <m:t>≈c⋅</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(i.e. near-zero residual correlation with GDP per capita), implying that all cross-country variation in </w:t>
      </w:r>
      <m:oMath>
        <m:r>
          <w:rPr>
            <w:rFonts w:ascii="Cambria Math" w:hAnsi="Cambria Math" w:cstheme="minorHAnsi"/>
          </w:rPr>
          <m:t>β</m:t>
        </m:r>
      </m:oMath>
      <w:r>
        <w:rPr>
          <w:rFonts w:asciiTheme="minorHAnsi" w:hAnsiTheme="minorHAnsi" w:cstheme="minorHAnsi"/>
        </w:rPr>
        <w:t xml:space="preserve"> originates in loan-valuation mechanics and that no independent preference heterogeneity remains. In that limiting case, the observed cross-country differences in the application collapse would be predominantly mechanical, driven by how the discounted repayment burden varies with earnings.</w:t>
      </w:r>
    </w:p>
    <w:p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III. Derivation of the COVID country-specific effect ωⱼ</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Start from the main specification, equations (1) and (2):</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lastRenderedPageBreak/>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 xml:space="preserve"> </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Pr>
          <w:rFonts w:asciiTheme="minorHAnsi" w:hAnsiTheme="minorHAnsi" w:cstheme="minorHAnsi"/>
        </w:rPr>
        <w:tab/>
        <w:t>(5)</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ab/>
        <w:t>(6)</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Decompose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oMath>
      <w:r>
        <w:rPr>
          <w:rFonts w:asciiTheme="minorHAnsi" w:hAnsiTheme="minorHAnsi" w:cstheme="minorHAnsi"/>
        </w:rPr>
        <w:t xml:space="preserve">, with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oMath>
      <w:r>
        <w:rPr>
          <w:rFonts w:asciiTheme="minorHAnsi" w:hAnsiTheme="minorHAnsi" w:cstheme="minorHAnsi"/>
        </w:rPr>
        <w:t xml:space="preserve"> for </w:t>
      </w:r>
      <m:oMath>
        <m:r>
          <w:rPr>
            <w:rFonts w:ascii="Cambria Math" w:hAnsi="Cambria Math" w:cstheme="minorHAnsi"/>
          </w:rPr>
          <m:t>t∈{2021,2022}</m:t>
        </m:r>
      </m:oMath>
      <w:r>
        <w:rPr>
          <w:rFonts w:asciiTheme="minorHAnsi" w:hAnsiTheme="minorHAnsi" w:cstheme="minorHAnsi"/>
        </w:rPr>
        <w:t xml:space="preserve"> and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=1</m:t>
        </m:r>
      </m:oMath>
      <w:r>
        <w:rPr>
          <w:rFonts w:asciiTheme="minorHAnsi" w:hAnsiTheme="minorHAnsi" w:cstheme="minorHAnsi"/>
        </w:rPr>
        <w:t xml:space="preserve"> for </w:t>
      </w:r>
      <m:oMath>
        <m:r>
          <w:rPr>
            <w:rFonts w:ascii="Cambria Math" w:hAnsi="Cambria Math" w:cstheme="minorHAnsi"/>
          </w:rPr>
          <m:t>t∈{2023,2024}</m:t>
        </m:r>
      </m:oMath>
      <w:r>
        <w:rPr>
          <w:rFonts w:asciiTheme="minorHAnsi" w:hAnsiTheme="minorHAnsi" w:cstheme="minorHAnsi"/>
        </w:rPr>
        <w:t xml:space="preserve">. Assume that demand has shifted exogenously by a factor </w:t>
      </w:r>
      <m:oMath>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t>, primarily because of COVID-specific effects:</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 xml:space="preserve"> </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r>
          <w:rPr>
            <w:rFonts w:ascii="Cambria Math" w:hAnsi="Cambria Math" w:cstheme="minorHAnsi"/>
          </w:rPr>
          <m:t xml:space="preserve"> </m:t>
        </m:r>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Pr>
          <w:rFonts w:asciiTheme="minorHAnsi" w:hAnsiTheme="minorHAnsi" w:cstheme="minorHAnsi"/>
        </w:rPr>
        <w:tab/>
        <w:t>(7)</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Assume further that this effect is separable from the pure elasticity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oMath>
      <w:r>
        <w:rPr>
          <w:rFonts w:asciiTheme="minorHAnsi" w:hAnsiTheme="minorHAnsi" w:cstheme="minorHAnsi"/>
        </w:rPr>
        <w:t>. Substituting the Post decomposition into equation (6) yields:</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1</m:t>
        </m:r>
        <m:d>
          <m:dPr>
            <m:begChr m:val="["/>
            <m:endChr m:val="]"/>
            <m:ctrlPr>
              <w:rPr>
                <w:rFonts w:ascii="Cambria Math" w:hAnsi="Cambria Math" w:cstheme="minorHAnsi"/>
              </w:rPr>
            </m:ctrlPr>
          </m:dPr>
          <m:e>
            <m:r>
              <w:rPr>
                <w:rFonts w:ascii="Cambria Math" w:hAnsi="Cambria Math" w:cstheme="minorHAnsi"/>
              </w:rPr>
              <m:t>Country j in EU</m:t>
            </m:r>
          </m:e>
        </m:d>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ab/>
        <w:t>(8)</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Substituting (8) into (7) gives:</w:t>
      </w:r>
    </w:p>
    <w:p w:rsidR="00236015" w:rsidRPr="00C3586C" w:rsidRDefault="00382665" w:rsidP="00C3586C">
      <w:pPr>
        <w:spacing w:before="120" w:line="360" w:lineRule="auto"/>
        <w:rPr>
          <w:rFonts w:asciiTheme="minorHAnsi" w:hAnsiTheme="minorHAnsi" w:cstheme="minorHAnsi"/>
        </w:rPr>
      </w:pPr>
      <m:oMathPara>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r>
            <w:rPr>
              <w:rFonts w:ascii="Cambria Math" w:hAnsi="Cambria Math" w:cstheme="minorHAnsi"/>
            </w:rPr>
            <m:t xml:space="preserve"> </m:t>
          </m:r>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Expanding:</w:t>
      </w:r>
    </w:p>
    <w:p w:rsidR="00236015" w:rsidRPr="00C3586C" w:rsidRDefault="00382665" w:rsidP="00C3586C">
      <w:pPr>
        <w:spacing w:before="120" w:line="360" w:lineRule="auto"/>
        <w:rPr>
          <w:rFonts w:asciiTheme="minorHAnsi" w:hAnsiTheme="minorHAnsi" w:cstheme="minorHAnsi"/>
        </w:rPr>
      </w:pPr>
      <m:oMathPara>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Which simplifies to the saturated specification:</w:t>
      </w:r>
    </w:p>
    <w:p w:rsidR="00236015" w:rsidRPr="00C3586C" w:rsidRDefault="00382665" w:rsidP="00C3586C">
      <w:pPr>
        <w:spacing w:before="120" w:line="360" w:lineRule="auto"/>
        <w:rPr>
          <w:rFonts w:asciiTheme="minorHAnsi" w:hAnsiTheme="minorHAnsi" w:cstheme="minorHAnsi"/>
        </w:rPr>
      </w:pPr>
      <m:oMathPara>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d>
            <m:dPr>
              <m:ctrlPr>
                <w:rPr>
                  <w:rFonts w:ascii="Cambria Math" w:hAnsi="Cambria Math" w:cstheme="minorHAnsi"/>
                </w:rPr>
              </m:ctrlPr>
            </m:dPr>
            <m:e>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e>
          </m:d>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Define </w:t>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t xml:space="preserve"> and </w:t>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C</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Taking the conditional expectation of the ATT coefficient over the four cells defined by </w:t>
      </w:r>
      <m:oMath>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oMath>
      <w:r>
        <w:rPr>
          <w:rFonts w:asciiTheme="minorHAnsi" w:hAnsiTheme="minorHAnsi" w:cstheme="minorHAnsi"/>
        </w:rPr>
        <w:t xml:space="preserve"> and the two post indicators yields:</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d>
          <m:dPr>
            <m:ctrlPr>
              <w:rPr>
                <w:rFonts w:ascii="Cambria Math" w:hAnsi="Cambria Math" w:cstheme="minorHAnsi"/>
              </w:rPr>
            </m:ctrlPr>
          </m:dPr>
          <m:e>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e>
        </m:d>
        <m:r>
          <w:rPr>
            <w:rFonts w:ascii="Cambria Math" w:hAnsi="Cambria Math" w:cstheme="minorHAnsi"/>
          </w:rPr>
          <m:t>-</m:t>
        </m:r>
        <m:d>
          <m:dPr>
            <m:ctrlPr>
              <w:rPr>
                <w:rFonts w:ascii="Cambria Math" w:hAnsi="Cambria Math" w:cstheme="minorHAnsi"/>
              </w:rPr>
            </m:ctrlPr>
          </m:dPr>
          <m:e>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e>
        </m:d>
      </m:oMath>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Plugging the structural form into each cell, the country and time fixed effects cancel by differencing, leaving the slope:</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tab/>
        <w:t>(9)</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Applying the same calculation to the COVID window:</w:t>
      </w:r>
    </w:p>
    <w:p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C</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ab/>
        <w:t>(10)</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lastRenderedPageBreak/>
        <w:t>Therefore, identifying the COVID-specific shifter requires only a difference of slopes:</w:t>
      </w:r>
    </w:p>
    <w:p w:rsidR="00236015" w:rsidRPr="00C3586C" w:rsidRDefault="00382665" w:rsidP="00C3586C">
      <w:pPr>
        <w:spacing w:before="120" w:line="360" w:lineRule="auto"/>
        <w:rPr>
          <w:rFonts w:asciiTheme="minorHAnsi" w:hAnsiTheme="minorHAnsi" w:cstheme="minorHAnsi"/>
        </w:rPr>
      </w:pPr>
      <m:oMathPara>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C</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m:oMathPara>
    </w:p>
    <w:p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IV. Arc vs log elasticities</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Using the simple percentage-change formula </w:t>
      </w:r>
      <m:oMath>
        <m:r>
          <w:rPr>
            <w:rFonts w:ascii="Cambria Math" w:hAnsi="Cambria Math" w:cstheme="minorHAnsi"/>
          </w:rPr>
          <m:t>%ΔQ=</m:t>
        </m:r>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β</m:t>
                </m:r>
              </m:sup>
            </m:sSup>
            <m:r>
              <w:rPr>
                <w:rFonts w:ascii="Cambria Math" w:hAnsi="Cambria Math" w:cstheme="minorHAnsi"/>
              </w:rPr>
              <m:t>-1</m:t>
            </m:r>
          </m:e>
        </m:d>
        <m:r>
          <w:rPr>
            <w:rFonts w:ascii="Cambria Math" w:hAnsi="Cambria Math" w:cstheme="minorHAnsi"/>
          </w:rPr>
          <m:t>×100</m:t>
        </m:r>
      </m:oMath>
      <w:r>
        <w:rPr>
          <w:rFonts w:asciiTheme="minorHAnsi" w:hAnsiTheme="minorHAnsi" w:cstheme="minorHAnsi"/>
        </w:rPr>
        <w:t xml:space="preserve">, and substituting the lowest estimated coefficient (Malta, </w:t>
      </w:r>
      <m:oMath>
        <m:r>
          <w:rPr>
            <w:rFonts w:ascii="Cambria Math" w:hAnsi="Cambria Math" w:cstheme="minorHAnsi"/>
          </w:rPr>
          <m:t>β=-0.6</m:t>
        </m:r>
      </m:oMath>
      <w:r>
        <w:rPr>
          <w:rFonts w:asciiTheme="minorHAnsi" w:hAnsiTheme="minorHAnsi" w:cstheme="minorHAnsi"/>
        </w:rPr>
        <w:t xml:space="preserve">) and the highest (Lithuania, </w:t>
      </w:r>
      <m:oMath>
        <m:r>
          <w:rPr>
            <w:rFonts w:ascii="Cambria Math" w:hAnsi="Cambria Math" w:cstheme="minorHAnsi"/>
          </w:rPr>
          <m:t>β=-2.4</m:t>
        </m:r>
      </m:oMath>
      <w:r>
        <w:rPr>
          <w:rFonts w:asciiTheme="minorHAnsi" w:hAnsiTheme="minorHAnsi" w:cstheme="minorHAnsi"/>
        </w:rPr>
        <w:t xml:space="preserve">), we obtain changes ranging from </w:t>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-0.6</m:t>
                </m:r>
              </m:sup>
            </m:sSup>
            <m:r>
              <w:rPr>
                <w:rFonts w:ascii="Cambria Math" w:hAnsi="Cambria Math" w:cstheme="minorHAnsi"/>
              </w:rPr>
              <m:t>-1</m:t>
            </m:r>
          </m:e>
        </m:d>
        <m:r>
          <w:rPr>
            <w:rFonts w:ascii="Cambria Math" w:hAnsi="Cambria Math" w:cstheme="minorHAnsi"/>
          </w:rPr>
          <m:t>×100≈-45%</m:t>
        </m:r>
      </m:oMath>
      <w:r>
        <w:rPr>
          <w:rFonts w:asciiTheme="minorHAnsi" w:hAnsiTheme="minorHAnsi" w:cstheme="minorHAnsi"/>
        </w:rPr>
        <w:t xml:space="preserve"> to </w:t>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-2.4</m:t>
                </m:r>
              </m:sup>
            </m:sSup>
            <m:r>
              <w:rPr>
                <w:rFonts w:ascii="Cambria Math" w:hAnsi="Cambria Math" w:cstheme="minorHAnsi"/>
              </w:rPr>
              <m:t>-1</m:t>
            </m:r>
          </m:e>
        </m:d>
        <m:r>
          <w:rPr>
            <w:rFonts w:ascii="Cambria Math" w:hAnsi="Cambria Math" w:cstheme="minorHAnsi"/>
          </w:rPr>
          <m:t>×100≈-90%</m:t>
        </m:r>
      </m:oMath>
      <w:r>
        <w:rPr>
          <w:rFonts w:asciiTheme="minorHAnsi" w:hAnsiTheme="minorHAnsi" w:cstheme="minorHAnsi"/>
        </w:rPr>
        <w:t xml:space="preserve">, relative to the change observed in the control group. The ATE coefficient sits at </w:t>
      </w:r>
      <m:oMath>
        <m:r>
          <w:rPr>
            <w:rFonts w:ascii="Cambria Math" w:hAnsi="Cambria Math" w:cstheme="minorHAnsi"/>
          </w:rPr>
          <m:t>β=-1.28</m:t>
        </m:r>
      </m:oMath>
      <w:r>
        <w:rPr>
          <w:rFonts w:asciiTheme="minorHAnsi" w:hAnsiTheme="minorHAnsi" w:cstheme="minorHAnsi"/>
        </w:rPr>
        <w:t xml:space="preserve">, so the grand effect of Brexit on applications is approximately </w:t>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-1.28</m:t>
                </m:r>
              </m:sup>
            </m:sSup>
            <m:r>
              <w:rPr>
                <w:rFonts w:ascii="Cambria Math" w:hAnsi="Cambria Math" w:cstheme="minorHAnsi"/>
              </w:rPr>
              <m:t>-1</m:t>
            </m:r>
          </m:e>
        </m:d>
        <m:r>
          <w:rPr>
            <w:rFonts w:ascii="Cambria Math" w:hAnsi="Cambria Math" w:cstheme="minorHAnsi"/>
          </w:rPr>
          <m:t>×100≈-72.19%</m:t>
        </m:r>
      </m:oMath>
      <w:r>
        <w:rPr>
          <w:rFonts w:asciiTheme="minorHAnsi" w:hAnsiTheme="minorHAnsi" w:cstheme="minorHAnsi"/>
        </w:rPr>
        <w:t>.</w:t>
      </w:r>
      <w:r>
        <w:rPr>
          <w:rFonts w:asciiTheme="minorHAnsi" w:hAnsiTheme="minorHAnsi" w:cstheme="minorHAnsi"/>
          <w:vertAlign w:val="superscript"/>
        </w:rPr>
        <w:t>¹</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A naive arc elasticity at the ATE level uses the realized log price change (</w:t>
      </w:r>
      <m:oMath>
        <m:r>
          <w:rPr>
            <w:rFonts w:ascii="Cambria Math" w:hAnsi="Cambria Math" w:cstheme="minorHAnsi"/>
          </w:rPr>
          <m:t>Δ log P≈0.86 so %ΔP≈140%</m:t>
        </m:r>
      </m:oMath>
      <w:r>
        <w:rPr>
          <w:rFonts w:asciiTheme="minorHAnsi" w:hAnsiTheme="minorHAnsi" w:cstheme="minorHAnsi"/>
        </w:rPr>
        <w:t>) as the denominator:</w:t>
      </w:r>
    </w:p>
    <w:p w:rsidR="00236015" w:rsidRPr="00C3586C" w:rsidRDefault="00382665"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arc</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-72.19%</m:t>
              </m:r>
            </m:num>
            <m:den>
              <m:r>
                <w:rPr>
                  <w:rFonts w:ascii="Cambria Math" w:hAnsi="Cambria Math" w:cstheme="minorHAnsi"/>
                </w:rPr>
                <m:t>140%</m:t>
              </m:r>
            </m:den>
          </m:f>
          <m:r>
            <w:rPr>
              <w:rFonts w:ascii="Cambria Math" w:hAnsi="Cambria Math" w:cstheme="minorHAnsi"/>
            </w:rPr>
            <m:t>≈-0.52</m:t>
          </m:r>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A short derivation, however, gives the exact relationship between the arc and log elasticities:</w:t>
      </w:r>
    </w:p>
    <w:p w:rsidR="00236015" w:rsidRPr="00C3586C" w:rsidRDefault="00382665"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arc</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ΔQ/Q</m:t>
              </m:r>
            </m:num>
            <m:den>
              <m:r>
                <w:rPr>
                  <w:rFonts w:ascii="Cambria Math" w:hAnsi="Cambria Math" w:cstheme="minorHAnsi"/>
                </w:rPr>
                <m:t>ΔP/P</m:t>
              </m:r>
            </m:den>
          </m:f>
          <m:r>
            <w:rPr>
              <w:rFonts w:ascii="Cambria Math" w:hAnsi="Cambria Math" w:cstheme="minorHAnsi"/>
            </w:rPr>
            <m:t>=</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β</m:t>
                  </m:r>
                </m:sup>
              </m:sSup>
              <m:r>
                <w:rPr>
                  <w:rFonts w:ascii="Cambria Math" w:hAnsi="Cambria Math" w:cstheme="minorHAnsi"/>
                </w:rPr>
                <m:t>-1</m:t>
              </m:r>
            </m:num>
            <m:den>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k</m:t>
                  </m:r>
                </m:sup>
              </m:sSup>
              <m:r>
                <w:rPr>
                  <w:rFonts w:ascii="Cambria Math" w:hAnsi="Cambria Math" w:cstheme="minorHAnsi"/>
                </w:rPr>
                <m:t>-1</m:t>
              </m:r>
            </m:den>
          </m:f>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where </w:t>
      </w:r>
      <m:oMath>
        <m:r>
          <w:rPr>
            <w:rFonts w:ascii="Cambria Math" w:hAnsi="Cambria Math" w:cstheme="minorHAnsi"/>
          </w:rPr>
          <m:t>k=Δ log P</m:t>
        </m:r>
      </m:oMath>
      <w:r>
        <w:rPr>
          <w:rFonts w:asciiTheme="minorHAnsi" w:hAnsiTheme="minorHAnsi" w:cstheme="minorHAnsi"/>
        </w:rPr>
        <w:t xml:space="preserve"> and </w:t>
      </w:r>
      <m:oMath>
        <m:r>
          <w:rPr>
            <w:rFonts w:ascii="Cambria Math" w:hAnsi="Cambria Math" w:cstheme="minorHAnsi"/>
          </w:rPr>
          <m:t>β=Δ log Q</m:t>
        </m:r>
      </m:oMath>
      <w:r>
        <w:rPr>
          <w:rFonts w:asciiTheme="minorHAnsi" w:hAnsiTheme="minorHAnsi" w:cstheme="minorHAnsi"/>
        </w:rPr>
        <w:t xml:space="preserve">. From earlier we have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β</m:t>
            </m:r>
          </m:num>
          <m:den>
            <m:r>
              <w:rPr>
                <w:rFonts w:ascii="Cambria Math" w:hAnsi="Cambria Math" w:cstheme="minorHAnsi"/>
              </w:rPr>
              <m:t>k</m:t>
            </m:r>
          </m:den>
        </m:f>
      </m:oMath>
      <w:r>
        <w:rPr>
          <w:rFonts w:asciiTheme="minorHAnsi" w:hAnsiTheme="minorHAnsi" w:cstheme="minorHAnsi"/>
        </w:rPr>
        <w:t>, so:</w:t>
      </w:r>
    </w:p>
    <w:p w:rsidR="00236015" w:rsidRPr="00C3586C" w:rsidRDefault="00382665"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lim</m:t>
              </m:r>
            </m:e>
            <m:sub>
              <m:r>
                <w:rPr>
                  <w:rFonts w:ascii="Cambria Math" w:hAnsi="Cambria Math" w:cstheme="minorHAnsi"/>
                </w:rPr>
                <m:t>k→0</m:t>
              </m:r>
            </m:sub>
          </m:sSub>
          <m:r>
            <w:rPr>
              <w:rFonts w:ascii="Cambria Math" w:hAnsi="Cambria Math" w:cstheme="minorHAnsi"/>
            </w:rPr>
            <m:t xml:space="preserve"> </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β</m:t>
                  </m:r>
                </m:sup>
              </m:sSup>
              <m:r>
                <w:rPr>
                  <w:rFonts w:ascii="Cambria Math" w:hAnsi="Cambria Math" w:cstheme="minorHAnsi"/>
                </w:rPr>
                <m:t>-1</m:t>
              </m:r>
            </m:num>
            <m:den>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k</m:t>
                  </m:r>
                </m:sup>
              </m:sSup>
              <m:r>
                <w:rPr>
                  <w:rFonts w:ascii="Cambria Math" w:hAnsi="Cambria Math" w:cstheme="minorHAnsi"/>
                </w:rPr>
                <m:t>-1</m:t>
              </m:r>
            </m:den>
          </m:f>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lim</m:t>
              </m:r>
            </m:e>
            <m:sub>
              <m:r>
                <w:rPr>
                  <w:rFonts w:ascii="Cambria Math" w:hAnsi="Cambria Math" w:cstheme="minorHAnsi"/>
                </w:rPr>
                <m:t>k→0</m:t>
              </m:r>
            </m:sub>
          </m:sSub>
          <m:r>
            <w:rPr>
              <w:rFonts w:ascii="Cambria Math" w:hAnsi="Cambria Math" w:cstheme="minorHAnsi"/>
            </w:rPr>
            <m:t xml:space="preserve"> </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r>
                    <w:rPr>
                      <w:rFonts w:ascii="Cambria Math" w:hAnsi="Cambria Math" w:cstheme="minorHAnsi"/>
                    </w:rPr>
                    <m:t xml:space="preserve"> k</m:t>
                  </m:r>
                </m:sup>
              </m:sSup>
              <m:r>
                <w:rPr>
                  <w:rFonts w:ascii="Cambria Math" w:hAnsi="Cambria Math" w:cstheme="minorHAnsi"/>
                </w:rPr>
                <m:t>-1</m:t>
              </m:r>
            </m:num>
            <m:den>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k</m:t>
                  </m:r>
                </m:sup>
              </m:sSup>
              <m:r>
                <w:rPr>
                  <w:rFonts w:ascii="Cambria Math" w:hAnsi="Cambria Math" w:cstheme="minorHAnsi"/>
                </w:rPr>
                <m:t>-1</m:t>
              </m:r>
            </m:den>
          </m:f>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oMath>
      </m:oMathPara>
    </w:p>
    <w:p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That is, the two elasticities coincide </w:t>
      </w:r>
      <w:r>
        <w:rPr>
          <w:rFonts w:asciiTheme="minorHAnsi" w:hAnsiTheme="minorHAnsi" w:cstheme="minorHAnsi"/>
          <w:b/>
          <w:bCs/>
        </w:rPr>
        <w:t>only when the price change is infinitesimally small</w:t>
      </w:r>
      <w:r>
        <w:rPr>
          <w:rFonts w:asciiTheme="minorHAnsi" w:hAnsiTheme="minorHAnsi" w:cstheme="minorHAnsi"/>
        </w:rPr>
        <w:t xml:space="preserve">. In our application the tuition reform represents a large discrete price jump, not a marginal adjustment. Consequently, the percentage-change calculation produces a chord (arc) estimate that averages the response over the entire price jump, while the log specification recovers the elasticity implied by the local slope of the demand curve. The elasticity derived from </w:t>
      </w:r>
      <m:oMath>
        <m:f>
          <m:fPr>
            <m:ctrlPr>
              <w:rPr>
                <w:rFonts w:ascii="Cambria Math" w:hAnsi="Cambria Math" w:cstheme="minorHAnsi"/>
              </w:rPr>
            </m:ctrlPr>
          </m:fPr>
          <m:num>
            <m:r>
              <w:rPr>
                <w:rFonts w:ascii="Cambria Math" w:hAnsi="Cambria Math" w:cstheme="minorHAnsi"/>
              </w:rPr>
              <m:t>β</m:t>
            </m:r>
          </m:num>
          <m:den>
            <m:r>
              <w:rPr>
                <w:rFonts w:ascii="Cambria Math" w:hAnsi="Cambria Math" w:cstheme="minorHAnsi"/>
              </w:rPr>
              <m:t>k</m:t>
            </m:r>
          </m:den>
        </m:f>
      </m:oMath>
      <w:r>
        <w:rPr>
          <w:rFonts w:asciiTheme="minorHAnsi" w:hAnsiTheme="minorHAnsi" w:cstheme="minorHAnsi"/>
        </w:rPr>
        <w:t xml:space="preserve"> is the economically relevant quantity: because the demand function is convex in log space, the secant slope across a wide interval is necessarily flatter than the tangent at the starting point, so the mechanical (arc) elasticity is biased toward zero by construction when the price change is large. This is the relationship illustrated in Figure 2.</w:t>
      </w:r>
    </w:p>
    <w:p w:rsidR="00236015" w:rsidRPr="00C3586C" w:rsidRDefault="008B0A6B" w:rsidP="00C3586C">
      <w:pPr>
        <w:spacing w:before="240" w:line="360" w:lineRule="auto"/>
        <w:rPr>
          <w:rFonts w:asciiTheme="minorHAnsi" w:hAnsiTheme="minorHAnsi" w:cstheme="minorHAnsi"/>
        </w:rPr>
      </w:pPr>
      <w:r>
        <w:rPr>
          <w:rFonts w:asciiTheme="minorHAnsi" w:hAnsiTheme="minorHAnsi" w:cstheme="minorHAnsi"/>
          <w:noProof/>
        </w:rPr>
        <w:lastRenderedPageBreak/>
        <w:drawing>
          <wp:inline distT="0" distB="0" distL="0" distR="0">
            <wp:extent cx="4572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667000"/>
                    </a:xfrm>
                    <a:prstGeom prst="rect">
                      <a:avLst/>
                    </a:prstGeom>
                  </pic:spPr>
                </pic:pic>
              </a:graphicData>
            </a:graphic>
          </wp:inline>
        </w:drawing>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rPr>
        <w:t>Figure 2.</w:t>
      </w:r>
      <w:r>
        <w:rPr>
          <w:rFonts w:asciiTheme="minorHAnsi" w:hAnsiTheme="minorHAnsi" w:cstheme="minorHAnsi"/>
        </w:rPr>
        <w:t xml:space="preserve"> Constant-elasticity demand and alternative elasticity measures.</w:t>
      </w:r>
    </w:p>
    <w:p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i/>
          <w:iCs/>
        </w:rPr>
        <w:t>Note</w:t>
      </w:r>
      <w:r>
        <w:rPr>
          <w:rFonts w:asciiTheme="minorHAnsi" w:hAnsiTheme="minorHAnsi" w:cstheme="minorHAnsi"/>
          <w:i/>
          <w:iCs/>
        </w:rPr>
        <w:t xml:space="preserve">: </w:t>
      </w:r>
      <w:r>
        <w:rPr>
          <w:rFonts w:asciiTheme="minorHAnsi" w:hAnsiTheme="minorHAnsi" w:cstheme="minorHAnsi"/>
        </w:rPr>
        <w:t xml:space="preserve">Arc versus log elasticity under a large price change. The dashed line is the arc (secant) elasticity computed from percentage changes between two equilibria. The dotted line is the log elasticity (tangent), corresponding to the derivative </w:t>
      </w:r>
      <m:oMath>
        <m:r>
          <w:rPr>
            <w:rFonts w:ascii="Cambria Math" w:hAnsi="Cambria Math" w:cstheme="minorHAnsi"/>
          </w:rPr>
          <m:t>∂ log Q/∂ log P</m:t>
        </m:r>
      </m:oMath>
      <w:r>
        <w:rPr>
          <w:rFonts w:asciiTheme="minorHAnsi" w:hAnsiTheme="minorHAnsi" w:cstheme="minorHAnsi"/>
        </w:rPr>
        <w:t xml:space="preserve">. Because demand is nonlinear, a large discrete price increase implies that the secant slope understates the local slope of demand, so </w:t>
      </w:r>
      <m:oMath>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arc</m:t>
            </m:r>
          </m:sub>
        </m:sSub>
        <m:r>
          <w:rPr>
            <w:rFonts w:ascii="Cambria Math" w:hAnsi="Cambria Math" w:cstheme="minorHAnsi"/>
          </w:rPr>
          <m:t>|&lt;|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r>
          <w:rPr>
            <w:rFonts w:ascii="Cambria Math" w:hAnsi="Cambria Math" w:cstheme="minorHAnsi"/>
          </w:rPr>
          <m:t>|</m:t>
        </m:r>
      </m:oMath>
      <w:r>
        <w:rPr>
          <w:rFonts w:asciiTheme="minorHAnsi" w:hAnsiTheme="minorHAnsi" w:cstheme="minorHAnsi"/>
        </w:rPr>
        <w:t>.</w:t>
      </w:r>
    </w:p>
    <w:p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V. Detailed regression tables for the main results</w:t>
      </w:r>
    </w:p>
    <w:p w:rsidR="00236015" w:rsidRDefault="008B0A6B" w:rsidP="00C3586C">
      <w:pPr>
        <w:spacing w:line="360" w:lineRule="auto"/>
        <w:rPr>
          <w:rFonts w:asciiTheme="minorHAnsi" w:hAnsiTheme="minorHAnsi" w:cstheme="minorHAnsi"/>
        </w:rPr>
      </w:pPr>
      <w:r>
        <w:rPr>
          <w:rFonts w:asciiTheme="minorHAnsi" w:hAnsiTheme="minorHAnsi" w:cstheme="minorHAnsi"/>
          <w:b/>
          <w:bCs/>
        </w:rPr>
        <w:t>Table A1.</w:t>
      </w:r>
      <w:r>
        <w:rPr>
          <w:rFonts w:asciiTheme="minorHAnsi" w:hAnsiTheme="minorHAnsi" w:cstheme="minorHAnsi"/>
        </w:rPr>
        <w:t xml:space="preserve"> Country-specific Brexit </w:t>
      </w:r>
      <w:r w:rsidR="005063A7">
        <w:rPr>
          <w:rFonts w:asciiTheme="minorHAnsi" w:hAnsiTheme="minorHAnsi" w:cstheme="minorHAnsi"/>
        </w:rPr>
        <w:t>interactions</w:t>
      </w:r>
      <w:r>
        <w:rPr>
          <w:rFonts w:asciiTheme="minorHAnsi" w:hAnsiTheme="minorHAnsi" w:cstheme="minorHAnsi"/>
        </w:rPr>
        <w:t xml:space="preserve"> under alternative TWFE specifications.</w:t>
      </w:r>
    </w:p>
    <w:tbl>
      <w:tblPr>
        <w:tblW w:w="7405" w:type="dxa"/>
        <w:jc w:val="center"/>
        <w:tblLook w:val="04A0" w:firstRow="1" w:lastRow="0" w:firstColumn="1" w:lastColumn="0" w:noHBand="0" w:noVBand="1"/>
      </w:tblPr>
      <w:tblGrid>
        <w:gridCol w:w="1985"/>
        <w:gridCol w:w="1512"/>
        <w:gridCol w:w="977"/>
        <w:gridCol w:w="977"/>
        <w:gridCol w:w="977"/>
        <w:gridCol w:w="977"/>
      </w:tblGrid>
      <w:tr w:rsidR="005063A7" w:rsidRPr="005063A7" w:rsidTr="005063A7">
        <w:trPr>
          <w:trHeight w:val="300"/>
          <w:jc w:val="center"/>
        </w:trPr>
        <w:tc>
          <w:tcPr>
            <w:tcW w:w="1985" w:type="dxa"/>
            <w:tcBorders>
              <w:top w:val="single" w:sz="4" w:space="0" w:color="auto"/>
              <w:left w:val="nil"/>
              <w:bottom w:val="double" w:sz="6" w:space="0" w:color="auto"/>
              <w:right w:val="nil"/>
            </w:tcBorders>
            <w:shd w:val="clear" w:color="auto" w:fill="auto"/>
            <w:noWrap/>
            <w:vAlign w:val="bottom"/>
            <w:hideMark/>
          </w:tcPr>
          <w:p w:rsidR="005063A7" w:rsidRPr="005063A7" w:rsidRDefault="005063A7" w:rsidP="005063A7">
            <w:pPr>
              <w:rPr>
                <w:rFonts w:eastAsia="Times New Roman"/>
                <w:b/>
                <w:bCs/>
                <w:sz w:val="20"/>
                <w:szCs w:val="20"/>
              </w:rPr>
            </w:pPr>
            <w:r w:rsidRPr="005063A7">
              <w:rPr>
                <w:rFonts w:eastAsia="Times New Roman"/>
                <w:b/>
                <w:bCs/>
                <w:sz w:val="20"/>
                <w:szCs w:val="20"/>
              </w:rPr>
              <w:t>Dependent variable:</w:t>
            </w:r>
          </w:p>
        </w:tc>
        <w:tc>
          <w:tcPr>
            <w:tcW w:w="5420" w:type="dxa"/>
            <w:gridSpan w:val="5"/>
            <w:tcBorders>
              <w:top w:val="single" w:sz="4" w:space="0" w:color="auto"/>
              <w:left w:val="nil"/>
              <w:bottom w:val="double" w:sz="6" w:space="0" w:color="auto"/>
              <w:right w:val="nil"/>
            </w:tcBorders>
            <w:shd w:val="clear" w:color="auto" w:fill="auto"/>
            <w:noWrap/>
            <w:vAlign w:val="center"/>
            <w:hideMark/>
          </w:tcPr>
          <w:p w:rsidR="005063A7" w:rsidRPr="005063A7" w:rsidRDefault="005063A7" w:rsidP="005063A7">
            <w:pPr>
              <w:jc w:val="center"/>
              <w:rPr>
                <w:rFonts w:eastAsia="Times New Roman"/>
                <w:b/>
                <w:bCs/>
                <w:sz w:val="20"/>
                <w:szCs w:val="20"/>
              </w:rPr>
            </w:pPr>
            <w:r w:rsidRPr="005063A7">
              <w:rPr>
                <w:rFonts w:eastAsia="Times New Roman"/>
                <w:b/>
                <w:bCs/>
                <w:sz w:val="20"/>
                <w:szCs w:val="20"/>
              </w:rPr>
              <w:t>log(Applicants)</w:t>
            </w:r>
          </w:p>
        </w:tc>
      </w:tr>
      <w:tr w:rsidR="005063A7" w:rsidRPr="005063A7" w:rsidTr="005063A7">
        <w:trPr>
          <w:trHeight w:val="300"/>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Intercept</w:t>
            </w:r>
          </w:p>
        </w:tc>
        <w:tc>
          <w:tcPr>
            <w:tcW w:w="2489" w:type="dxa"/>
            <w:gridSpan w:val="2"/>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6.844***</w:t>
            </w:r>
          </w:p>
        </w:tc>
        <w:tc>
          <w:tcPr>
            <w:tcW w:w="1954" w:type="dxa"/>
            <w:gridSpan w:val="2"/>
            <w:vMerge w:val="restart"/>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2489" w:type="dxa"/>
            <w:gridSpan w:val="2"/>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(0.032)</w:t>
            </w:r>
          </w:p>
        </w:tc>
        <w:tc>
          <w:tcPr>
            <w:tcW w:w="1954" w:type="dxa"/>
            <w:gridSpan w:val="2"/>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Austria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-0.549***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-0.525***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-0.961***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-0.310.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-0.686***</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(0.053)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(0.051)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(0.154)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(0.081)</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Belgium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-0.603***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-0.579***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-0.434***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-0.294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-0.740***</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(0.059)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(0.172)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(0.094)</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Bulgaria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-1.887***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-1.864***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-1.006***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-0.937.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-2.025***</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(0.101)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(0.492)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(0.160)</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Croatia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-1.655***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-1.631***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-2.572***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-0.945.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-1.792***</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(0.110)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(0.105)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(0.098)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(0.432)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(0.131)</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Cyprus (European Union)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-0.902***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-0.879***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0.255***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-0.504.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-1.040***</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(0.227)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(0.097)</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lastRenderedPageBreak/>
              <w:t>Czech Republic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-1.137***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-1.114***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-0.901***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-0.629.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-1.275***</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(0.056)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(0.051)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(0.052)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(0.283)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(0.065)</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Denmark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-1.047***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-1.023***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-1.609***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-0.584.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-1.184***</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(0.111)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(0.105)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(0.093)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(0.282)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(0.134)</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Estonia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-1.447***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-1.424***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-2.237***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-0.737.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-1.585***</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(0.119)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(0.115)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(0.104)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(0.380)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(0.145)</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Finland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-1.756***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-1.733***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-1.817***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-0.873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-1.894***</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(0.208)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(0.204)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(0.174)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(0.492)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(0.235)</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France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-0.597***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-0.574***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1.179***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-0.277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-0.735***</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(0.059)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(0.172)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(0.086)</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Germany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-0.681***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-0.658***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0.652***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-0.324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-0.819***</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(0.186)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(0.101)</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Greece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-0.866***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-0.842***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0.105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-0.402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-1.003***</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(0.231)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(0.104)</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Hungary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-1.114***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-1.091***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-1.032***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-0.547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-1.252***</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(0.300)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(0.090)</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Italy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-0.925***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-0.902***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0.677***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-0.411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-1.063***</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(0.113)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(0.110)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(0.098)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(0.260)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(0.140)</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Latvia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-1.512***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-1.488***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-1.928***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-0.761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-1.649***</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(0.429)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(0.147)</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Lithuania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-2.173***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-2.150***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-1.411***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-1.088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-2.311***</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(0.280)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(0.271)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(0.244)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(0.697)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(0.300)</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Luxembourg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-0.493***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-0.470***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-1.237***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-0.275.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-0.630***</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(0.068)</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Malta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-0.362***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-0.338***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-2.335***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-0.146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-0.499***</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(0.102)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(0.049)</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Netherlands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-0.535***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-0.512***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-0.491***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-0.272.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-0.672***</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(0.024)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(0.026)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(0.037)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(0.047)</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Poland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-1.668***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-1.645***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-0.792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-1.806***</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(0.151)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(0.146)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(0.141)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(0.459)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(0.166)</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Portugal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-0.939*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-0.916*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-0.087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0.006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-1.077*</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(0.353)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(0.345)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(0.321)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(0.700)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(0.366)</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Romania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-1.711***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-1.688***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-0.363*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-0.823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-1.849***</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(0.473)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(0.159)</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Slovakia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-1.516***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-1.493***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-1.570***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-0.693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-1.654***</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(0.119)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(0.094)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(0.394)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(0.126)</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Slovenia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-1.280***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-1.256***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-3.108***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-0.752.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-1.417***</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(0.094)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(0.357)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(0.149)</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Spain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-0.508***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-0.484***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0.965***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-0.236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-0.645***</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(0.084)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(0.079)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(0.065)</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(0.173)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(0.087)</w:t>
            </w:r>
          </w:p>
        </w:tc>
      </w:tr>
      <w:tr w:rsidR="005063A7" w:rsidRPr="005063A7" w:rsidTr="005063A7">
        <w:trPr>
          <w:trHeight w:val="288"/>
          <w:jc w:val="center"/>
        </w:trPr>
        <w:tc>
          <w:tcPr>
            <w:tcW w:w="1985" w:type="dxa"/>
            <w:vMerge w:val="restart"/>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Sweden × Post</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-0.967***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-0.944***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-0.629***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-0.406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-1.104***</w:t>
            </w:r>
          </w:p>
        </w:tc>
      </w:tr>
      <w:tr w:rsidR="005063A7" w:rsidRPr="005063A7" w:rsidTr="005063A7">
        <w:trPr>
          <w:trHeight w:val="288"/>
          <w:jc w:val="center"/>
        </w:trPr>
        <w:tc>
          <w:tcPr>
            <w:tcW w:w="1985" w:type="dxa"/>
            <w:vMerge/>
            <w:tcBorders>
              <w:top w:val="nil"/>
              <w:left w:val="nil"/>
              <w:bottom w:val="nil"/>
              <w:right w:val="nil"/>
            </w:tcBorders>
            <w:vAlign w:val="center"/>
            <w:hideMark/>
          </w:tcPr>
          <w:p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(0.141)</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(0.124)</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(0.287)</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(0.167)</w:t>
            </w:r>
          </w:p>
        </w:tc>
      </w:tr>
      <w:tr w:rsidR="005063A7" w:rsidRPr="005063A7" w:rsidTr="005063A7">
        <w:trPr>
          <w:trHeight w:val="137"/>
          <w:jc w:val="center"/>
        </w:trPr>
        <w:tc>
          <w:tcPr>
            <w:tcW w:w="1985" w:type="dxa"/>
            <w:tcBorders>
              <w:top w:val="single" w:sz="4" w:space="0" w:color="auto"/>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Observations</w:t>
            </w:r>
          </w:p>
        </w:tc>
        <w:tc>
          <w:tcPr>
            <w:tcW w:w="5420" w:type="dxa"/>
            <w:gridSpan w:val="5"/>
            <w:tcBorders>
              <w:top w:val="single" w:sz="4" w:space="0" w:color="auto"/>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520</w:t>
            </w:r>
          </w:p>
        </w:tc>
      </w:tr>
      <w:tr w:rsidR="005063A7" w:rsidRPr="005063A7" w:rsidTr="005063A7">
        <w:trPr>
          <w:trHeight w:val="288"/>
          <w:jc w:val="center"/>
        </w:trPr>
        <w:tc>
          <w:tcPr>
            <w:tcW w:w="1985" w:type="dxa"/>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Weights</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No</w:t>
            </w:r>
          </w:p>
        </w:tc>
      </w:tr>
      <w:tr w:rsidR="005063A7" w:rsidRPr="005063A7" w:rsidTr="005063A7">
        <w:trPr>
          <w:trHeight w:val="288"/>
          <w:jc w:val="center"/>
        </w:trPr>
        <w:tc>
          <w:tcPr>
            <w:tcW w:w="1985" w:type="dxa"/>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Country fixed effects</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No</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r>
      <w:tr w:rsidR="005063A7" w:rsidRPr="005063A7" w:rsidTr="005063A7">
        <w:trPr>
          <w:trHeight w:val="288"/>
          <w:jc w:val="center"/>
        </w:trPr>
        <w:tc>
          <w:tcPr>
            <w:tcW w:w="1985" w:type="dxa"/>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Year fixed effects</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No</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No</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Yes</w:t>
            </w:r>
          </w:p>
        </w:tc>
      </w:tr>
      <w:tr w:rsidR="005063A7" w:rsidRPr="005063A7" w:rsidTr="005063A7">
        <w:trPr>
          <w:trHeight w:val="288"/>
          <w:jc w:val="center"/>
        </w:trPr>
        <w:tc>
          <w:tcPr>
            <w:tcW w:w="1985" w:type="dxa"/>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Standard errors</w:t>
            </w:r>
          </w:p>
        </w:tc>
        <w:tc>
          <w:tcPr>
            <w:tcW w:w="5420" w:type="dxa"/>
            <w:gridSpan w:val="5"/>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Driscoll-Kraay (L=1)</w:t>
            </w:r>
          </w:p>
        </w:tc>
      </w:tr>
      <w:tr w:rsidR="005063A7" w:rsidRPr="005063A7" w:rsidTr="005063A7">
        <w:trPr>
          <w:trHeight w:val="288"/>
          <w:jc w:val="center"/>
        </w:trPr>
        <w:tc>
          <w:tcPr>
            <w:tcW w:w="1985" w:type="dxa"/>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Adjusted R2</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0.980220</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0.977526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0.271762</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0.904629</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0.976761</w:t>
            </w:r>
          </w:p>
        </w:tc>
      </w:tr>
      <w:tr w:rsidR="005063A7" w:rsidRPr="005063A7" w:rsidTr="005063A7">
        <w:trPr>
          <w:trHeight w:val="288"/>
          <w:jc w:val="center"/>
        </w:trPr>
        <w:tc>
          <w:tcPr>
            <w:tcW w:w="1985" w:type="dxa"/>
            <w:tcBorders>
              <w:top w:val="nil"/>
              <w:left w:val="nil"/>
              <w:bottom w:val="nil"/>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Within R2</w:t>
            </w:r>
          </w:p>
        </w:tc>
        <w:tc>
          <w:tcPr>
            <w:tcW w:w="1512"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0.820738</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0.867156</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0.135693</w:t>
            </w:r>
          </w:p>
        </w:tc>
        <w:tc>
          <w:tcPr>
            <w:tcW w:w="977" w:type="dxa"/>
            <w:tcBorders>
              <w:top w:val="nil"/>
              <w:left w:val="nil"/>
              <w:bottom w:val="nil"/>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0.809857</w:t>
            </w:r>
          </w:p>
        </w:tc>
      </w:tr>
      <w:tr w:rsidR="005063A7" w:rsidRPr="005063A7" w:rsidTr="005063A7">
        <w:trPr>
          <w:trHeight w:val="545"/>
          <w:jc w:val="center"/>
        </w:trPr>
        <w:tc>
          <w:tcPr>
            <w:tcW w:w="1985" w:type="dxa"/>
            <w:tcBorders>
              <w:top w:val="nil"/>
              <w:left w:val="nil"/>
              <w:bottom w:val="single" w:sz="4" w:space="0" w:color="auto"/>
              <w:right w:val="nil"/>
            </w:tcBorders>
            <w:shd w:val="clear" w:color="auto" w:fill="auto"/>
            <w:noWrap/>
            <w:vAlign w:val="center"/>
            <w:hideMark/>
          </w:tcPr>
          <w:p w:rsidR="005063A7" w:rsidRPr="005063A7" w:rsidRDefault="005063A7" w:rsidP="005063A7">
            <w:pPr>
              <w:rPr>
                <w:rFonts w:eastAsia="Times New Roman"/>
                <w:sz w:val="20"/>
                <w:szCs w:val="20"/>
              </w:rPr>
            </w:pPr>
            <w:r w:rsidRPr="005063A7">
              <w:rPr>
                <w:rFonts w:eastAsia="Times New Roman"/>
                <w:sz w:val="20"/>
                <w:szCs w:val="20"/>
              </w:rPr>
              <w:t>Notes</w:t>
            </w:r>
          </w:p>
        </w:tc>
        <w:tc>
          <w:tcPr>
            <w:tcW w:w="5420" w:type="dxa"/>
            <w:gridSpan w:val="5"/>
            <w:tcBorders>
              <w:top w:val="nil"/>
              <w:left w:val="nil"/>
              <w:bottom w:val="single" w:sz="4" w:space="0" w:color="auto"/>
              <w:right w:val="nil"/>
            </w:tcBorders>
            <w:shd w:val="clear" w:color="auto" w:fill="auto"/>
            <w:noWrap/>
            <w:vAlign w:val="center"/>
            <w:hideMark/>
          </w:tcPr>
          <w:p w:rsidR="005063A7" w:rsidRPr="005063A7" w:rsidRDefault="005063A7" w:rsidP="005063A7">
            <w:pPr>
              <w:jc w:val="center"/>
              <w:rPr>
                <w:rFonts w:eastAsia="Times New Roman"/>
                <w:sz w:val="20"/>
                <w:szCs w:val="20"/>
              </w:rPr>
            </w:pPr>
            <w:r w:rsidRPr="005063A7">
              <w:rPr>
                <w:rFonts w:eastAsia="Times New Roman"/>
                <w:sz w:val="20"/>
                <w:szCs w:val="20"/>
              </w:rPr>
              <w:t>Driscoll-Kraay standard errors in parentheses. Significance codes follow the original output.  </w:t>
            </w:r>
          </w:p>
        </w:tc>
      </w:tr>
    </w:tbl>
    <w:p w:rsidR="005063A7" w:rsidRPr="00C3586C" w:rsidRDefault="005063A7" w:rsidP="00C3586C">
      <w:pPr>
        <w:spacing w:line="360" w:lineRule="auto"/>
        <w:rPr>
          <w:rFonts w:asciiTheme="minorHAnsi" w:hAnsiTheme="minorHAnsi" w:cstheme="minorHAnsi"/>
        </w:rPr>
      </w:pPr>
    </w:p>
    <w:p w:rsidR="00236015" w:rsidRPr="00C3586C" w:rsidRDefault="008B0A6B" w:rsidP="00C3586C">
      <w:pPr>
        <w:spacing w:before="240" w:line="360" w:lineRule="auto"/>
        <w:rPr>
          <w:rFonts w:asciiTheme="minorHAnsi" w:hAnsiTheme="minorHAnsi" w:cstheme="minorHAnsi"/>
        </w:rPr>
      </w:pPr>
      <w:r>
        <w:rPr>
          <w:rFonts w:asciiTheme="minorHAnsi" w:hAnsiTheme="minorHAnsi" w:cstheme="minorHAnsi"/>
          <w:b/>
          <w:bCs/>
        </w:rPr>
        <w:t>able A2.</w:t>
      </w:r>
      <w:r>
        <w:rPr>
          <w:rFonts w:asciiTheme="minorHAnsi" w:hAnsiTheme="minorHAnsi" w:cstheme="minorHAnsi"/>
        </w:rPr>
        <w:t xml:space="preserve"> Country-specific COVID and post-COVID elasticities.</w:t>
      </w:r>
    </w:p>
    <w:tbl>
      <w:tblPr>
        <w:tblW w:w="4248" w:type="dxa"/>
        <w:jc w:val="center"/>
        <w:tblCellMar>
          <w:left w:w="10" w:type="dxa"/>
          <w:right w:w="10" w:type="dxa"/>
        </w:tblCellMar>
        <w:tblLook w:val="04A0" w:firstRow="1" w:lastRow="0" w:firstColumn="1" w:lastColumn="0" w:noHBand="0" w:noVBand="1"/>
      </w:tblPr>
      <w:tblGrid>
        <w:gridCol w:w="1960"/>
        <w:gridCol w:w="1154"/>
        <w:gridCol w:w="1134"/>
      </w:tblGrid>
      <w:tr w:rsidR="00236015" w:rsidRPr="00C3586C" w:rsidTr="005A62A4">
        <w:trPr>
          <w:tblHeader/>
          <w:jc w:val="center"/>
        </w:trPr>
        <w:tc>
          <w:tcPr>
            <w:tcW w:w="1960" w:type="dxa"/>
            <w:shd w:val="clear" w:color="auto" w:fill="D5E8F0"/>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sz w:val="16"/>
                <w:szCs w:val="16"/>
              </w:rPr>
              <w:t>Country</w:t>
            </w:r>
          </w:p>
        </w:tc>
        <w:tc>
          <w:tcPr>
            <w:tcW w:w="1154" w:type="dxa"/>
            <w:shd w:val="clear" w:color="auto" w:fill="D5E8F0"/>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sz w:val="16"/>
                <w:szCs w:val="16"/>
              </w:rPr>
              <w:t>COVID elasticities</w:t>
            </w:r>
          </w:p>
        </w:tc>
        <w:tc>
          <w:tcPr>
            <w:tcW w:w="1134" w:type="dxa"/>
            <w:shd w:val="clear" w:color="auto" w:fill="D5E8F0"/>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sz w:val="16"/>
                <w:szCs w:val="16"/>
              </w:rPr>
              <w:t>Post-COVID</w:t>
            </w:r>
          </w:p>
        </w:tc>
      </w:tr>
      <w:tr w:rsidR="00236015" w:rsidRPr="00C3586C" w:rsidTr="005A62A4">
        <w:trPr>
          <w:trHeight w:val="132"/>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Austria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-0.54*</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-0.66**</w:t>
            </w:r>
          </w:p>
        </w:tc>
      </w:tr>
      <w:tr w:rsidR="00236015" w:rsidRPr="00C3586C" w:rsidTr="005A62A4">
        <w:trPr>
          <w:trHeight w:val="18"/>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(0.18)</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Belgium</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-0.54*</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(0.19)</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Bulgaria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-1.46*</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-1.85**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(0.47)</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(0.42)</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Croatia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-1.42**</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-1.65***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(0.42)</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Cyprus</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-0.81**</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-0.96**</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(0.23)</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(0.21)</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Czech Republic</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-0.98**</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(0.28)</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(0.26)</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Denmark</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-0.94**</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-1.18***</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(0.27)</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(0.21)</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Estonia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-1.18**</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-1.54***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(0.36)</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(0.30)</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Finland</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-1.42*</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-1.94***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(0.45)</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France</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-0.52*</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(0.19)</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Germany</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-0.59*</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-0.84***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(0.19)</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(0.16)</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Greece</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-0.72**</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-1.02***</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(0.22)</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(0.19)</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Hungary</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-0.90*</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(0.31)</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(0.27)</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Italy</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-0.75*</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-1.11***</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(0.25)</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(0.20)</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Latvia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-1.21*</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-1.54**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(0.44)</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(0.33)</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Lithuania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-1.70*</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-2.20**</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(0.73)</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(0.46)</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Luxembourg</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-0.48*</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-0.57**</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(0.17)</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Malta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-0.34**</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-0.52***</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(0.10)</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(0.10)</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Netherlands</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-0.49*</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-0.63**</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(0.15)</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lastRenderedPageBreak/>
              <w:t>Poland</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-1.29*</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-1.76***</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(0.44)</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Portugal</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-0.37</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-1.26**</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(0.77)</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(0.28)</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Romania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-1.32*</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-1.74**</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(0.47)</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(0.38)</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Slovakia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-1.15**</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-1.60**</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(0.35)</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(0.33)</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Slovenia</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-1.14*</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-1.32**</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(0.36)</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(0.31)</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Spain</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-0.46*</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-0.65***</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(0.20)</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(0.13)</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Sweden</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-0.77*</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-1.20***</w:t>
            </w:r>
          </w:p>
        </w:tc>
      </w:tr>
      <w:tr w:rsidR="00236015" w:rsidRPr="00C3586C" w:rsidTr="005A62A4">
        <w:trPr>
          <w:trHeight w:val="201"/>
          <w:jc w:val="center"/>
        </w:trPr>
        <w:tc>
          <w:tcPr>
            <w:tcW w:w="1960" w:type="dxa"/>
            <w:tcBorders>
              <w:bottom w:val="single" w:sz="4" w:space="0" w:color="auto"/>
            </w:tcBorders>
            <w:tcMar>
              <w:top w:w="50" w:type="dxa"/>
              <w:left w:w="80" w:type="dxa"/>
              <w:bottom w:w="50" w:type="dxa"/>
              <w:right w:w="80" w:type="dxa"/>
            </w:tcMar>
            <w:vAlign w:val="center"/>
          </w:tcPr>
          <w:p w:rsidR="00236015" w:rsidRPr="00C3586C" w:rsidRDefault="00236015" w:rsidP="00C3586C">
            <w:pPr>
              <w:spacing w:line="360" w:lineRule="auto"/>
              <w:rPr>
                <w:rFonts w:asciiTheme="minorHAnsi" w:hAnsiTheme="minorHAnsi" w:cstheme="minorHAnsi"/>
              </w:rPr>
            </w:pPr>
          </w:p>
        </w:tc>
        <w:tc>
          <w:tcPr>
            <w:tcW w:w="1154" w:type="dxa"/>
            <w:tcBorders>
              <w:bottom w:val="single" w:sz="4" w:space="0" w:color="auto"/>
            </w:tcBorders>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(0.28)</w:t>
            </w:r>
          </w:p>
        </w:tc>
        <w:tc>
          <w:tcPr>
            <w:tcW w:w="1134" w:type="dxa"/>
            <w:tcBorders>
              <w:bottom w:val="single" w:sz="4" w:space="0" w:color="auto"/>
            </w:tcBorders>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(0.20)</w:t>
            </w:r>
          </w:p>
        </w:tc>
      </w:tr>
      <w:tr w:rsidR="00236015" w:rsidRPr="00C3586C" w:rsidTr="005A62A4">
        <w:trPr>
          <w:jc w:val="center"/>
        </w:trPr>
        <w:tc>
          <w:tcPr>
            <w:tcW w:w="1960" w:type="dxa"/>
            <w:tcBorders>
              <w:top w:val="single" w:sz="4" w:space="0" w:color="auto"/>
            </w:tcBorders>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Country FE</w:t>
            </w:r>
          </w:p>
        </w:tc>
        <w:tc>
          <w:tcPr>
            <w:tcW w:w="1154" w:type="dxa"/>
            <w:tcBorders>
              <w:top w:val="single" w:sz="4" w:space="0" w:color="auto"/>
            </w:tcBorders>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c>
          <w:tcPr>
            <w:tcW w:w="1134" w:type="dxa"/>
            <w:tcBorders>
              <w:top w:val="single" w:sz="4" w:space="0" w:color="auto"/>
            </w:tcBorders>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Year FE</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Observations</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520</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520</w:t>
            </w:r>
          </w:p>
        </w:tc>
      </w:tr>
      <w:tr w:rsidR="00236015" w:rsidRPr="00C3586C" w:rsidTr="005A62A4">
        <w:trPr>
          <w:jc w:val="center"/>
        </w:trPr>
        <w:tc>
          <w:tcPr>
            <w:tcW w:w="1960" w:type="dxa"/>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Adj. R²</w:t>
            </w:r>
          </w:p>
        </w:tc>
        <w:tc>
          <w:tcPr>
            <w:tcW w:w="115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0.93</w:t>
            </w:r>
          </w:p>
        </w:tc>
        <w:tc>
          <w:tcPr>
            <w:tcW w:w="1134" w:type="dxa"/>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0.93</w:t>
            </w:r>
          </w:p>
        </w:tc>
      </w:tr>
      <w:tr w:rsidR="00236015" w:rsidRPr="00C3586C" w:rsidTr="005A62A4">
        <w:trPr>
          <w:jc w:val="center"/>
        </w:trPr>
        <w:tc>
          <w:tcPr>
            <w:tcW w:w="1960" w:type="dxa"/>
            <w:tcBorders>
              <w:bottom w:val="single" w:sz="4" w:space="0" w:color="auto"/>
            </w:tcBorders>
            <w:tcMar>
              <w:top w:w="50" w:type="dxa"/>
              <w:left w:w="80" w:type="dxa"/>
              <w:bottom w:w="50" w:type="dxa"/>
              <w:right w:w="80" w:type="dxa"/>
            </w:tcMar>
            <w:vAlign w:val="cente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Within R²</w:t>
            </w:r>
          </w:p>
        </w:tc>
        <w:tc>
          <w:tcPr>
            <w:tcW w:w="1154" w:type="dxa"/>
            <w:tcBorders>
              <w:bottom w:val="single" w:sz="4" w:space="0" w:color="auto"/>
            </w:tcBorders>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0.56</w:t>
            </w:r>
          </w:p>
        </w:tc>
        <w:tc>
          <w:tcPr>
            <w:tcW w:w="1134" w:type="dxa"/>
            <w:tcBorders>
              <w:bottom w:val="single" w:sz="4" w:space="0" w:color="auto"/>
            </w:tcBorders>
            <w:tcMar>
              <w:top w:w="50" w:type="dxa"/>
              <w:left w:w="80" w:type="dxa"/>
              <w:bottom w:w="50" w:type="dxa"/>
              <w:right w:w="80" w:type="dxa"/>
            </w:tcMar>
          </w:tcPr>
          <w:p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0.56</w:t>
            </w:r>
          </w:p>
        </w:tc>
      </w:tr>
    </w:tbl>
    <w:p w:rsidR="00236015" w:rsidRPr="00C3586C" w:rsidRDefault="008B0A6B" w:rsidP="00C3586C">
      <w:pPr>
        <w:spacing w:before="120" w:line="360" w:lineRule="auto"/>
        <w:rPr>
          <w:rFonts w:asciiTheme="minorHAnsi" w:hAnsiTheme="minorHAnsi" w:cstheme="minorHAnsi"/>
        </w:rPr>
      </w:pPr>
      <w:r>
        <w:rPr>
          <w:rFonts w:asciiTheme="minorHAnsi" w:hAnsiTheme="minorHAnsi" w:cstheme="minorHAnsi"/>
          <w:b/>
          <w:bCs/>
          <w:i/>
          <w:iCs/>
        </w:rPr>
        <w:t>Notes</w:t>
      </w:r>
      <w:r>
        <w:rPr>
          <w:rFonts w:asciiTheme="minorHAnsi" w:hAnsiTheme="minorHAnsi" w:cstheme="minorHAnsi"/>
          <w:i/>
          <w:iCs/>
        </w:rPr>
        <w:t xml:space="preserve">: </w:t>
      </w:r>
      <w:r>
        <w:rPr>
          <w:rFonts w:asciiTheme="minorHAnsi" w:hAnsiTheme="minorHAnsi" w:cstheme="minorHAnsi"/>
        </w:rPr>
        <w:t>Heteroskedasticity- and autocorrelation-consistent (Driscoll–Kraay) standard errors in parentheses. + p&lt;0.10, * p&lt;0.05, ** p&lt;0.01, *** p&lt;0.001.</w:t>
      </w:r>
    </w:p>
    <w:p w:rsidR="005A62A4" w:rsidRPr="00C3586C" w:rsidRDefault="005A62A4" w:rsidP="00C3586C">
      <w:pPr>
        <w:spacing w:before="360" w:line="360" w:lineRule="auto"/>
        <w:rPr>
          <w:rFonts w:asciiTheme="minorHAnsi" w:hAnsiTheme="minorHAnsi" w:cstheme="minorHAnsi"/>
          <w:b/>
          <w:bCs/>
          <w:sz w:val="26"/>
          <w:szCs w:val="26"/>
        </w:rPr>
      </w:pPr>
    </w:p>
    <w:p w:rsidR="00236015" w:rsidRPr="00C3586C" w:rsidRDefault="008B0A6B" w:rsidP="00C3586C">
      <w:pPr>
        <w:spacing w:before="360" w:line="360" w:lineRule="auto"/>
        <w:rPr>
          <w:rFonts w:asciiTheme="minorHAnsi" w:hAnsiTheme="minorHAnsi" w:cstheme="minorHAnsi"/>
        </w:rPr>
      </w:pPr>
      <w:r>
        <w:rPr>
          <w:rFonts w:asciiTheme="minorHAnsi" w:hAnsiTheme="minorHAnsi" w:cstheme="minorHAnsi"/>
          <w:b/>
          <w:bCs/>
          <w:sz w:val="26"/>
          <w:szCs w:val="26"/>
        </w:rPr>
        <w:t>References</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Abadie, A., &amp; Cattaneo, M. D. (2018). Econometric methods for program evaluation. Annual Review of Economics, 10, 465–503. </w:t>
      </w:r>
      <w:hyperlink r:id="rId7" w:history="1">
        <w:r>
          <w:rPr>
            <w:rStyle w:val="Hyperlink"/>
            <w:rFonts w:asciiTheme="minorHAnsi" w:hAnsiTheme="minorHAnsi" w:cstheme="minorHAnsi"/>
          </w:rPr>
          <w:t>https://doi.org/10.1146/annurev-economics-080217-053402</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lastRenderedPageBreak/>
        <w:t xml:space="preserve">Abadie, A., Diamond, A., &amp; Hainmueller, J. (2010). Synthetic control methods for comparative case studies: Estimating the effect of California’s tobacco control program. Journal of the American Statistical Association, 105(490), 493–505. </w:t>
      </w:r>
      <w:hyperlink w:history="1">
        <w:r>
          <w:rPr>
            <w:rStyle w:val="Hyperlink"/>
            <w:rFonts w:asciiTheme="minorHAnsi" w:hAnsiTheme="minorHAnsi" w:cstheme="minorHAnsi"/>
          </w:rPr>
          <w:t>https://doi.org/10.1198/jasa.2009.ap08746</w:t>
        </w:r>
      </w:hyperlink>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Bresnahan, T. F. (1982). The oligopoly solution concept is identified. Economics Letters, 10(1–2), 87–92. </w:t>
      </w:r>
      <w:hyperlink r:id="rId8" w:history="1">
        <w:r>
          <w:rPr>
            <w:rStyle w:val="Hyperlink"/>
            <w:rFonts w:asciiTheme="minorHAnsi" w:hAnsiTheme="minorHAnsi" w:cstheme="minorHAnsi"/>
          </w:rPr>
          <w:t>https://doi.org/10.1016/0165-1765(82)90121-5</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Clifton-Sprigg, J., Homburg, I., Huyghe, A., &amp; Vujić, S. (2025). International student migration: Did Brexit close the door to EU students? (IZA Discussion Paper No. 18178). IZA Institute of Labor Economics.</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Driscoll, J. C., &amp; Kraay, A. C. (1998). Consistent covariance matrix estimation with spatially dependent panel data. Review of Economics and Statistics, 80(4), 549–560. </w:t>
      </w:r>
      <w:hyperlink r:id="rId9" w:history="1">
        <w:r>
          <w:rPr>
            <w:rStyle w:val="Hyperlink"/>
            <w:rFonts w:asciiTheme="minorHAnsi" w:hAnsiTheme="minorHAnsi" w:cstheme="minorHAnsi"/>
          </w:rPr>
          <w:t>https://doi.org/10.1162/003465398557825</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Giorgino, T. (2009). Computing and visualizing dynamic time warping alignments in R: The dtw package. Journal of Statistical Software, 31(7), 1–24. </w:t>
      </w:r>
      <w:hyperlink w:history="1">
        <w:r>
          <w:rPr>
            <w:rStyle w:val="Hyperlink"/>
            <w:rFonts w:asciiTheme="minorHAnsi" w:hAnsiTheme="minorHAnsi" w:cstheme="minorHAnsi"/>
          </w:rPr>
          <w:t>https://doi.org/10.18637/jss.v031.i07</w:t>
        </w:r>
      </w:hyperlink>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Imai, K., &amp; Kim, I. S. (2020). When should we use unit fixed effects regression models for causal inference with longitudinal data? American Journal of Political Science, 64(3), 637–658. </w:t>
      </w:r>
      <w:hyperlink r:id="rId10" w:history="1">
        <w:r>
          <w:rPr>
            <w:rStyle w:val="Hyperlink"/>
            <w:rFonts w:asciiTheme="minorHAnsi" w:hAnsiTheme="minorHAnsi" w:cstheme="minorHAnsi"/>
          </w:rPr>
          <w:t>https://doi.org/10.1111/ajps.12417</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Montero-Manso, P., &amp; Hyndman, R. J. (2021). Principles and algorithms for forecasting groups of time series: Locality and globality. International Journal of Forecasting, 37(4), 1632–1653. </w:t>
      </w:r>
      <w:hyperlink r:id="rId11" w:history="1">
        <w:r>
          <w:rPr>
            <w:rStyle w:val="Hyperlink"/>
            <w:rFonts w:asciiTheme="minorHAnsi" w:hAnsiTheme="minorHAnsi" w:cstheme="minorHAnsi"/>
          </w:rPr>
          <w:t>https://doi.org/10.1016/j.ijforecast.2021.03.004</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Rosenbaum, P. R., &amp; Rubin, D. B. (1985). Constructing a control group using multivariate matched sampling methods that incorporate the propensity score. The American Statistician, 39(1), 33–38. </w:t>
      </w:r>
      <w:hyperlink r:id="rId12" w:history="1">
        <w:r>
          <w:rPr>
            <w:rStyle w:val="Hyperlink"/>
            <w:rFonts w:asciiTheme="minorHAnsi" w:hAnsiTheme="minorHAnsi" w:cstheme="minorHAnsi"/>
          </w:rPr>
          <w:t>https://doi.org/10.1080/00031305.1985.10479383</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Sakoe, H., &amp; Chiba, S. (1978). Dynamic programming algorithm optimization for spoken word recognition. IEEE Transactions on Acoustics, Speech, and Signal Processing, 26(1), 43–49. </w:t>
      </w:r>
      <w:hyperlink w:history="1">
        <w:r>
          <w:rPr>
            <w:rStyle w:val="Hyperlink"/>
            <w:rFonts w:asciiTheme="minorHAnsi" w:hAnsiTheme="minorHAnsi" w:cstheme="minorHAnsi"/>
          </w:rPr>
          <w:t>https://doi.org/10.1109/TASSP.1978.1163055</w:t>
        </w:r>
      </w:hyperlink>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Stuart, E. A. (2010). Matching methods for causal inference: A review and a look forward. Statistical Science, 25(1), 1–21. </w:t>
      </w:r>
      <w:hyperlink r:id="rId13" w:history="1">
        <w:r>
          <w:rPr>
            <w:rStyle w:val="Hyperlink"/>
            <w:rFonts w:asciiTheme="minorHAnsi" w:hAnsiTheme="minorHAnsi" w:cstheme="minorHAnsi"/>
          </w:rPr>
          <w:t>https://doi.org/10.1214/09-STS313</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UK Government. (n.d.-a). Repaying your student loan: What you pay. GOV.UK. </w:t>
      </w:r>
      <w:hyperlink r:id="rId14" w:history="1">
        <w:r>
          <w:rPr>
            <w:rStyle w:val="Hyperlink"/>
            <w:rFonts w:asciiTheme="minorHAnsi" w:hAnsiTheme="minorHAnsi" w:cstheme="minorHAnsi"/>
          </w:rPr>
          <w:t>https://www.gov.uk/repaying-your-student-loan/what-you-pay</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UK Government. (n.d.-b). When your student loan gets written off or cancelled. GOV.UK. </w:t>
      </w:r>
      <w:hyperlink r:id="rId15" w:history="1">
        <w:r>
          <w:rPr>
            <w:rStyle w:val="Hyperlink"/>
            <w:rFonts w:asciiTheme="minorHAnsi" w:hAnsiTheme="minorHAnsi" w:cstheme="minorHAnsi"/>
          </w:rPr>
          <w:t>https://www.gov.uk/repaying-your-student-loan/when-your-student-loan-gets-written-off</w:t>
        </w:r>
      </w:hyperlink>
      <w:r>
        <w:rPr>
          <w:rFonts w:asciiTheme="minorHAnsi" w:hAnsiTheme="minorHAnsi" w:cstheme="minorHAnsi"/>
        </w:rPr>
        <w:t xml:space="preserve"> </w:t>
      </w:r>
    </w:p>
    <w:p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lastRenderedPageBreak/>
        <w:t xml:space="preserve">UK Government. (n.d.-c). How interest is calculated (Plan 2). GOV.UK. </w:t>
      </w:r>
      <w:hyperlink r:id="rId16" w:history="1">
        <w:r>
          <w:rPr>
            <w:rStyle w:val="Hyperlink"/>
            <w:rFonts w:asciiTheme="minorHAnsi" w:hAnsiTheme="minorHAnsi" w:cstheme="minorHAnsi"/>
          </w:rPr>
          <w:t>https://www.gov.uk/guidance/how-interest-is-calculated-plan-2</w:t>
        </w:r>
      </w:hyperlink>
      <w:r>
        <w:rPr>
          <w:rFonts w:asciiTheme="minorHAnsi" w:hAnsiTheme="minorHAnsi" w:cstheme="minorHAnsi"/>
        </w:rPr>
        <w:t xml:space="preserve"> </w:t>
      </w:r>
    </w:p>
    <w:sectPr w:rsidR="00236015" w:rsidRPr="00C358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A1AEFD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49E922F1"/>
    <w:multiLevelType w:val="hybridMultilevel"/>
    <w:tmpl w:val="45A2BE4E"/>
    <w:lvl w:ilvl="0" w:tplc="62DAA2BA">
      <w:start w:val="1"/>
      <w:numFmt w:val="bullet"/>
      <w:lvlText w:val="●"/>
      <w:lvlJc w:val="left"/>
      <w:pPr>
        <w:ind w:left="720" w:hanging="360"/>
      </w:pPr>
    </w:lvl>
    <w:lvl w:ilvl="1" w:tplc="4AF2A5C0">
      <w:start w:val="1"/>
      <w:numFmt w:val="bullet"/>
      <w:lvlText w:val="○"/>
      <w:lvlJc w:val="left"/>
      <w:pPr>
        <w:ind w:left="1440" w:hanging="360"/>
      </w:pPr>
    </w:lvl>
    <w:lvl w:ilvl="2" w:tplc="4EBAA2B2">
      <w:start w:val="1"/>
      <w:numFmt w:val="bullet"/>
      <w:lvlText w:val="■"/>
      <w:lvlJc w:val="left"/>
      <w:pPr>
        <w:ind w:left="2160" w:hanging="360"/>
      </w:pPr>
    </w:lvl>
    <w:lvl w:ilvl="3" w:tplc="08005684">
      <w:start w:val="1"/>
      <w:numFmt w:val="bullet"/>
      <w:lvlText w:val="●"/>
      <w:lvlJc w:val="left"/>
      <w:pPr>
        <w:ind w:left="2880" w:hanging="360"/>
      </w:pPr>
    </w:lvl>
    <w:lvl w:ilvl="4" w:tplc="6CAEC70A">
      <w:start w:val="1"/>
      <w:numFmt w:val="bullet"/>
      <w:lvlText w:val="○"/>
      <w:lvlJc w:val="left"/>
      <w:pPr>
        <w:ind w:left="3600" w:hanging="360"/>
      </w:pPr>
    </w:lvl>
    <w:lvl w:ilvl="5" w:tplc="46E2BAAE">
      <w:start w:val="1"/>
      <w:numFmt w:val="bullet"/>
      <w:lvlText w:val="■"/>
      <w:lvlJc w:val="left"/>
      <w:pPr>
        <w:ind w:left="4320" w:hanging="360"/>
      </w:pPr>
    </w:lvl>
    <w:lvl w:ilvl="6" w:tplc="154421D0">
      <w:start w:val="1"/>
      <w:numFmt w:val="bullet"/>
      <w:lvlText w:val="●"/>
      <w:lvlJc w:val="left"/>
      <w:pPr>
        <w:ind w:left="5040" w:hanging="360"/>
      </w:pPr>
    </w:lvl>
    <w:lvl w:ilvl="7" w:tplc="82AECD46">
      <w:start w:val="1"/>
      <w:numFmt w:val="bullet"/>
      <w:lvlText w:val="●"/>
      <w:lvlJc w:val="left"/>
      <w:pPr>
        <w:ind w:left="5760" w:hanging="360"/>
      </w:pPr>
    </w:lvl>
    <w:lvl w:ilvl="8" w:tplc="B1ACB2B0">
      <w:start w:val="1"/>
      <w:numFmt w:val="bullet"/>
      <w:lvlText w:val="●"/>
      <w:lvlJc w:val="left"/>
      <w:pPr>
        <w:ind w:left="6480" w:hanging="360"/>
      </w:pPr>
    </w:lvl>
  </w:abstractNum>
  <w:abstractNum w:abstractNumId="2" w15:restartNumberingAfterBreak="0">
    <w:nsid w:val="4E7B0E0D"/>
    <w:multiLevelType w:val="hybridMultilevel"/>
    <w:tmpl w:val="7A9E6292"/>
    <w:lvl w:ilvl="0" w:tplc="E26E2AF6">
      <w:start w:val="1"/>
      <w:numFmt w:val="bullet"/>
      <w:lvlText w:val="•"/>
      <w:lvlJc w:val="left"/>
      <w:pPr>
        <w:ind w:left="720" w:hanging="360"/>
      </w:pPr>
    </w:lvl>
    <w:lvl w:ilvl="1" w:tplc="92BA84EE">
      <w:numFmt w:val="decimal"/>
      <w:lvlText w:val=""/>
      <w:lvlJc w:val="left"/>
    </w:lvl>
    <w:lvl w:ilvl="2" w:tplc="258CF1CC">
      <w:numFmt w:val="decimal"/>
      <w:lvlText w:val=""/>
      <w:lvlJc w:val="left"/>
    </w:lvl>
    <w:lvl w:ilvl="3" w:tplc="AD622310">
      <w:numFmt w:val="decimal"/>
      <w:lvlText w:val=""/>
      <w:lvlJc w:val="left"/>
    </w:lvl>
    <w:lvl w:ilvl="4" w:tplc="7AFC8AFA">
      <w:numFmt w:val="decimal"/>
      <w:lvlText w:val=""/>
      <w:lvlJc w:val="left"/>
    </w:lvl>
    <w:lvl w:ilvl="5" w:tplc="3CDEA474">
      <w:numFmt w:val="decimal"/>
      <w:lvlText w:val=""/>
      <w:lvlJc w:val="left"/>
    </w:lvl>
    <w:lvl w:ilvl="6" w:tplc="8822ECC0">
      <w:numFmt w:val="decimal"/>
      <w:lvlText w:val=""/>
      <w:lvlJc w:val="left"/>
    </w:lvl>
    <w:lvl w:ilvl="7" w:tplc="33523A20">
      <w:numFmt w:val="decimal"/>
      <w:lvlText w:val=""/>
      <w:lvlJc w:val="left"/>
    </w:lvl>
    <w:lvl w:ilvl="8" w:tplc="5D0E5C28">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015"/>
    <w:rsid w:val="000A19E0"/>
    <w:rsid w:val="001F394D"/>
    <w:rsid w:val="00236015"/>
    <w:rsid w:val="00382665"/>
    <w:rsid w:val="005063A7"/>
    <w:rsid w:val="005A62A4"/>
    <w:rsid w:val="00816EB1"/>
    <w:rsid w:val="00875DA6"/>
    <w:rsid w:val="008B0A6B"/>
    <w:rsid w:val="00B97FC2"/>
    <w:rsid w:val="00BE47EC"/>
    <w:rsid w:val="00C3586C"/>
    <w:rsid w:val="00D22D75"/>
    <w:rsid w:val="00DD0CCB"/>
    <w:rsid w:val="00E806B3"/>
    <w:rsid w:val="00F97494"/>
    <w:rsid w:val="00FD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31D402-0932-412D-83AD-506C15FB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i/>
      <w:iCs/>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B0A6B"/>
    <w:rPr>
      <w:color w:val="605E5C"/>
      <w:shd w:val="clear" w:color="auto" w:fill="E1DFDD"/>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character" w:customStyle="1" w:styleId="SectionNumber">
    <w:name w:val="Section Number"/>
  </w:style>
  <w:style w:type="character" w:customStyle="1" w:styleId="VerbatimChar">
    <w:name w:val="Verbatim Char"/>
    <w:rPr>
      <w:rFonts w:ascii="Consolas" w:hAnsi="Consolas"/>
      <w:sz w:val="22"/>
    </w:rPr>
  </w:style>
  <w:style w:type="character" w:styleId="PlaceholderText">
    <w:name w:val="Placeholder Text"/>
    <w:basedOn w:val="DefaultParagraphFont"/>
    <w:uiPriority w:val="99"/>
    <w:semiHidden/>
    <w:rsid w:val="00C3586C"/>
    <w:rPr>
      <w:color w:val="808080"/>
    </w:rPr>
  </w:style>
  <w:style w:type="character" w:styleId="CommentReference">
    <w:name w:val="annotation reference"/>
    <w:basedOn w:val="DefaultParagraphFont"/>
    <w:uiPriority w:val="99"/>
    <w:semiHidden/>
    <w:unhideWhenUsed/>
    <w:rsid w:val="00E806B3"/>
    <w:rPr>
      <w:sz w:val="16"/>
      <w:szCs w:val="16"/>
    </w:rPr>
  </w:style>
  <w:style w:type="paragraph" w:styleId="CommentText">
    <w:name w:val="annotation text"/>
    <w:basedOn w:val="Normal"/>
    <w:link w:val="CommentTextChar"/>
    <w:uiPriority w:val="99"/>
    <w:semiHidden/>
    <w:unhideWhenUsed/>
    <w:rsid w:val="00E806B3"/>
    <w:rPr>
      <w:sz w:val="20"/>
      <w:szCs w:val="20"/>
    </w:rPr>
  </w:style>
  <w:style w:type="character" w:customStyle="1" w:styleId="CommentTextChar">
    <w:name w:val="Comment Text Char"/>
    <w:basedOn w:val="DefaultParagraphFont"/>
    <w:link w:val="CommentText"/>
    <w:uiPriority w:val="99"/>
    <w:semiHidden/>
    <w:rsid w:val="00E806B3"/>
    <w:rPr>
      <w:sz w:val="20"/>
      <w:szCs w:val="20"/>
    </w:rPr>
  </w:style>
  <w:style w:type="paragraph" w:styleId="CommentSubject">
    <w:name w:val="annotation subject"/>
    <w:basedOn w:val="CommentText"/>
    <w:next w:val="CommentText"/>
    <w:link w:val="CommentSubjectChar"/>
    <w:uiPriority w:val="99"/>
    <w:semiHidden/>
    <w:unhideWhenUsed/>
    <w:rsid w:val="00E806B3"/>
    <w:rPr>
      <w:b/>
      <w:bCs/>
    </w:rPr>
  </w:style>
  <w:style w:type="character" w:customStyle="1" w:styleId="CommentSubjectChar">
    <w:name w:val="Comment Subject Char"/>
    <w:basedOn w:val="CommentTextChar"/>
    <w:link w:val="CommentSubject"/>
    <w:uiPriority w:val="99"/>
    <w:semiHidden/>
    <w:rsid w:val="00E806B3"/>
    <w:rPr>
      <w:b/>
      <w:bCs/>
      <w:sz w:val="20"/>
      <w:szCs w:val="20"/>
    </w:rPr>
  </w:style>
  <w:style w:type="paragraph" w:styleId="BalloonText">
    <w:name w:val="Balloon Text"/>
    <w:basedOn w:val="Normal"/>
    <w:link w:val="BalloonTextChar"/>
    <w:uiPriority w:val="99"/>
    <w:semiHidden/>
    <w:unhideWhenUsed/>
    <w:rsid w:val="00E806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6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783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0165-1765(82)90121-5" TargetMode="External"/><Relationship Id="rId13" Type="http://schemas.openxmlformats.org/officeDocument/2006/relationships/hyperlink" Target="https://doi.org/10.1214/09-STS31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146/annurev-economics-080217-053402" TargetMode="External"/><Relationship Id="rId12" Type="http://schemas.openxmlformats.org/officeDocument/2006/relationships/hyperlink" Target="https://doi.org/10.1080/00031305.1985.1047938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v.uk/guidance/how-interest-is-calculated-plan-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16/j.ijforecast.2021.03.004" TargetMode="External"/><Relationship Id="rId5" Type="http://schemas.openxmlformats.org/officeDocument/2006/relationships/webSettings" Target="webSettings.xml"/><Relationship Id="rId15" Type="http://schemas.openxmlformats.org/officeDocument/2006/relationships/hyperlink" Target="https://www.gov.uk/repaying-your-student-loan/when-your-student-loan-gets-written-off" TargetMode="External"/><Relationship Id="rId10" Type="http://schemas.openxmlformats.org/officeDocument/2006/relationships/hyperlink" Target="https://doi.org/10.1111/ajps.12417" TargetMode="External"/><Relationship Id="rId4" Type="http://schemas.openxmlformats.org/officeDocument/2006/relationships/settings" Target="settings.xml"/><Relationship Id="rId9" Type="http://schemas.openxmlformats.org/officeDocument/2006/relationships/hyperlink" Target="https://doi.org/10.1162/003465398557825" TargetMode="External"/><Relationship Id="rId14" Type="http://schemas.openxmlformats.org/officeDocument/2006/relationships/hyperlink" Target="https://www.gov.uk/repaying-your-student-loan/what-you-p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CF054-C8F7-4BCA-9911-D72977942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3784</Words>
  <Characters>21569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Online appendix</vt:lpstr>
    </vt:vector>
  </TitlesOfParts>
  <Company/>
  <LinksUpToDate>false</LinksUpToDate>
  <CharactersWithSpaces>25303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dc:title>
  <dc:creator>Claude</dc:creator>
  <cp:lastModifiedBy>Stoycho Rusinov</cp:lastModifiedBy>
  <cp:revision>6</cp:revision>
  <dcterms:created xsi:type="dcterms:W3CDTF">2026-05-10T20:11:00Z</dcterms:created>
  <dcterms:modified xsi:type="dcterms:W3CDTF">2026-07-27T10:38:00Z</dcterms:modified>
</cp:coreProperties>
</file>