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AC6AB" w14:textId="77777777" w:rsidR="008E000C" w:rsidRPr="008E000C" w:rsidRDefault="008E000C" w:rsidP="008E000C">
      <w:pPr>
        <w:spacing w:before="100" w:beforeAutospacing="1" w:after="100" w:afterAutospacing="1" w:line="240" w:lineRule="auto"/>
        <w:outlineLvl w:val="0"/>
        <w:rPr>
          <w:rFonts w:ascii="Times New Roman" w:eastAsia="Times New Roman" w:hAnsi="Times New Roman"/>
          <w:b/>
          <w:bCs/>
          <w:kern w:val="36"/>
          <w:sz w:val="48"/>
          <w:szCs w:val="48"/>
          <w:lang w:eastAsia="de-DE"/>
        </w:rPr>
      </w:pPr>
      <w:r w:rsidRPr="008E000C">
        <w:rPr>
          <w:rFonts w:ascii="Times New Roman" w:eastAsia="Times New Roman" w:hAnsi="Times New Roman"/>
          <w:b/>
          <w:bCs/>
          <w:kern w:val="36"/>
          <w:sz w:val="48"/>
          <w:szCs w:val="48"/>
          <w:lang w:eastAsia="de-DE"/>
        </w:rPr>
        <w:t>Arbeitsanweisung</w:t>
      </w:r>
    </w:p>
    <w:p w14:paraId="0E346CAF" w14:textId="77777777" w:rsidR="008E000C" w:rsidRPr="008E000C" w:rsidRDefault="008E000C" w:rsidP="008E000C">
      <w:pPr>
        <w:spacing w:before="100" w:beforeAutospacing="1" w:after="100" w:afterAutospacing="1" w:line="240" w:lineRule="auto"/>
        <w:outlineLvl w:val="1"/>
        <w:rPr>
          <w:rFonts w:ascii="Times New Roman" w:eastAsia="Times New Roman" w:hAnsi="Times New Roman"/>
          <w:b/>
          <w:bCs/>
          <w:sz w:val="36"/>
          <w:szCs w:val="36"/>
          <w:lang w:eastAsia="de-DE"/>
        </w:rPr>
      </w:pPr>
      <w:r w:rsidRPr="008E000C">
        <w:rPr>
          <w:rFonts w:ascii="Times New Roman" w:eastAsia="Times New Roman" w:hAnsi="Times New Roman"/>
          <w:b/>
          <w:bCs/>
          <w:sz w:val="36"/>
          <w:szCs w:val="36"/>
          <w:lang w:eastAsia="de-DE"/>
        </w:rPr>
        <w:t>Bearbeitung und Prüfung von Lieferungs- und Leistungseingangsrechnungen</w:t>
      </w:r>
    </w:p>
    <w:p w14:paraId="0C3A31E5"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b/>
          <w:bCs/>
          <w:sz w:val="24"/>
          <w:szCs w:val="24"/>
          <w:lang w:eastAsia="de-DE"/>
        </w:rPr>
        <w:t>Unternehmen:</w:t>
      </w:r>
      <w:r w:rsidRPr="008E000C">
        <w:rPr>
          <w:rFonts w:ascii="Times New Roman" w:eastAsia="Times New Roman" w:hAnsi="Times New Roman"/>
          <w:sz w:val="24"/>
          <w:szCs w:val="24"/>
          <w:lang w:eastAsia="de-DE"/>
        </w:rPr>
        <w:t xml:space="preserve"> Heiß &amp; Laut Maschinenbau GmbH</w:t>
      </w:r>
      <w:r w:rsidRPr="008E000C">
        <w:rPr>
          <w:rFonts w:ascii="Times New Roman" w:eastAsia="Times New Roman" w:hAnsi="Times New Roman"/>
          <w:sz w:val="24"/>
          <w:szCs w:val="24"/>
          <w:lang w:eastAsia="de-DE"/>
        </w:rPr>
        <w:br/>
      </w:r>
      <w:r w:rsidRPr="008E000C">
        <w:rPr>
          <w:rFonts w:ascii="Times New Roman" w:eastAsia="Times New Roman" w:hAnsi="Times New Roman"/>
          <w:b/>
          <w:bCs/>
          <w:sz w:val="24"/>
          <w:szCs w:val="24"/>
          <w:lang w:eastAsia="de-DE"/>
        </w:rPr>
        <w:t>Fachbereich:</w:t>
      </w:r>
      <w:r w:rsidRPr="008E000C">
        <w:rPr>
          <w:rFonts w:ascii="Times New Roman" w:eastAsia="Times New Roman" w:hAnsi="Times New Roman"/>
          <w:sz w:val="24"/>
          <w:szCs w:val="24"/>
          <w:lang w:eastAsia="de-DE"/>
        </w:rPr>
        <w:t xml:space="preserve"> Rechnungswesen / Buchhaltung</w:t>
      </w:r>
      <w:r w:rsidRPr="008E000C">
        <w:rPr>
          <w:rFonts w:ascii="Times New Roman" w:eastAsia="Times New Roman" w:hAnsi="Times New Roman"/>
          <w:sz w:val="24"/>
          <w:szCs w:val="24"/>
          <w:lang w:eastAsia="de-DE"/>
        </w:rPr>
        <w:br/>
      </w:r>
      <w:r w:rsidRPr="008E000C">
        <w:rPr>
          <w:rFonts w:ascii="Times New Roman" w:eastAsia="Times New Roman" w:hAnsi="Times New Roman"/>
          <w:b/>
          <w:bCs/>
          <w:sz w:val="24"/>
          <w:szCs w:val="24"/>
          <w:lang w:eastAsia="de-DE"/>
        </w:rPr>
        <w:t>Gültig ab:</w:t>
      </w:r>
      <w:r w:rsidRPr="008E000C">
        <w:rPr>
          <w:rFonts w:ascii="Times New Roman" w:eastAsia="Times New Roman" w:hAnsi="Times New Roman"/>
          <w:sz w:val="24"/>
          <w:szCs w:val="24"/>
          <w:lang w:eastAsia="de-DE"/>
        </w:rPr>
        <w:t xml:space="preserve"> [TT.MM.JJJJ]</w:t>
      </w:r>
      <w:r w:rsidRPr="008E000C">
        <w:rPr>
          <w:rFonts w:ascii="Times New Roman" w:eastAsia="Times New Roman" w:hAnsi="Times New Roman"/>
          <w:sz w:val="24"/>
          <w:szCs w:val="24"/>
          <w:lang w:eastAsia="de-DE"/>
        </w:rPr>
        <w:br/>
      </w:r>
      <w:r w:rsidRPr="008E000C">
        <w:rPr>
          <w:rFonts w:ascii="Times New Roman" w:eastAsia="Times New Roman" w:hAnsi="Times New Roman"/>
          <w:b/>
          <w:bCs/>
          <w:sz w:val="24"/>
          <w:szCs w:val="24"/>
          <w:lang w:eastAsia="de-DE"/>
        </w:rPr>
        <w:t>Version:</w:t>
      </w:r>
      <w:r w:rsidRPr="008E000C">
        <w:rPr>
          <w:rFonts w:ascii="Times New Roman" w:eastAsia="Times New Roman" w:hAnsi="Times New Roman"/>
          <w:sz w:val="24"/>
          <w:szCs w:val="24"/>
          <w:lang w:eastAsia="de-DE"/>
        </w:rPr>
        <w:t xml:space="preserve"> 1.0</w:t>
      </w:r>
      <w:r w:rsidRPr="008E000C">
        <w:rPr>
          <w:rFonts w:ascii="Times New Roman" w:eastAsia="Times New Roman" w:hAnsi="Times New Roman"/>
          <w:sz w:val="24"/>
          <w:szCs w:val="24"/>
          <w:lang w:eastAsia="de-DE"/>
        </w:rPr>
        <w:br/>
      </w:r>
      <w:proofErr w:type="gramStart"/>
      <w:r w:rsidRPr="008E000C">
        <w:rPr>
          <w:rFonts w:ascii="Times New Roman" w:eastAsia="Times New Roman" w:hAnsi="Times New Roman"/>
          <w:b/>
          <w:bCs/>
          <w:sz w:val="24"/>
          <w:szCs w:val="24"/>
          <w:lang w:eastAsia="de-DE"/>
        </w:rPr>
        <w:t>Erstellt</w:t>
      </w:r>
      <w:proofErr w:type="gramEnd"/>
      <w:r w:rsidRPr="008E000C">
        <w:rPr>
          <w:rFonts w:ascii="Times New Roman" w:eastAsia="Times New Roman" w:hAnsi="Times New Roman"/>
          <w:b/>
          <w:bCs/>
          <w:sz w:val="24"/>
          <w:szCs w:val="24"/>
          <w:lang w:eastAsia="de-DE"/>
        </w:rPr>
        <w:t xml:space="preserve"> durch:</w:t>
      </w:r>
      <w:r w:rsidRPr="008E000C">
        <w:rPr>
          <w:rFonts w:ascii="Times New Roman" w:eastAsia="Times New Roman" w:hAnsi="Times New Roman"/>
          <w:sz w:val="24"/>
          <w:szCs w:val="24"/>
          <w:lang w:eastAsia="de-DE"/>
        </w:rPr>
        <w:t xml:space="preserve"> [Name]</w:t>
      </w:r>
      <w:r w:rsidRPr="008E000C">
        <w:rPr>
          <w:rFonts w:ascii="Times New Roman" w:eastAsia="Times New Roman" w:hAnsi="Times New Roman"/>
          <w:sz w:val="24"/>
          <w:szCs w:val="24"/>
          <w:lang w:eastAsia="de-DE"/>
        </w:rPr>
        <w:br/>
      </w:r>
      <w:r w:rsidRPr="008E000C">
        <w:rPr>
          <w:rFonts w:ascii="Times New Roman" w:eastAsia="Times New Roman" w:hAnsi="Times New Roman"/>
          <w:b/>
          <w:bCs/>
          <w:sz w:val="24"/>
          <w:szCs w:val="24"/>
          <w:lang w:eastAsia="de-DE"/>
        </w:rPr>
        <w:t>Geprüft / Freigegeben durch:</w:t>
      </w:r>
      <w:r w:rsidRPr="008E000C">
        <w:rPr>
          <w:rFonts w:ascii="Times New Roman" w:eastAsia="Times New Roman" w:hAnsi="Times New Roman"/>
          <w:sz w:val="24"/>
          <w:szCs w:val="24"/>
          <w:lang w:eastAsia="de-DE"/>
        </w:rPr>
        <w:t xml:space="preserve"> [Name]</w:t>
      </w:r>
    </w:p>
    <w:p w14:paraId="2F98DA23"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04695FE6">
          <v:rect id="_x0000_i1025" style="width:0;height:1.5pt" o:hralign="center" o:hrstd="t" o:hr="t" fillcolor="#a0a0a0" stroked="f"/>
        </w:pict>
      </w:r>
    </w:p>
    <w:p w14:paraId="15F5302F" w14:textId="77777777" w:rsidR="008E000C" w:rsidRPr="008E000C" w:rsidRDefault="008E000C" w:rsidP="008E000C">
      <w:pPr>
        <w:spacing w:before="100" w:beforeAutospacing="1" w:after="100" w:afterAutospacing="1" w:line="240" w:lineRule="auto"/>
        <w:outlineLvl w:val="2"/>
        <w:rPr>
          <w:rFonts w:ascii="Times New Roman" w:eastAsia="Times New Roman" w:hAnsi="Times New Roman"/>
          <w:b/>
          <w:bCs/>
          <w:sz w:val="27"/>
          <w:szCs w:val="27"/>
          <w:lang w:eastAsia="de-DE"/>
        </w:rPr>
      </w:pPr>
      <w:r w:rsidRPr="008E000C">
        <w:rPr>
          <w:rFonts w:ascii="Times New Roman" w:eastAsia="Times New Roman" w:hAnsi="Times New Roman"/>
          <w:b/>
          <w:bCs/>
          <w:sz w:val="27"/>
          <w:szCs w:val="27"/>
          <w:lang w:eastAsia="de-DE"/>
        </w:rPr>
        <w:t>1. Zweck und Ziel der Arbeitsanweisung</w:t>
      </w:r>
    </w:p>
    <w:p w14:paraId="7A4628C7"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Diese Arbeitsanweisung beschreibt die Vorgehensweise bei der Bearbeitung, Prüfung, Freigabe und Archivierung von Lieferungs- und Leistungseingangsrechnungen bei der Heiß &amp; Laut Maschinenbau GmbH.</w:t>
      </w:r>
      <w:r w:rsidRPr="008E000C">
        <w:rPr>
          <w:rFonts w:ascii="Times New Roman" w:eastAsia="Times New Roman" w:hAnsi="Times New Roman"/>
          <w:sz w:val="24"/>
          <w:szCs w:val="24"/>
          <w:lang w:eastAsia="de-DE"/>
        </w:rPr>
        <w:br/>
        <w:t xml:space="preserve">Ziel ist, dass alle eingehenden Rechnungen vollständig, korrekt, nachvollziehbar und in Übereinstimmung mit den steuerlichen Anforderungen (insbesondere </w:t>
      </w:r>
      <w:proofErr w:type="spellStart"/>
      <w:r w:rsidRPr="008E000C">
        <w:rPr>
          <w:rFonts w:ascii="Times New Roman" w:eastAsia="Times New Roman" w:hAnsi="Times New Roman"/>
          <w:sz w:val="24"/>
          <w:szCs w:val="24"/>
          <w:lang w:eastAsia="de-DE"/>
        </w:rPr>
        <w:t>GoBD</w:t>
      </w:r>
      <w:proofErr w:type="spellEnd"/>
      <w:r w:rsidRPr="008E000C">
        <w:rPr>
          <w:rFonts w:ascii="Times New Roman" w:eastAsia="Times New Roman" w:hAnsi="Times New Roman"/>
          <w:sz w:val="24"/>
          <w:szCs w:val="24"/>
          <w:lang w:eastAsia="de-DE"/>
        </w:rPr>
        <w:t>, § 14 UStG, HGB) verarbeitet werden.</w:t>
      </w:r>
    </w:p>
    <w:p w14:paraId="709752DA"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Der Prozess soll sicherstellen, dass keine unberechtigten Zahlungen erfolgen, alle steuerlich relevanten Daten ordnungsgemäß erfasst werden und die interne Kontrolle über Rechnungsprüfung und Zahlungsfreigabe gewährleistet ist.</w:t>
      </w:r>
    </w:p>
    <w:p w14:paraId="78525912"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5990AE54">
          <v:rect id="_x0000_i1026" style="width:0;height:1.5pt" o:hralign="center" o:hrstd="t" o:hr="t" fillcolor="#a0a0a0" stroked="f"/>
        </w:pict>
      </w:r>
    </w:p>
    <w:p w14:paraId="0A300CB1" w14:textId="77777777" w:rsidR="008E000C" w:rsidRPr="008E000C" w:rsidRDefault="008E000C" w:rsidP="008E000C">
      <w:pPr>
        <w:spacing w:before="100" w:beforeAutospacing="1" w:after="100" w:afterAutospacing="1" w:line="240" w:lineRule="auto"/>
        <w:outlineLvl w:val="2"/>
        <w:rPr>
          <w:rFonts w:ascii="Times New Roman" w:eastAsia="Times New Roman" w:hAnsi="Times New Roman"/>
          <w:b/>
          <w:bCs/>
          <w:sz w:val="27"/>
          <w:szCs w:val="27"/>
          <w:lang w:eastAsia="de-DE"/>
        </w:rPr>
      </w:pPr>
      <w:r w:rsidRPr="008E000C">
        <w:rPr>
          <w:rFonts w:ascii="Times New Roman" w:eastAsia="Times New Roman" w:hAnsi="Times New Roman"/>
          <w:b/>
          <w:bCs/>
          <w:sz w:val="27"/>
          <w:szCs w:val="27"/>
          <w:lang w:eastAsia="de-DE"/>
        </w:rPr>
        <w:t>2. Geltungsbereich</w:t>
      </w:r>
    </w:p>
    <w:p w14:paraId="70638D3B"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Diese Arbeitsanweisung gilt für sämtliche Eingangsrechnungen über Lieferungen und Leistungen, die von Lieferanten, Dienstleistern oder sonstigen Geschäftspartnern an die Heiß &amp; Laut Maschinenbau GmbH übermittelt werden.</w:t>
      </w:r>
      <w:r w:rsidRPr="008E000C">
        <w:rPr>
          <w:rFonts w:ascii="Times New Roman" w:eastAsia="Times New Roman" w:hAnsi="Times New Roman"/>
          <w:sz w:val="24"/>
          <w:szCs w:val="24"/>
          <w:lang w:eastAsia="de-DE"/>
        </w:rPr>
        <w:br/>
        <w:t>Dabei spielt es keine Rolle, ob die Rechnung per Post, per E-Mail oder über elektronische Schnittstellen (z. B. automatisierte Lieferantenportale) eingeht.</w:t>
      </w:r>
    </w:p>
    <w:p w14:paraId="362E13B5"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Sie betrifft insbesondere die Mitarbeitenden der Poststelle bzw. des Rechnungseingangs, der Buchhaltung, der Fachabteilungen sowie die freigabeberechtigten Personen.</w:t>
      </w:r>
    </w:p>
    <w:p w14:paraId="20B6E996"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1E7CBA10">
          <v:rect id="_x0000_i1027" style="width:0;height:1.5pt" o:hralign="center" o:hrstd="t" o:hr="t" fillcolor="#a0a0a0" stroked="f"/>
        </w:pict>
      </w:r>
    </w:p>
    <w:p w14:paraId="242BE960" w14:textId="77777777" w:rsidR="008E000C" w:rsidRPr="008E000C" w:rsidRDefault="008E000C" w:rsidP="008E000C">
      <w:pPr>
        <w:spacing w:before="100" w:beforeAutospacing="1" w:after="100" w:afterAutospacing="1" w:line="240" w:lineRule="auto"/>
        <w:outlineLvl w:val="2"/>
        <w:rPr>
          <w:rFonts w:ascii="Times New Roman" w:eastAsia="Times New Roman" w:hAnsi="Times New Roman"/>
          <w:b/>
          <w:bCs/>
          <w:sz w:val="27"/>
          <w:szCs w:val="27"/>
          <w:lang w:eastAsia="de-DE"/>
        </w:rPr>
      </w:pPr>
      <w:r w:rsidRPr="008E000C">
        <w:rPr>
          <w:rFonts w:ascii="Times New Roman" w:eastAsia="Times New Roman" w:hAnsi="Times New Roman"/>
          <w:b/>
          <w:bCs/>
          <w:sz w:val="27"/>
          <w:szCs w:val="27"/>
          <w:lang w:eastAsia="de-DE"/>
        </w:rPr>
        <w:t>3. Beschreibung des Prozesses</w:t>
      </w:r>
    </w:p>
    <w:p w14:paraId="43A4BF19" w14:textId="77777777" w:rsidR="008E000C" w:rsidRPr="008E000C" w:rsidRDefault="008E000C" w:rsidP="008E000C">
      <w:pPr>
        <w:spacing w:before="100" w:beforeAutospacing="1" w:after="100" w:afterAutospacing="1" w:line="240" w:lineRule="auto"/>
        <w:outlineLvl w:val="3"/>
        <w:rPr>
          <w:rFonts w:ascii="Times New Roman" w:eastAsia="Times New Roman" w:hAnsi="Times New Roman"/>
          <w:b/>
          <w:bCs/>
          <w:sz w:val="24"/>
          <w:szCs w:val="24"/>
          <w:lang w:eastAsia="de-DE"/>
        </w:rPr>
      </w:pPr>
      <w:r w:rsidRPr="008E000C">
        <w:rPr>
          <w:rFonts w:ascii="Times New Roman" w:eastAsia="Times New Roman" w:hAnsi="Times New Roman"/>
          <w:b/>
          <w:bCs/>
          <w:sz w:val="24"/>
          <w:szCs w:val="24"/>
          <w:lang w:eastAsia="de-DE"/>
        </w:rPr>
        <w:t>3.1 Rechnungseingang und Erfassung</w:t>
      </w:r>
    </w:p>
    <w:p w14:paraId="2243F6E7"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Rechnungen treffen bei Heiß &amp; Laut entweder per Post oder per E-Mail ein.</w:t>
      </w:r>
      <w:r w:rsidRPr="008E000C">
        <w:rPr>
          <w:rFonts w:ascii="Times New Roman" w:eastAsia="Times New Roman" w:hAnsi="Times New Roman"/>
          <w:sz w:val="24"/>
          <w:szCs w:val="24"/>
          <w:lang w:eastAsia="de-DE"/>
        </w:rPr>
        <w:br/>
        <w:t>Papierrechnungen werden in der Poststelle entgegengenommen, auf Vollständigkeit (Seiten, Anhänge, Anlagen) und Lesbarkeit geprüft und anschließend über den zentralen Scanner digitalisiert. Die gescannte Datei wird im elektronischen Rechnungseingangssystem gespeichert und erhält eine eindeutige Dokumenten-ID.</w:t>
      </w:r>
    </w:p>
    <w:p w14:paraId="2463C713"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Eingehende E-Mails mit Rechnungsanhang werden automatisch von der zentralen Rechnungseingangsadresse (z. B. rechnungen@heissundlaut.de) in das Dokumentenmanagementsystem (DMS) übertragen. Das System extrahiert die Metadaten (z. B. Absender, Datum, Rechnungsnummer, Betrag) und übergibt diese an das SAP-System.</w:t>
      </w:r>
    </w:p>
    <w:p w14:paraId="22D8DE80"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Nach der Erfassung werden die Belege an die Buchhaltung weitergeleitet, wo die formelle Prüfung erfolgt.</w:t>
      </w:r>
    </w:p>
    <w:p w14:paraId="74DC899F"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31FAC0B8">
          <v:rect id="_x0000_i1028" style="width:0;height:1.5pt" o:hralign="center" o:hrstd="t" o:hr="t" fillcolor="#a0a0a0" stroked="f"/>
        </w:pict>
      </w:r>
    </w:p>
    <w:p w14:paraId="4B9890A6" w14:textId="77777777" w:rsidR="008E000C" w:rsidRPr="008E000C" w:rsidRDefault="008E000C" w:rsidP="008E000C">
      <w:pPr>
        <w:spacing w:before="100" w:beforeAutospacing="1" w:after="100" w:afterAutospacing="1" w:line="240" w:lineRule="auto"/>
        <w:outlineLvl w:val="3"/>
        <w:rPr>
          <w:rFonts w:ascii="Times New Roman" w:eastAsia="Times New Roman" w:hAnsi="Times New Roman"/>
          <w:b/>
          <w:bCs/>
          <w:sz w:val="24"/>
          <w:szCs w:val="24"/>
          <w:lang w:eastAsia="de-DE"/>
        </w:rPr>
      </w:pPr>
      <w:r w:rsidRPr="008E000C">
        <w:rPr>
          <w:rFonts w:ascii="Times New Roman" w:eastAsia="Times New Roman" w:hAnsi="Times New Roman"/>
          <w:b/>
          <w:bCs/>
          <w:sz w:val="24"/>
          <w:szCs w:val="24"/>
          <w:lang w:eastAsia="de-DE"/>
        </w:rPr>
        <w:t>3.2 Formelle Prüfung durch die Buchhaltung</w:t>
      </w:r>
    </w:p>
    <w:p w14:paraId="36F1FBC2"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 xml:space="preserve">Die Buchhaltung öffnet die übermittelte Rechnung im SAP-System – abhängig von der Art der Rechnung entweder im Modul </w:t>
      </w:r>
      <w:r w:rsidRPr="008E000C">
        <w:rPr>
          <w:rFonts w:ascii="Times New Roman" w:eastAsia="Times New Roman" w:hAnsi="Times New Roman"/>
          <w:b/>
          <w:bCs/>
          <w:sz w:val="24"/>
          <w:szCs w:val="24"/>
          <w:lang w:eastAsia="de-DE"/>
        </w:rPr>
        <w:t>MIRO (Eingangsrechnung mit Bestellbezug)</w:t>
      </w:r>
      <w:r w:rsidRPr="008E000C">
        <w:rPr>
          <w:rFonts w:ascii="Times New Roman" w:eastAsia="Times New Roman" w:hAnsi="Times New Roman"/>
          <w:sz w:val="24"/>
          <w:szCs w:val="24"/>
          <w:lang w:eastAsia="de-DE"/>
        </w:rPr>
        <w:t xml:space="preserve"> oder </w:t>
      </w:r>
      <w:r w:rsidRPr="008E000C">
        <w:rPr>
          <w:rFonts w:ascii="Times New Roman" w:eastAsia="Times New Roman" w:hAnsi="Times New Roman"/>
          <w:b/>
          <w:bCs/>
          <w:sz w:val="24"/>
          <w:szCs w:val="24"/>
          <w:lang w:eastAsia="de-DE"/>
        </w:rPr>
        <w:t>FB60 (sonstige Rechnung)</w:t>
      </w:r>
      <w:r w:rsidRPr="008E000C">
        <w:rPr>
          <w:rFonts w:ascii="Times New Roman" w:eastAsia="Times New Roman" w:hAnsi="Times New Roman"/>
          <w:sz w:val="24"/>
          <w:szCs w:val="24"/>
          <w:lang w:eastAsia="de-DE"/>
        </w:rPr>
        <w:t>.</w:t>
      </w:r>
    </w:p>
    <w:p w14:paraId="7C5417F1"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Dort werden die Pflichtangaben gemäß § 14 UStG überprüft, also insbesondere:</w:t>
      </w:r>
    </w:p>
    <w:p w14:paraId="412769EB" w14:textId="77777777" w:rsidR="008E000C" w:rsidRPr="008E000C" w:rsidRDefault="008E000C" w:rsidP="008E000C">
      <w:pPr>
        <w:numPr>
          <w:ilvl w:val="0"/>
          <w:numId w:val="19"/>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 xml:space="preserve">vollständiger Name und Anschrift </w:t>
      </w:r>
      <w:proofErr w:type="gramStart"/>
      <w:r w:rsidRPr="008E000C">
        <w:rPr>
          <w:rFonts w:ascii="Times New Roman" w:eastAsia="Times New Roman" w:hAnsi="Times New Roman"/>
          <w:sz w:val="24"/>
          <w:szCs w:val="24"/>
          <w:lang w:eastAsia="de-DE"/>
        </w:rPr>
        <w:t>von Lieferant</w:t>
      </w:r>
      <w:proofErr w:type="gramEnd"/>
      <w:r w:rsidRPr="008E000C">
        <w:rPr>
          <w:rFonts w:ascii="Times New Roman" w:eastAsia="Times New Roman" w:hAnsi="Times New Roman"/>
          <w:sz w:val="24"/>
          <w:szCs w:val="24"/>
          <w:lang w:eastAsia="de-DE"/>
        </w:rPr>
        <w:t xml:space="preserve"> und Heiß &amp; Laut Maschinenbau GmbH,</w:t>
      </w:r>
    </w:p>
    <w:p w14:paraId="20172F78" w14:textId="77777777" w:rsidR="008E000C" w:rsidRPr="008E000C" w:rsidRDefault="008E000C" w:rsidP="008E000C">
      <w:pPr>
        <w:numPr>
          <w:ilvl w:val="0"/>
          <w:numId w:val="19"/>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Steuernummer oder Umsatzsteuer-Identifikationsnummer,</w:t>
      </w:r>
    </w:p>
    <w:p w14:paraId="3484D2EE" w14:textId="77777777" w:rsidR="008E000C" w:rsidRPr="008E000C" w:rsidRDefault="008E000C" w:rsidP="008E000C">
      <w:pPr>
        <w:numPr>
          <w:ilvl w:val="0"/>
          <w:numId w:val="19"/>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fortlaufende Rechnungsnummer,</w:t>
      </w:r>
    </w:p>
    <w:p w14:paraId="669CC11C" w14:textId="77777777" w:rsidR="008E000C" w:rsidRPr="008E000C" w:rsidRDefault="008E000C" w:rsidP="008E000C">
      <w:pPr>
        <w:numPr>
          <w:ilvl w:val="0"/>
          <w:numId w:val="19"/>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Rechnungsdatum,</w:t>
      </w:r>
    </w:p>
    <w:p w14:paraId="26A94868" w14:textId="77777777" w:rsidR="008E000C" w:rsidRPr="008E000C" w:rsidRDefault="008E000C" w:rsidP="008E000C">
      <w:pPr>
        <w:numPr>
          <w:ilvl w:val="0"/>
          <w:numId w:val="19"/>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Leistungsbeschreibung, Menge, Preis,</w:t>
      </w:r>
    </w:p>
    <w:p w14:paraId="474B9393" w14:textId="77777777" w:rsidR="008E000C" w:rsidRPr="008E000C" w:rsidRDefault="008E000C" w:rsidP="008E000C">
      <w:pPr>
        <w:numPr>
          <w:ilvl w:val="0"/>
          <w:numId w:val="19"/>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Umsatzsteuerbetrag und -satz.</w:t>
      </w:r>
    </w:p>
    <w:p w14:paraId="3969476B"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Das System prüft automatisch, ob die Rechnung bereits im System vorhanden ist (</w:t>
      </w:r>
      <w:proofErr w:type="spellStart"/>
      <w:r w:rsidRPr="008E000C">
        <w:rPr>
          <w:rFonts w:ascii="Times New Roman" w:eastAsia="Times New Roman" w:hAnsi="Times New Roman"/>
          <w:sz w:val="24"/>
          <w:szCs w:val="24"/>
          <w:lang w:eastAsia="de-DE"/>
        </w:rPr>
        <w:t>Duplikatsprüfung</w:t>
      </w:r>
      <w:proofErr w:type="spellEnd"/>
      <w:r w:rsidRPr="008E000C">
        <w:rPr>
          <w:rFonts w:ascii="Times New Roman" w:eastAsia="Times New Roman" w:hAnsi="Times New Roman"/>
          <w:sz w:val="24"/>
          <w:szCs w:val="24"/>
          <w:lang w:eastAsia="de-DE"/>
        </w:rPr>
        <w:t>). Falls eine Dublette erkannt wird, stoppt die Verarbeitung und die Buchhaltung prüft manuell.</w:t>
      </w:r>
      <w:r w:rsidRPr="008E000C">
        <w:rPr>
          <w:rFonts w:ascii="Times New Roman" w:eastAsia="Times New Roman" w:hAnsi="Times New Roman"/>
          <w:sz w:val="24"/>
          <w:szCs w:val="24"/>
          <w:lang w:eastAsia="de-DE"/>
        </w:rPr>
        <w:br/>
        <w:t>Wenn formale Angaben fehlen oder unplausibel sind (z. B. fehlerhafte Steuernummer, unvollständige Adressdaten), informiert die Buchhaltung den Lieferanten per E-Mail und bittet um Korrektur.</w:t>
      </w:r>
    </w:p>
    <w:p w14:paraId="16E5A59F"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Fehlerhafte oder unvollständige Rechnungen werden nicht weiterbearbeitet, bis eine korrigierte Version eingeht. Sobald die formelle Prüfung ohne Beanstandung abgeschlossen ist, wird die Rechnung zur weiteren Bearbeitung (Prüfung auf Bestellbezug) freigegeben.</w:t>
      </w:r>
    </w:p>
    <w:p w14:paraId="030F7EC3"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7BC02290">
          <v:rect id="_x0000_i1029" style="width:0;height:1.5pt" o:hralign="center" o:hrstd="t" o:hr="t" fillcolor="#a0a0a0" stroked="f"/>
        </w:pict>
      </w:r>
    </w:p>
    <w:p w14:paraId="047EA296" w14:textId="77777777" w:rsidR="008E000C" w:rsidRPr="008E000C" w:rsidRDefault="008E000C" w:rsidP="008E000C">
      <w:pPr>
        <w:spacing w:before="100" w:beforeAutospacing="1" w:after="100" w:afterAutospacing="1" w:line="240" w:lineRule="auto"/>
        <w:outlineLvl w:val="3"/>
        <w:rPr>
          <w:rFonts w:ascii="Times New Roman" w:eastAsia="Times New Roman" w:hAnsi="Times New Roman"/>
          <w:b/>
          <w:bCs/>
          <w:sz w:val="24"/>
          <w:szCs w:val="24"/>
          <w:lang w:eastAsia="de-DE"/>
        </w:rPr>
      </w:pPr>
      <w:r w:rsidRPr="008E000C">
        <w:rPr>
          <w:rFonts w:ascii="Times New Roman" w:eastAsia="Times New Roman" w:hAnsi="Times New Roman"/>
          <w:b/>
          <w:bCs/>
          <w:sz w:val="24"/>
          <w:szCs w:val="24"/>
          <w:lang w:eastAsia="de-DE"/>
        </w:rPr>
        <w:t>3.3 Prüfung auf Bestellbezug oder Vertragszuordnung</w:t>
      </w:r>
    </w:p>
    <w:p w14:paraId="092FFA43"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Das SAP-System prüft automatisiert, ob im Rechnungssatz eine Bestellnummer hinterlegt ist.</w:t>
      </w:r>
      <w:r w:rsidRPr="008E000C">
        <w:rPr>
          <w:rFonts w:ascii="Times New Roman" w:eastAsia="Times New Roman" w:hAnsi="Times New Roman"/>
          <w:sz w:val="24"/>
          <w:szCs w:val="24"/>
          <w:lang w:eastAsia="de-DE"/>
        </w:rPr>
        <w:br/>
      </w:r>
      <w:proofErr w:type="gramStart"/>
      <w:r w:rsidRPr="008E000C">
        <w:rPr>
          <w:rFonts w:ascii="Times New Roman" w:eastAsia="Times New Roman" w:hAnsi="Times New Roman"/>
          <w:sz w:val="24"/>
          <w:szCs w:val="24"/>
          <w:lang w:eastAsia="de-DE"/>
        </w:rPr>
        <w:t>Liegt</w:t>
      </w:r>
      <w:proofErr w:type="gramEnd"/>
      <w:r w:rsidRPr="008E000C">
        <w:rPr>
          <w:rFonts w:ascii="Times New Roman" w:eastAsia="Times New Roman" w:hAnsi="Times New Roman"/>
          <w:sz w:val="24"/>
          <w:szCs w:val="24"/>
          <w:lang w:eastAsia="de-DE"/>
        </w:rPr>
        <w:t xml:space="preserve"> ein Bestellbezug vor, wird der Vorgang dem jeweiligen Einkaufsvorgang (im Modul MM) zugeordnet.</w:t>
      </w:r>
      <w:r w:rsidRPr="008E000C">
        <w:rPr>
          <w:rFonts w:ascii="Times New Roman" w:eastAsia="Times New Roman" w:hAnsi="Times New Roman"/>
          <w:sz w:val="24"/>
          <w:szCs w:val="24"/>
          <w:lang w:eastAsia="de-DE"/>
        </w:rPr>
        <w:br/>
        <w:t>Fehlt ein Bestellbezug, prüft die Buchhaltung, ob ein Rahmenvertrag existiert, auf den sich die Rechnung beziehen kann.</w:t>
      </w:r>
    </w:p>
    <w:p w14:paraId="10A0956E"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Wenn weder ein Bestellbezug noch ein Rahmenvertrag gefunden wird, wird die Rechnung der zuständigen Fachabteilung zur Klärung zugewiesen. Die Fachabteilung prüft, ob es sich ggf. um eine einmalige Leistung, einen Werkvertrag oder eine Sondervereinbarung handelt.</w:t>
      </w:r>
    </w:p>
    <w:p w14:paraId="7B9150E9"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14FAF8B5">
          <v:rect id="_x0000_i1030" style="width:0;height:1.5pt" o:hralign="center" o:hrstd="t" o:hr="t" fillcolor="#a0a0a0" stroked="f"/>
        </w:pict>
      </w:r>
    </w:p>
    <w:p w14:paraId="10D9FD8C" w14:textId="77777777" w:rsidR="008E000C" w:rsidRPr="008E000C" w:rsidRDefault="008E000C" w:rsidP="008E000C">
      <w:pPr>
        <w:spacing w:before="100" w:beforeAutospacing="1" w:after="100" w:afterAutospacing="1" w:line="240" w:lineRule="auto"/>
        <w:outlineLvl w:val="3"/>
        <w:rPr>
          <w:rFonts w:ascii="Times New Roman" w:eastAsia="Times New Roman" w:hAnsi="Times New Roman"/>
          <w:b/>
          <w:bCs/>
          <w:sz w:val="24"/>
          <w:szCs w:val="24"/>
          <w:lang w:eastAsia="de-DE"/>
        </w:rPr>
      </w:pPr>
      <w:r w:rsidRPr="008E000C">
        <w:rPr>
          <w:rFonts w:ascii="Times New Roman" w:eastAsia="Times New Roman" w:hAnsi="Times New Roman"/>
          <w:b/>
          <w:bCs/>
          <w:sz w:val="24"/>
          <w:szCs w:val="24"/>
          <w:lang w:eastAsia="de-DE"/>
        </w:rPr>
        <w:t>3.4 Sachliche Prüfung in der Fachabteilung</w:t>
      </w:r>
    </w:p>
    <w:p w14:paraId="15E0A3ED"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 sachliche Prüfung erfolgt in der Fachabteilung, die die Leistung oder Lieferung beauftragt hat.</w:t>
      </w:r>
      <w:r w:rsidRPr="008E000C">
        <w:rPr>
          <w:rFonts w:ascii="Times New Roman" w:eastAsia="Times New Roman" w:hAnsi="Times New Roman"/>
          <w:sz w:val="24"/>
          <w:szCs w:val="24"/>
          <w:lang w:eastAsia="de-DE"/>
        </w:rPr>
        <w:br/>
      </w:r>
      <w:proofErr w:type="gramStart"/>
      <w:r w:rsidRPr="008E000C">
        <w:rPr>
          <w:rFonts w:ascii="Times New Roman" w:eastAsia="Times New Roman" w:hAnsi="Times New Roman"/>
          <w:sz w:val="24"/>
          <w:szCs w:val="24"/>
          <w:lang w:eastAsia="de-DE"/>
        </w:rPr>
        <w:t>Dort</w:t>
      </w:r>
      <w:proofErr w:type="gramEnd"/>
      <w:r w:rsidRPr="008E000C">
        <w:rPr>
          <w:rFonts w:ascii="Times New Roman" w:eastAsia="Times New Roman" w:hAnsi="Times New Roman"/>
          <w:sz w:val="24"/>
          <w:szCs w:val="24"/>
          <w:lang w:eastAsia="de-DE"/>
        </w:rPr>
        <w:t xml:space="preserve"> wird überprüft:</w:t>
      </w:r>
    </w:p>
    <w:p w14:paraId="65FD7A2F" w14:textId="77777777" w:rsidR="008E000C" w:rsidRPr="008E000C" w:rsidRDefault="008E000C" w:rsidP="008E000C">
      <w:pPr>
        <w:numPr>
          <w:ilvl w:val="0"/>
          <w:numId w:val="20"/>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die Leistung tatsächlich erbracht oder die Ware vollständig geliefert wurde,</w:t>
      </w:r>
    </w:p>
    <w:p w14:paraId="48455B07" w14:textId="77777777" w:rsidR="008E000C" w:rsidRPr="008E000C" w:rsidRDefault="008E000C" w:rsidP="008E000C">
      <w:pPr>
        <w:numPr>
          <w:ilvl w:val="0"/>
          <w:numId w:val="20"/>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Menge, Preis und Leistungszeitraum mit der Bestellung bzw. dem Vertrag übereinstimmen,</w:t>
      </w:r>
    </w:p>
    <w:p w14:paraId="27C20259" w14:textId="77777777" w:rsidR="008E000C" w:rsidRPr="008E000C" w:rsidRDefault="008E000C" w:rsidP="008E000C">
      <w:pPr>
        <w:numPr>
          <w:ilvl w:val="0"/>
          <w:numId w:val="20"/>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der Rechnungsbetrag korrekt ist und ggf. Rabatte oder Skonti berücksichtigt wurden,</w:t>
      </w:r>
    </w:p>
    <w:p w14:paraId="58E0CBE6" w14:textId="77777777" w:rsidR="008E000C" w:rsidRPr="008E000C" w:rsidRDefault="008E000C" w:rsidP="008E000C">
      <w:pPr>
        <w:numPr>
          <w:ilvl w:val="0"/>
          <w:numId w:val="20"/>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die Kontierung (Kostenstelle, Innenauftrag, Projekt, Steuerschlüssel) sachgerecht ist.</w:t>
      </w:r>
    </w:p>
    <w:p w14:paraId="42FB1FE7"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Falls Unstimmigkeiten vorliegen, nimmt die Fachabteilung Kontakt mit dem Lieferanten auf oder stimmt sich mit der Buchhaltung ab.</w:t>
      </w:r>
      <w:r w:rsidRPr="008E000C">
        <w:rPr>
          <w:rFonts w:ascii="Times New Roman" w:eastAsia="Times New Roman" w:hAnsi="Times New Roman"/>
          <w:sz w:val="24"/>
          <w:szCs w:val="24"/>
          <w:lang w:eastAsia="de-DE"/>
        </w:rPr>
        <w:br/>
        <w:t>Erst wenn die inhaltliche Prüfung abgeschlossen ist, bestätigt die Fachabteilung die sachliche Richtigkeit der Rechnung im System.</w:t>
      </w:r>
    </w:p>
    <w:p w14:paraId="3703C998"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Diese Bestätigung erfolgt durch elektronische Kennzeichnung im SAP-System (z. B. durch Häkchen „sachlich geprüft“ oder Unterschrift im Workflow).</w:t>
      </w:r>
    </w:p>
    <w:p w14:paraId="27599C8B"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7B23FE1C">
          <v:rect id="_x0000_i1031" style="width:0;height:1.5pt" o:hralign="center" o:hrstd="t" o:hr="t" fillcolor="#a0a0a0" stroked="f"/>
        </w:pict>
      </w:r>
    </w:p>
    <w:p w14:paraId="33D74F8C" w14:textId="77777777" w:rsidR="008E000C" w:rsidRPr="008E000C" w:rsidRDefault="008E000C" w:rsidP="008E000C">
      <w:pPr>
        <w:spacing w:before="100" w:beforeAutospacing="1" w:after="100" w:afterAutospacing="1" w:line="240" w:lineRule="auto"/>
        <w:outlineLvl w:val="3"/>
        <w:rPr>
          <w:rFonts w:ascii="Times New Roman" w:eastAsia="Times New Roman" w:hAnsi="Times New Roman"/>
          <w:b/>
          <w:bCs/>
          <w:sz w:val="24"/>
          <w:szCs w:val="24"/>
          <w:lang w:eastAsia="de-DE"/>
        </w:rPr>
      </w:pPr>
      <w:r w:rsidRPr="008E000C">
        <w:rPr>
          <w:rFonts w:ascii="Times New Roman" w:eastAsia="Times New Roman" w:hAnsi="Times New Roman"/>
          <w:b/>
          <w:bCs/>
          <w:sz w:val="24"/>
          <w:szCs w:val="24"/>
          <w:lang w:eastAsia="de-DE"/>
        </w:rPr>
        <w:t>3.5 Freigabe der Rechnung</w:t>
      </w:r>
    </w:p>
    <w:p w14:paraId="66137989"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Nach der sachlichen Prüfung wird die Rechnung im elektronischen Freigabe-Workflow an die zuständige freigabeberechtigte Person weitergeleitet.</w:t>
      </w:r>
      <w:r w:rsidRPr="008E000C">
        <w:rPr>
          <w:rFonts w:ascii="Times New Roman" w:eastAsia="Times New Roman" w:hAnsi="Times New Roman"/>
          <w:sz w:val="24"/>
          <w:szCs w:val="24"/>
          <w:lang w:eastAsia="de-DE"/>
        </w:rPr>
        <w:br/>
        <w:t>Die Freigabeberechtigten sind gemäß der internen Zeichnungsrichtlinie der Heiß &amp; Laut Maschinenbau GmbH im System hinterlegt.</w:t>
      </w:r>
    </w:p>
    <w:p w14:paraId="142A6825"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Im Rahmen der Freigabe wird überprüft:</w:t>
      </w:r>
    </w:p>
    <w:p w14:paraId="39EA1215" w14:textId="77777777" w:rsidR="008E000C" w:rsidRPr="008E000C" w:rsidRDefault="008E000C" w:rsidP="008E000C">
      <w:pPr>
        <w:numPr>
          <w:ilvl w:val="0"/>
          <w:numId w:val="21"/>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die Rechnung sachlich korrekt ist,</w:t>
      </w:r>
    </w:p>
    <w:p w14:paraId="63C483C6" w14:textId="77777777" w:rsidR="008E000C" w:rsidRPr="008E000C" w:rsidRDefault="008E000C" w:rsidP="008E000C">
      <w:pPr>
        <w:numPr>
          <w:ilvl w:val="0"/>
          <w:numId w:val="21"/>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die Leistung im Budgetrahmen liegt,</w:t>
      </w:r>
    </w:p>
    <w:p w14:paraId="05001C19" w14:textId="77777777" w:rsidR="008E000C" w:rsidRPr="008E000C" w:rsidRDefault="008E000C" w:rsidP="008E000C">
      <w:pPr>
        <w:numPr>
          <w:ilvl w:val="0"/>
          <w:numId w:val="21"/>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eine Berechtigung zur Freigabe besteht,</w:t>
      </w:r>
    </w:p>
    <w:p w14:paraId="7042A466" w14:textId="77777777" w:rsidR="008E000C" w:rsidRPr="008E000C" w:rsidRDefault="008E000C" w:rsidP="008E000C">
      <w:pPr>
        <w:numPr>
          <w:ilvl w:val="0"/>
          <w:numId w:val="21"/>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ob alle vorherigen Prüfschritte abgeschlossen wurden.</w:t>
      </w:r>
    </w:p>
    <w:p w14:paraId="47A9DB89"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 Freigabe erfolgt durch elektronische Bestätigung (z. B. Schaltfläche „freigeben“ im SAP-System).</w:t>
      </w:r>
      <w:r w:rsidRPr="008E000C">
        <w:rPr>
          <w:rFonts w:ascii="Times New Roman" w:eastAsia="Times New Roman" w:hAnsi="Times New Roman"/>
          <w:sz w:val="24"/>
          <w:szCs w:val="24"/>
          <w:lang w:eastAsia="de-DE"/>
        </w:rPr>
        <w:br/>
        <w:t>Wenn Unklarheiten bestehen oder die Freigabe abgelehnt wird, wird die Rechnung an die Buchhaltung zurückgesendet. Diese veranlasst eine Rückfrage bei der Fachabteilung oder beim Lieferanten.</w:t>
      </w:r>
    </w:p>
    <w:p w14:paraId="5A57E19F"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2ED86784">
          <v:rect id="_x0000_i1032" style="width:0;height:1.5pt" o:hralign="center" o:hrstd="t" o:hr="t" fillcolor="#a0a0a0" stroked="f"/>
        </w:pict>
      </w:r>
    </w:p>
    <w:p w14:paraId="78777C35" w14:textId="77777777" w:rsidR="008E000C" w:rsidRPr="008E000C" w:rsidRDefault="008E000C" w:rsidP="008E000C">
      <w:pPr>
        <w:spacing w:before="100" w:beforeAutospacing="1" w:after="100" w:afterAutospacing="1" w:line="240" w:lineRule="auto"/>
        <w:outlineLvl w:val="3"/>
        <w:rPr>
          <w:rFonts w:ascii="Times New Roman" w:eastAsia="Times New Roman" w:hAnsi="Times New Roman"/>
          <w:b/>
          <w:bCs/>
          <w:sz w:val="24"/>
          <w:szCs w:val="24"/>
          <w:lang w:eastAsia="de-DE"/>
        </w:rPr>
      </w:pPr>
      <w:r w:rsidRPr="008E000C">
        <w:rPr>
          <w:rFonts w:ascii="Times New Roman" w:eastAsia="Times New Roman" w:hAnsi="Times New Roman"/>
          <w:b/>
          <w:bCs/>
          <w:sz w:val="24"/>
          <w:szCs w:val="24"/>
          <w:lang w:eastAsia="de-DE"/>
        </w:rPr>
        <w:t>3.6 Buchung und Zahlung</w:t>
      </w:r>
    </w:p>
    <w:p w14:paraId="1AE4E93A"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Sobald die Freigabe erteilt wurde, bucht das SAP-System die Rechnung automatisch.</w:t>
      </w:r>
      <w:r w:rsidRPr="008E000C">
        <w:rPr>
          <w:rFonts w:ascii="Times New Roman" w:eastAsia="Times New Roman" w:hAnsi="Times New Roman"/>
          <w:sz w:val="24"/>
          <w:szCs w:val="24"/>
          <w:lang w:eastAsia="de-DE"/>
        </w:rPr>
        <w:br/>
        <w:t>Sie wird in den nächsten Zahlungsvorschlag aufgenommen und nach den im System hinterlegten Zahlungsbedingungen (z. B. Skonto, Fälligkeit) ausgeführt.</w:t>
      </w:r>
      <w:r w:rsidRPr="008E000C">
        <w:rPr>
          <w:rFonts w:ascii="Times New Roman" w:eastAsia="Times New Roman" w:hAnsi="Times New Roman"/>
          <w:sz w:val="24"/>
          <w:szCs w:val="24"/>
          <w:lang w:eastAsia="de-DE"/>
        </w:rPr>
        <w:br/>
        <w:t>Der Zahlungslauf wird von der Finanzbuchhaltung überwacht.</w:t>
      </w:r>
    </w:p>
    <w:p w14:paraId="5AD4262B"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Bei größeren Beträgen oder Sonderzahlungen erfolgt eine zusätzliche manuelle Kontrolle durch eine zweite Person (Vier-Augen-Prinzip).</w:t>
      </w:r>
      <w:r w:rsidRPr="008E000C">
        <w:rPr>
          <w:rFonts w:ascii="Times New Roman" w:eastAsia="Times New Roman" w:hAnsi="Times New Roman"/>
          <w:sz w:val="24"/>
          <w:szCs w:val="24"/>
          <w:lang w:eastAsia="de-DE"/>
        </w:rPr>
        <w:br/>
        <w:t>Nach erfolgreicher Ausführung der Zahlung wird der Belegstatus im System auf „bezahlt“ gesetzt.</w:t>
      </w:r>
    </w:p>
    <w:p w14:paraId="17C92022"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3F0809CC">
          <v:rect id="_x0000_i1033" style="width:0;height:1.5pt" o:hralign="center" o:hrstd="t" o:hr="t" fillcolor="#a0a0a0" stroked="f"/>
        </w:pict>
      </w:r>
    </w:p>
    <w:p w14:paraId="19E26A08" w14:textId="77777777" w:rsidR="008E000C" w:rsidRPr="008E000C" w:rsidRDefault="008E000C" w:rsidP="008E000C">
      <w:pPr>
        <w:spacing w:before="100" w:beforeAutospacing="1" w:after="100" w:afterAutospacing="1" w:line="240" w:lineRule="auto"/>
        <w:outlineLvl w:val="3"/>
        <w:rPr>
          <w:rFonts w:ascii="Times New Roman" w:eastAsia="Times New Roman" w:hAnsi="Times New Roman"/>
          <w:b/>
          <w:bCs/>
          <w:sz w:val="24"/>
          <w:szCs w:val="24"/>
          <w:lang w:eastAsia="de-DE"/>
        </w:rPr>
      </w:pPr>
      <w:r w:rsidRPr="008E000C">
        <w:rPr>
          <w:rFonts w:ascii="Times New Roman" w:eastAsia="Times New Roman" w:hAnsi="Times New Roman"/>
          <w:b/>
          <w:bCs/>
          <w:sz w:val="24"/>
          <w:szCs w:val="24"/>
          <w:lang w:eastAsia="de-DE"/>
        </w:rPr>
        <w:t>3.7 Archivierung und Nachvollziehbarkeit</w:t>
      </w:r>
    </w:p>
    <w:p w14:paraId="1E0A78CB"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Nach Abschluss des gesamten Bearbeitungsprozesses wird der vollständige Rechnungsbeleg einschließlich aller zugehörigen Prüf- und Freigabeinformationen revisionssicher im DMS abgelegt.</w:t>
      </w:r>
      <w:r w:rsidRPr="008E000C">
        <w:rPr>
          <w:rFonts w:ascii="Times New Roman" w:eastAsia="Times New Roman" w:hAnsi="Times New Roman"/>
          <w:sz w:val="24"/>
          <w:szCs w:val="24"/>
          <w:lang w:eastAsia="de-DE"/>
        </w:rPr>
        <w:br/>
        <w:t xml:space="preserve">Die Archivierung erfolgt nach den </w:t>
      </w:r>
      <w:proofErr w:type="spellStart"/>
      <w:r w:rsidRPr="008E000C">
        <w:rPr>
          <w:rFonts w:ascii="Times New Roman" w:eastAsia="Times New Roman" w:hAnsi="Times New Roman"/>
          <w:sz w:val="24"/>
          <w:szCs w:val="24"/>
          <w:lang w:eastAsia="de-DE"/>
        </w:rPr>
        <w:t>GoBD</w:t>
      </w:r>
      <w:proofErr w:type="spellEnd"/>
      <w:r w:rsidRPr="008E000C">
        <w:rPr>
          <w:rFonts w:ascii="Times New Roman" w:eastAsia="Times New Roman" w:hAnsi="Times New Roman"/>
          <w:sz w:val="24"/>
          <w:szCs w:val="24"/>
          <w:lang w:eastAsia="de-DE"/>
        </w:rPr>
        <w:t xml:space="preserve"> und der internen Aufbewahrungsrichtlinie, d. h. in der Regel für mindestens zehn Jahre.</w:t>
      </w:r>
    </w:p>
    <w:p w14:paraId="12C8CCF4"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Über die Dokumenten-ID oder SAP-Belegnummer kann der Vorgang jederzeit nachvollzogen werden.</w:t>
      </w:r>
      <w:r w:rsidRPr="008E000C">
        <w:rPr>
          <w:rFonts w:ascii="Times New Roman" w:eastAsia="Times New Roman" w:hAnsi="Times New Roman"/>
          <w:sz w:val="24"/>
          <w:szCs w:val="24"/>
          <w:lang w:eastAsia="de-DE"/>
        </w:rPr>
        <w:br/>
        <w:t>Die Historie der Bearbeitungsschritte (Wer hat wann geprüft, freigegeben, bezahlt?) ist im System protokolliert und unveränderbar gespeichert.</w:t>
      </w:r>
    </w:p>
    <w:p w14:paraId="3C6B71E0"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326C9E98">
          <v:rect id="_x0000_i1034" style="width:0;height:1.5pt" o:hralign="center" o:hrstd="t" o:hr="t" fillcolor="#a0a0a0" stroked="f"/>
        </w:pict>
      </w:r>
    </w:p>
    <w:p w14:paraId="00FC71ED" w14:textId="77777777" w:rsidR="008E000C" w:rsidRPr="008E000C" w:rsidRDefault="008E000C" w:rsidP="008E000C">
      <w:pPr>
        <w:spacing w:before="100" w:beforeAutospacing="1" w:after="100" w:afterAutospacing="1" w:line="240" w:lineRule="auto"/>
        <w:outlineLvl w:val="2"/>
        <w:rPr>
          <w:rFonts w:ascii="Times New Roman" w:eastAsia="Times New Roman" w:hAnsi="Times New Roman"/>
          <w:b/>
          <w:bCs/>
          <w:sz w:val="27"/>
          <w:szCs w:val="27"/>
          <w:lang w:eastAsia="de-DE"/>
        </w:rPr>
      </w:pPr>
      <w:r w:rsidRPr="008E000C">
        <w:rPr>
          <w:rFonts w:ascii="Times New Roman" w:eastAsia="Times New Roman" w:hAnsi="Times New Roman"/>
          <w:b/>
          <w:bCs/>
          <w:sz w:val="27"/>
          <w:szCs w:val="27"/>
          <w:lang w:eastAsia="de-DE"/>
        </w:rPr>
        <w:t>4. Sonderfälle</w:t>
      </w:r>
    </w:p>
    <w:p w14:paraId="6FAB3283" w14:textId="77777777" w:rsidR="008E000C" w:rsidRPr="008E000C" w:rsidRDefault="008E000C" w:rsidP="008E000C">
      <w:pPr>
        <w:numPr>
          <w:ilvl w:val="0"/>
          <w:numId w:val="22"/>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b/>
          <w:bCs/>
          <w:sz w:val="24"/>
          <w:szCs w:val="24"/>
          <w:lang w:eastAsia="de-DE"/>
        </w:rPr>
        <w:t>Rahmenverträge ohne SAP-Abruf:</w:t>
      </w:r>
      <w:r w:rsidRPr="008E000C">
        <w:rPr>
          <w:rFonts w:ascii="Times New Roman" w:eastAsia="Times New Roman" w:hAnsi="Times New Roman"/>
          <w:sz w:val="24"/>
          <w:szCs w:val="24"/>
          <w:lang w:eastAsia="de-DE"/>
        </w:rPr>
        <w:t xml:space="preserve"> Rechnungen müssen manuell geprüft werden, ob sie sich auf einen gültigen Vertrag beziehen.</w:t>
      </w:r>
    </w:p>
    <w:p w14:paraId="15BDCC3F" w14:textId="77777777" w:rsidR="008E000C" w:rsidRPr="008E000C" w:rsidRDefault="008E000C" w:rsidP="008E000C">
      <w:pPr>
        <w:numPr>
          <w:ilvl w:val="0"/>
          <w:numId w:val="22"/>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b/>
          <w:bCs/>
          <w:sz w:val="24"/>
          <w:szCs w:val="24"/>
          <w:lang w:eastAsia="de-DE"/>
        </w:rPr>
        <w:t>Rechnungen ohne Bestellbezug:</w:t>
      </w:r>
      <w:r w:rsidRPr="008E000C">
        <w:rPr>
          <w:rFonts w:ascii="Times New Roman" w:eastAsia="Times New Roman" w:hAnsi="Times New Roman"/>
          <w:sz w:val="24"/>
          <w:szCs w:val="24"/>
          <w:lang w:eastAsia="de-DE"/>
        </w:rPr>
        <w:t xml:space="preserve"> Nur nach Freigabe durch die zuständige Führungskraft und Rücksprache mit der Buchhaltung zulässig.</w:t>
      </w:r>
    </w:p>
    <w:p w14:paraId="2D514742" w14:textId="77777777" w:rsidR="008E000C" w:rsidRPr="008E000C" w:rsidRDefault="008E000C" w:rsidP="008E000C">
      <w:pPr>
        <w:numPr>
          <w:ilvl w:val="0"/>
          <w:numId w:val="22"/>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b/>
          <w:bCs/>
          <w:sz w:val="24"/>
          <w:szCs w:val="24"/>
          <w:lang w:eastAsia="de-DE"/>
        </w:rPr>
        <w:t>Papierrechnungen:</w:t>
      </w:r>
      <w:r w:rsidRPr="008E000C">
        <w:rPr>
          <w:rFonts w:ascii="Times New Roman" w:eastAsia="Times New Roman" w:hAnsi="Times New Roman"/>
          <w:sz w:val="24"/>
          <w:szCs w:val="24"/>
          <w:lang w:eastAsia="de-DE"/>
        </w:rPr>
        <w:t xml:space="preserve"> Nur in Ausnahmefällen, z. B. wenn der Lieferant keine elektronische Übermittlung ermöglicht. Diese werden sofort nach dem Scanvorgang elektronisch weiterverarbeitet.</w:t>
      </w:r>
    </w:p>
    <w:p w14:paraId="22277590" w14:textId="77777777" w:rsidR="008E000C" w:rsidRPr="008E000C" w:rsidRDefault="008E000C" w:rsidP="008E000C">
      <w:pPr>
        <w:numPr>
          <w:ilvl w:val="0"/>
          <w:numId w:val="22"/>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b/>
          <w:bCs/>
          <w:sz w:val="24"/>
          <w:szCs w:val="24"/>
          <w:lang w:eastAsia="de-DE"/>
        </w:rPr>
        <w:t>Korrekturrechnungen oder Gutschriften:</w:t>
      </w:r>
      <w:r w:rsidRPr="008E000C">
        <w:rPr>
          <w:rFonts w:ascii="Times New Roman" w:eastAsia="Times New Roman" w:hAnsi="Times New Roman"/>
          <w:sz w:val="24"/>
          <w:szCs w:val="24"/>
          <w:lang w:eastAsia="de-DE"/>
        </w:rPr>
        <w:t xml:space="preserve"> Werden wie eigenständige Rechnungen behandelt und erhalten eine separate Dokumenten-ID.</w:t>
      </w:r>
    </w:p>
    <w:p w14:paraId="5ED5CCD5" w14:textId="77777777" w:rsidR="008E000C" w:rsidRPr="008E000C" w:rsidRDefault="008E000C" w:rsidP="008E000C">
      <w:pPr>
        <w:numPr>
          <w:ilvl w:val="0"/>
          <w:numId w:val="22"/>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b/>
          <w:bCs/>
          <w:sz w:val="24"/>
          <w:szCs w:val="24"/>
          <w:lang w:eastAsia="de-DE"/>
        </w:rPr>
        <w:t>Stornierungen:</w:t>
      </w:r>
      <w:r w:rsidRPr="008E000C">
        <w:rPr>
          <w:rFonts w:ascii="Times New Roman" w:eastAsia="Times New Roman" w:hAnsi="Times New Roman"/>
          <w:sz w:val="24"/>
          <w:szCs w:val="24"/>
          <w:lang w:eastAsia="de-DE"/>
        </w:rPr>
        <w:t xml:space="preserve"> Dürfen ausschließlich von der Buchhaltung durchgeführt werden, mit Dokumentation des Stornogrunds.</w:t>
      </w:r>
    </w:p>
    <w:p w14:paraId="4B1FF812"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0C0CEBA3">
          <v:rect id="_x0000_i1035" style="width:0;height:1.5pt" o:hralign="center" o:hrstd="t" o:hr="t" fillcolor="#a0a0a0" stroked="f"/>
        </w:pict>
      </w:r>
    </w:p>
    <w:p w14:paraId="247CAB93" w14:textId="77777777" w:rsidR="008E000C" w:rsidRPr="008E000C" w:rsidRDefault="008E000C" w:rsidP="008E000C">
      <w:pPr>
        <w:spacing w:before="100" w:beforeAutospacing="1" w:after="100" w:afterAutospacing="1" w:line="240" w:lineRule="auto"/>
        <w:outlineLvl w:val="2"/>
        <w:rPr>
          <w:rFonts w:ascii="Times New Roman" w:eastAsia="Times New Roman" w:hAnsi="Times New Roman"/>
          <w:b/>
          <w:bCs/>
          <w:sz w:val="27"/>
          <w:szCs w:val="27"/>
          <w:lang w:eastAsia="de-DE"/>
        </w:rPr>
      </w:pPr>
      <w:r w:rsidRPr="008E000C">
        <w:rPr>
          <w:rFonts w:ascii="Times New Roman" w:eastAsia="Times New Roman" w:hAnsi="Times New Roman"/>
          <w:b/>
          <w:bCs/>
          <w:sz w:val="27"/>
          <w:szCs w:val="27"/>
          <w:lang w:eastAsia="de-DE"/>
        </w:rPr>
        <w:t>5. Risiken und Kontrollen</w:t>
      </w:r>
    </w:p>
    <w:p w14:paraId="5DCEE27E"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Im Rahmen des Prozesses bestehen insbesondere folgende Risiken:</w:t>
      </w:r>
    </w:p>
    <w:p w14:paraId="64D3EF89" w14:textId="77777777" w:rsidR="008E000C" w:rsidRPr="008E000C" w:rsidRDefault="008E000C" w:rsidP="008E000C">
      <w:pPr>
        <w:numPr>
          <w:ilvl w:val="0"/>
          <w:numId w:val="23"/>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fehlerhafte oder doppelte Rechnungen,</w:t>
      </w:r>
    </w:p>
    <w:p w14:paraId="31994CF6" w14:textId="77777777" w:rsidR="008E000C" w:rsidRPr="008E000C" w:rsidRDefault="008E000C" w:rsidP="008E000C">
      <w:pPr>
        <w:numPr>
          <w:ilvl w:val="0"/>
          <w:numId w:val="23"/>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Zahlungen ohne ordnungsgemäße Freigabe,</w:t>
      </w:r>
    </w:p>
    <w:p w14:paraId="612A4C50" w14:textId="77777777" w:rsidR="008E000C" w:rsidRPr="008E000C" w:rsidRDefault="008E000C" w:rsidP="008E000C">
      <w:pPr>
        <w:numPr>
          <w:ilvl w:val="0"/>
          <w:numId w:val="23"/>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falsche Kontierung oder fehlerhafte Steuerschlüssel,</w:t>
      </w:r>
    </w:p>
    <w:p w14:paraId="2EBE75D3" w14:textId="77777777" w:rsidR="008E000C" w:rsidRPr="008E000C" w:rsidRDefault="008E000C" w:rsidP="008E000C">
      <w:pPr>
        <w:numPr>
          <w:ilvl w:val="0"/>
          <w:numId w:val="23"/>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Verstöße gegen Aufbewahrungsfristen.</w:t>
      </w:r>
    </w:p>
    <w:p w14:paraId="5BBAF48B"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Zur Vermeidung dieser Risiken bestehen folgende Kontrollen:</w:t>
      </w:r>
    </w:p>
    <w:p w14:paraId="2E4470FB" w14:textId="77777777" w:rsidR="008E000C" w:rsidRPr="008E000C" w:rsidRDefault="008E000C" w:rsidP="008E000C">
      <w:pPr>
        <w:numPr>
          <w:ilvl w:val="0"/>
          <w:numId w:val="24"/>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 xml:space="preserve">systemische </w:t>
      </w:r>
      <w:proofErr w:type="spellStart"/>
      <w:r w:rsidRPr="008E000C">
        <w:rPr>
          <w:rFonts w:ascii="Times New Roman" w:eastAsia="Times New Roman" w:hAnsi="Times New Roman"/>
          <w:sz w:val="24"/>
          <w:szCs w:val="24"/>
          <w:lang w:eastAsia="de-DE"/>
        </w:rPr>
        <w:t>Duplikatsprüfung</w:t>
      </w:r>
      <w:proofErr w:type="spellEnd"/>
      <w:r w:rsidRPr="008E000C">
        <w:rPr>
          <w:rFonts w:ascii="Times New Roman" w:eastAsia="Times New Roman" w:hAnsi="Times New Roman"/>
          <w:sz w:val="24"/>
          <w:szCs w:val="24"/>
          <w:lang w:eastAsia="de-DE"/>
        </w:rPr>
        <w:t xml:space="preserve"> in SAP,</w:t>
      </w:r>
    </w:p>
    <w:p w14:paraId="12AF2A06" w14:textId="77777777" w:rsidR="008E000C" w:rsidRPr="008E000C" w:rsidRDefault="008E000C" w:rsidP="008E000C">
      <w:pPr>
        <w:numPr>
          <w:ilvl w:val="0"/>
          <w:numId w:val="24"/>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automatisierte Pflichtfeldprüfung für Bestellnummern,</w:t>
      </w:r>
    </w:p>
    <w:p w14:paraId="64EBDDAD" w14:textId="77777777" w:rsidR="008E000C" w:rsidRPr="008E000C" w:rsidRDefault="008E000C" w:rsidP="008E000C">
      <w:pPr>
        <w:numPr>
          <w:ilvl w:val="0"/>
          <w:numId w:val="24"/>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elektronischer Freigabeprozess mit Berechtigungsprüfung,</w:t>
      </w:r>
    </w:p>
    <w:p w14:paraId="47A42A36" w14:textId="77777777" w:rsidR="008E000C" w:rsidRPr="008E000C" w:rsidRDefault="008E000C" w:rsidP="008E000C">
      <w:pPr>
        <w:numPr>
          <w:ilvl w:val="0"/>
          <w:numId w:val="24"/>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revisionssichere Archivierung aller Belege,</w:t>
      </w:r>
    </w:p>
    <w:p w14:paraId="7FF436D3" w14:textId="77777777" w:rsidR="008E000C" w:rsidRPr="008E000C" w:rsidRDefault="008E000C" w:rsidP="008E000C">
      <w:pPr>
        <w:numPr>
          <w:ilvl w:val="0"/>
          <w:numId w:val="24"/>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regelmäßige Stichprobenprüfung durch die Steuerabteilung.</w:t>
      </w:r>
    </w:p>
    <w:p w14:paraId="56E83B5B" w14:textId="77777777" w:rsidR="008E000C" w:rsidRPr="008E000C" w:rsidRDefault="008E000C" w:rsidP="008E000C">
      <w:pPr>
        <w:spacing w:after="0"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pict w14:anchorId="66B88B74">
          <v:rect id="_x0000_i1036" style="width:0;height:1.5pt" o:hralign="center" o:hrstd="t" o:hr="t" fillcolor="#a0a0a0" stroked="f"/>
        </w:pict>
      </w:r>
    </w:p>
    <w:p w14:paraId="2639F1E5" w14:textId="77777777" w:rsidR="008E000C" w:rsidRPr="008E000C" w:rsidRDefault="008E000C" w:rsidP="008E000C">
      <w:pPr>
        <w:spacing w:before="100" w:beforeAutospacing="1" w:after="100" w:afterAutospacing="1" w:line="240" w:lineRule="auto"/>
        <w:outlineLvl w:val="2"/>
        <w:rPr>
          <w:rFonts w:ascii="Times New Roman" w:eastAsia="Times New Roman" w:hAnsi="Times New Roman"/>
          <w:b/>
          <w:bCs/>
          <w:sz w:val="27"/>
          <w:szCs w:val="27"/>
          <w:lang w:eastAsia="de-DE"/>
        </w:rPr>
      </w:pPr>
      <w:r w:rsidRPr="008E000C">
        <w:rPr>
          <w:rFonts w:ascii="Times New Roman" w:eastAsia="Times New Roman" w:hAnsi="Times New Roman"/>
          <w:b/>
          <w:bCs/>
          <w:sz w:val="27"/>
          <w:szCs w:val="27"/>
          <w:lang w:eastAsia="de-DE"/>
        </w:rPr>
        <w:t>6. Prozessende</w:t>
      </w:r>
    </w:p>
    <w:p w14:paraId="18019DE2"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Der Prozess gilt als abgeschlossen, wenn:</w:t>
      </w:r>
    </w:p>
    <w:p w14:paraId="1112A9B7" w14:textId="77777777" w:rsidR="008E000C" w:rsidRPr="008E000C" w:rsidRDefault="008E000C" w:rsidP="008E000C">
      <w:pPr>
        <w:numPr>
          <w:ilvl w:val="0"/>
          <w:numId w:val="25"/>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 Rechnung formell und sachlich geprüft,</w:t>
      </w:r>
    </w:p>
    <w:p w14:paraId="14059751" w14:textId="77777777" w:rsidR="008E000C" w:rsidRPr="008E000C" w:rsidRDefault="008E000C" w:rsidP="008E000C">
      <w:pPr>
        <w:numPr>
          <w:ilvl w:val="0"/>
          <w:numId w:val="25"/>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 Freigabe erteilt,</w:t>
      </w:r>
    </w:p>
    <w:p w14:paraId="358ABCFE" w14:textId="77777777" w:rsidR="008E000C" w:rsidRPr="008E000C" w:rsidRDefault="008E000C" w:rsidP="008E000C">
      <w:pPr>
        <w:numPr>
          <w:ilvl w:val="0"/>
          <w:numId w:val="25"/>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die Zahlung ausgeführt und</w:t>
      </w:r>
    </w:p>
    <w:p w14:paraId="26812974" w14:textId="77777777" w:rsidR="008E000C" w:rsidRPr="008E000C" w:rsidRDefault="008E000C" w:rsidP="008E000C">
      <w:pPr>
        <w:numPr>
          <w:ilvl w:val="0"/>
          <w:numId w:val="25"/>
        </w:num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der vollständige Beleg elektronisch archiviert wurde.</w:t>
      </w:r>
    </w:p>
    <w:p w14:paraId="441FFE10" w14:textId="77777777" w:rsidR="008E000C" w:rsidRPr="008E000C" w:rsidRDefault="008E000C" w:rsidP="008E000C">
      <w:pPr>
        <w:spacing w:before="100" w:beforeAutospacing="1" w:after="100" w:afterAutospacing="1" w:line="240" w:lineRule="auto"/>
        <w:rPr>
          <w:rFonts w:ascii="Times New Roman" w:eastAsia="Times New Roman" w:hAnsi="Times New Roman"/>
          <w:sz w:val="24"/>
          <w:szCs w:val="24"/>
          <w:lang w:eastAsia="de-DE"/>
        </w:rPr>
      </w:pPr>
      <w:r w:rsidRPr="008E000C">
        <w:rPr>
          <w:rFonts w:ascii="Times New Roman" w:eastAsia="Times New Roman" w:hAnsi="Times New Roman"/>
          <w:sz w:val="24"/>
          <w:szCs w:val="24"/>
          <w:lang w:eastAsia="de-DE"/>
        </w:rPr>
        <w:t>Damit ist der gesamte Bearbeitungsweg von der Erfassung bis zur Archivierung lückenlos dokumentiert und jederzeit nachvollziehbar.</w:t>
      </w:r>
    </w:p>
    <w:p w14:paraId="2678974B" w14:textId="77777777" w:rsidR="00E52F7A" w:rsidRDefault="00E52F7A"/>
    <w:sectPr w:rsidR="00E52F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6C6"/>
    <w:multiLevelType w:val="multilevel"/>
    <w:tmpl w:val="607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A19DA"/>
    <w:multiLevelType w:val="multilevel"/>
    <w:tmpl w:val="D44A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E7F81"/>
    <w:multiLevelType w:val="multilevel"/>
    <w:tmpl w:val="BD5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D4515"/>
    <w:multiLevelType w:val="multilevel"/>
    <w:tmpl w:val="18E0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44D49"/>
    <w:multiLevelType w:val="multilevel"/>
    <w:tmpl w:val="630C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7208CA"/>
    <w:multiLevelType w:val="multilevel"/>
    <w:tmpl w:val="667E5BCE"/>
    <w:styleLink w:val="bwAufzhlung"/>
    <w:lvl w:ilvl="0">
      <w:start w:val="1"/>
      <w:numFmt w:val="bullet"/>
      <w:pStyle w:val="bwAufzhlung1"/>
      <w:lvlText w:val=""/>
      <w:lvlJc w:val="left"/>
      <w:pPr>
        <w:ind w:left="340" w:hanging="340"/>
      </w:pPr>
      <w:rPr>
        <w:rFonts w:ascii="Symbol" w:hAnsi="Symbol" w:hint="default"/>
        <w:color w:val="0072B8" w:themeColor="accent1"/>
      </w:rPr>
    </w:lvl>
    <w:lvl w:ilvl="1">
      <w:start w:val="1"/>
      <w:numFmt w:val="none"/>
      <w:lvlRestart w:val="0"/>
      <w:pStyle w:val="bwAufzhlung2"/>
      <w:lvlText w:val="-"/>
      <w:lvlJc w:val="left"/>
      <w:pPr>
        <w:ind w:left="680" w:hanging="340"/>
      </w:pPr>
      <w:rPr>
        <w:rFonts w:hint="default"/>
      </w:rPr>
    </w:lvl>
    <w:lvl w:ilvl="2">
      <w:start w:val="1"/>
      <w:numFmt w:val="none"/>
      <w:lvlRestart w:val="0"/>
      <w:pStyle w:val="bwAufzhlung3"/>
      <w:lvlText w:val="-"/>
      <w:lvlJc w:val="left"/>
      <w:pPr>
        <w:ind w:left="1021" w:hanging="341"/>
      </w:pPr>
      <w:rPr>
        <w:rFonts w:hint="default"/>
      </w:rPr>
    </w:lvl>
    <w:lvl w:ilvl="3">
      <w:start w:val="1"/>
      <w:numFmt w:val="none"/>
      <w:lvlRestart w:val="0"/>
      <w:lvlText w:val="-"/>
      <w:lvlJc w:val="left"/>
      <w:pPr>
        <w:ind w:left="1021" w:hanging="341"/>
      </w:pPr>
      <w:rPr>
        <w:rFonts w:hint="default"/>
      </w:rPr>
    </w:lvl>
    <w:lvl w:ilvl="4">
      <w:start w:val="1"/>
      <w:numFmt w:val="none"/>
      <w:lvlRestart w:val="0"/>
      <w:lvlText w:val="-"/>
      <w:lvlJc w:val="left"/>
      <w:pPr>
        <w:ind w:left="1021" w:hanging="341"/>
      </w:pPr>
      <w:rPr>
        <w:rFonts w:hint="default"/>
      </w:rPr>
    </w:lvl>
    <w:lvl w:ilvl="5">
      <w:start w:val="1"/>
      <w:numFmt w:val="none"/>
      <w:lvlRestart w:val="0"/>
      <w:lvlText w:val="-"/>
      <w:lvlJc w:val="left"/>
      <w:pPr>
        <w:ind w:left="1021" w:hanging="341"/>
      </w:pPr>
      <w:rPr>
        <w:rFonts w:hint="default"/>
      </w:rPr>
    </w:lvl>
    <w:lvl w:ilvl="6">
      <w:start w:val="1"/>
      <w:numFmt w:val="none"/>
      <w:lvlRestart w:val="0"/>
      <w:lvlText w:val="-"/>
      <w:lvlJc w:val="left"/>
      <w:pPr>
        <w:ind w:left="1021" w:hanging="341"/>
      </w:pPr>
      <w:rPr>
        <w:rFonts w:hint="default"/>
      </w:rPr>
    </w:lvl>
    <w:lvl w:ilvl="7">
      <w:start w:val="1"/>
      <w:numFmt w:val="none"/>
      <w:lvlRestart w:val="0"/>
      <w:lvlText w:val="-"/>
      <w:lvlJc w:val="left"/>
      <w:pPr>
        <w:ind w:left="1021" w:hanging="341"/>
      </w:pPr>
      <w:rPr>
        <w:rFonts w:hint="default"/>
      </w:rPr>
    </w:lvl>
    <w:lvl w:ilvl="8">
      <w:start w:val="1"/>
      <w:numFmt w:val="none"/>
      <w:lvlRestart w:val="0"/>
      <w:lvlText w:val="-"/>
      <w:lvlJc w:val="left"/>
      <w:pPr>
        <w:ind w:left="1021" w:hanging="341"/>
      </w:pPr>
      <w:rPr>
        <w:rFonts w:hint="default"/>
      </w:rPr>
    </w:lvl>
  </w:abstractNum>
  <w:abstractNum w:abstractNumId="6" w15:restartNumberingAfterBreak="0">
    <w:nsid w:val="635B786D"/>
    <w:multiLevelType w:val="multilevel"/>
    <w:tmpl w:val="83C0C8F8"/>
    <w:styleLink w:val="bwNummerierung"/>
    <w:lvl w:ilvl="0">
      <w:start w:val="1"/>
      <w:numFmt w:val="none"/>
      <w:pStyle w:val="bwStandardVorNumAltV"/>
      <w:suff w:val="nothing"/>
      <w:lvlText w:val=""/>
      <w:lvlJc w:val="left"/>
      <w:pPr>
        <w:ind w:left="0" w:firstLine="0"/>
      </w:pPr>
      <w:rPr>
        <w:rFonts w:hint="default"/>
      </w:rPr>
    </w:lvl>
    <w:lvl w:ilvl="1">
      <w:start w:val="1"/>
      <w:numFmt w:val="decimal"/>
      <w:pStyle w:val="bwNummer1"/>
      <w:lvlText w:val="%2."/>
      <w:lvlJc w:val="left"/>
      <w:pPr>
        <w:ind w:left="340" w:hanging="340"/>
      </w:pPr>
      <w:rPr>
        <w:rFonts w:hint="default"/>
      </w:rPr>
    </w:lvl>
    <w:lvl w:ilvl="2">
      <w:start w:val="1"/>
      <w:numFmt w:val="decimal"/>
      <w:pStyle w:val="bwNummer2"/>
      <w:lvlText w:val="%2.%3"/>
      <w:lvlJc w:val="left"/>
      <w:pPr>
        <w:ind w:left="1021" w:hanging="681"/>
      </w:pPr>
      <w:rPr>
        <w:rFonts w:hint="default"/>
      </w:rPr>
    </w:lvl>
    <w:lvl w:ilvl="3">
      <w:start w:val="1"/>
      <w:numFmt w:val="decimal"/>
      <w:pStyle w:val="bwNummer3"/>
      <w:lvlText w:val="%2.%3.%4"/>
      <w:lvlJc w:val="left"/>
      <w:pPr>
        <w:ind w:left="1814" w:hanging="793"/>
      </w:pPr>
      <w:rPr>
        <w:rFonts w:hint="default"/>
      </w:rPr>
    </w:lvl>
    <w:lvl w:ilvl="4">
      <w:start w:val="1"/>
      <w:numFmt w:val="none"/>
      <w:lvlRestart w:val="0"/>
      <w:lvlText w:val=""/>
      <w:lvlJc w:val="left"/>
      <w:pPr>
        <w:ind w:left="1814" w:hanging="793"/>
      </w:pPr>
      <w:rPr>
        <w:rFonts w:hint="default"/>
      </w:rPr>
    </w:lvl>
    <w:lvl w:ilvl="5">
      <w:start w:val="1"/>
      <w:numFmt w:val="none"/>
      <w:lvlRestart w:val="0"/>
      <w:lvlText w:val=""/>
      <w:lvlJc w:val="left"/>
      <w:pPr>
        <w:ind w:left="1814" w:hanging="793"/>
      </w:pPr>
      <w:rPr>
        <w:rFonts w:hint="default"/>
      </w:rPr>
    </w:lvl>
    <w:lvl w:ilvl="6">
      <w:start w:val="1"/>
      <w:numFmt w:val="none"/>
      <w:lvlRestart w:val="0"/>
      <w:lvlText w:val=""/>
      <w:lvlJc w:val="left"/>
      <w:pPr>
        <w:ind w:left="1814" w:hanging="793"/>
      </w:pPr>
      <w:rPr>
        <w:rFonts w:hint="default"/>
      </w:rPr>
    </w:lvl>
    <w:lvl w:ilvl="7">
      <w:start w:val="1"/>
      <w:numFmt w:val="none"/>
      <w:lvlRestart w:val="0"/>
      <w:lvlText w:val=""/>
      <w:lvlJc w:val="left"/>
      <w:pPr>
        <w:ind w:left="1814" w:hanging="793"/>
      </w:pPr>
      <w:rPr>
        <w:rFonts w:hint="default"/>
      </w:rPr>
    </w:lvl>
    <w:lvl w:ilvl="8">
      <w:start w:val="1"/>
      <w:numFmt w:val="none"/>
      <w:lvlRestart w:val="0"/>
      <w:lvlText w:val=""/>
      <w:lvlJc w:val="left"/>
      <w:pPr>
        <w:ind w:left="1814" w:hanging="793"/>
      </w:pPr>
      <w:rPr>
        <w:rFonts w:hint="default"/>
      </w:rPr>
    </w:lvl>
  </w:abstractNum>
  <w:abstractNum w:abstractNumId="7" w15:restartNumberingAfterBreak="0">
    <w:nsid w:val="6E853956"/>
    <w:multiLevelType w:val="multilevel"/>
    <w:tmpl w:val="BA38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82A46"/>
    <w:multiLevelType w:val="multilevel"/>
    <w:tmpl w:val="CF8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953745">
    <w:abstractNumId w:val="5"/>
  </w:num>
  <w:num w:numId="2" w16cid:durableId="2136482920">
    <w:abstractNumId w:val="5"/>
  </w:num>
  <w:num w:numId="3" w16cid:durableId="515583709">
    <w:abstractNumId w:val="5"/>
  </w:num>
  <w:num w:numId="4" w16cid:durableId="1349523396">
    <w:abstractNumId w:val="6"/>
  </w:num>
  <w:num w:numId="5" w16cid:durableId="595676735">
    <w:abstractNumId w:val="6"/>
  </w:num>
  <w:num w:numId="6" w16cid:durableId="1851019714">
    <w:abstractNumId w:val="6"/>
  </w:num>
  <w:num w:numId="7" w16cid:durableId="916784827">
    <w:abstractNumId w:val="6"/>
  </w:num>
  <w:num w:numId="8" w16cid:durableId="1213886777">
    <w:abstractNumId w:val="5"/>
  </w:num>
  <w:num w:numId="9" w16cid:durableId="1093286707">
    <w:abstractNumId w:val="6"/>
  </w:num>
  <w:num w:numId="10" w16cid:durableId="149833634">
    <w:abstractNumId w:val="5"/>
  </w:num>
  <w:num w:numId="11" w16cid:durableId="2066024627">
    <w:abstractNumId w:val="5"/>
  </w:num>
  <w:num w:numId="12" w16cid:durableId="1682049861">
    <w:abstractNumId w:val="5"/>
  </w:num>
  <w:num w:numId="13" w16cid:durableId="1018897001">
    <w:abstractNumId w:val="6"/>
  </w:num>
  <w:num w:numId="14" w16cid:durableId="1131438899">
    <w:abstractNumId w:val="6"/>
  </w:num>
  <w:num w:numId="15" w16cid:durableId="2128769166">
    <w:abstractNumId w:val="6"/>
  </w:num>
  <w:num w:numId="16" w16cid:durableId="2056736773">
    <w:abstractNumId w:val="6"/>
  </w:num>
  <w:num w:numId="17" w16cid:durableId="1616213331">
    <w:abstractNumId w:val="5"/>
  </w:num>
  <w:num w:numId="18" w16cid:durableId="1686516513">
    <w:abstractNumId w:val="6"/>
  </w:num>
  <w:num w:numId="19" w16cid:durableId="1532299094">
    <w:abstractNumId w:val="8"/>
  </w:num>
  <w:num w:numId="20" w16cid:durableId="1640723645">
    <w:abstractNumId w:val="3"/>
  </w:num>
  <w:num w:numId="21" w16cid:durableId="521817583">
    <w:abstractNumId w:val="4"/>
  </w:num>
  <w:num w:numId="22" w16cid:durableId="334000229">
    <w:abstractNumId w:val="0"/>
  </w:num>
  <w:num w:numId="23" w16cid:durableId="1765149532">
    <w:abstractNumId w:val="2"/>
  </w:num>
  <w:num w:numId="24" w16cid:durableId="35004937">
    <w:abstractNumId w:val="1"/>
  </w:num>
  <w:num w:numId="25" w16cid:durableId="442042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08"/>
  <w:autoHyphenation/>
  <w:consecutiveHyphenLimit w:val="3"/>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00C"/>
    <w:rsid w:val="008E000C"/>
    <w:rsid w:val="00E52F7A"/>
    <w:rsid w:val="00F966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E08B"/>
  <w15:chartTrackingRefBased/>
  <w15:docId w15:val="{6D2445F9-C72B-48BF-97AE-8FB0A00F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bw_Standard (Alt + S)"/>
    <w:qFormat/>
    <w:pPr>
      <w:spacing w:after="280" w:line="280" w:lineRule="atLeast"/>
    </w:pPr>
    <w:rPr>
      <w:rFonts w:cs="Times New Roman"/>
    </w:rPr>
  </w:style>
  <w:style w:type="paragraph" w:styleId="berschrift1">
    <w:name w:val="heading 1"/>
    <w:aliases w:val="bw_Überschrift1 (Alt + 1)"/>
    <w:next w:val="Standard"/>
    <w:link w:val="berschrift1Zchn"/>
    <w:uiPriority w:val="9"/>
    <w:qFormat/>
    <w:pPr>
      <w:keepNext/>
      <w:keepLines/>
      <w:spacing w:after="560" w:line="360" w:lineRule="atLeast"/>
      <w:outlineLvl w:val="0"/>
    </w:pPr>
    <w:rPr>
      <w:rFonts w:asciiTheme="majorHAnsi" w:eastAsiaTheme="majorEastAsia" w:hAnsiTheme="majorHAnsi" w:cstheme="majorBidi"/>
      <w:b/>
      <w:bCs/>
      <w:color w:val="0072B8" w:themeColor="accent1"/>
      <w:sz w:val="32"/>
      <w:szCs w:val="28"/>
    </w:rPr>
  </w:style>
  <w:style w:type="paragraph" w:styleId="berschrift2">
    <w:name w:val="heading 2"/>
    <w:aliases w:val="bw_Überschrift2 (Alt + 2)"/>
    <w:next w:val="Standard"/>
    <w:link w:val="berschrift2Zchn"/>
    <w:uiPriority w:val="9"/>
    <w:qFormat/>
    <w:pPr>
      <w:keepNext/>
      <w:keepLines/>
      <w:spacing w:after="140" w:line="280" w:lineRule="atLeast"/>
      <w:outlineLvl w:val="1"/>
    </w:pPr>
    <w:rPr>
      <w:rFonts w:asciiTheme="majorHAnsi" w:eastAsiaTheme="majorEastAsia" w:hAnsiTheme="majorHAnsi" w:cstheme="majorBidi"/>
      <w:b/>
      <w:bCs/>
      <w:color w:val="0072B8" w:themeColor="accent1"/>
      <w:sz w:val="26"/>
      <w:szCs w:val="26"/>
    </w:rPr>
  </w:style>
  <w:style w:type="paragraph" w:styleId="berschrift3">
    <w:name w:val="heading 3"/>
    <w:aliases w:val="bw_Überschrift3 (Alt + 3)"/>
    <w:next w:val="Standard"/>
    <w:link w:val="berschrift3Zchn"/>
    <w:uiPriority w:val="9"/>
    <w:qFormat/>
    <w:pPr>
      <w:keepNext/>
      <w:keepLines/>
      <w:spacing w:after="0" w:line="280" w:lineRule="atLeast"/>
      <w:outlineLvl w:val="2"/>
    </w:pPr>
    <w:rPr>
      <w:rFonts w:asciiTheme="majorHAnsi" w:eastAsiaTheme="majorEastAsia" w:hAnsiTheme="majorHAnsi" w:cstheme="majorBidi"/>
      <w:b/>
      <w:bCs/>
      <w:color w:val="0072B8" w:themeColor="accent1"/>
    </w:rPr>
  </w:style>
  <w:style w:type="paragraph" w:styleId="berschrift4">
    <w:name w:val="heading 4"/>
    <w:aliases w:val="bw_Überschrift4"/>
    <w:next w:val="Standard"/>
    <w:link w:val="berschrift4Zchn"/>
    <w:uiPriority w:val="9"/>
    <w:semiHidden/>
    <w:qFormat/>
    <w:pPr>
      <w:keepNext/>
      <w:keepLines/>
      <w:spacing w:after="0" w:line="280" w:lineRule="atLeast"/>
      <w:outlineLvl w:val="3"/>
    </w:pPr>
    <w:rPr>
      <w:rFonts w:asciiTheme="majorHAnsi" w:eastAsiaTheme="majorEastAsia" w:hAnsiTheme="majorHAnsi" w:cstheme="majorBidi"/>
      <w:b/>
      <w:iCs/>
      <w:color w:val="0072B8" w:themeColor="accent1"/>
    </w:rPr>
  </w:style>
  <w:style w:type="paragraph" w:styleId="berschrift5">
    <w:name w:val="heading 5"/>
    <w:aliases w:val="bw_Überschrift5"/>
    <w:next w:val="Standard"/>
    <w:link w:val="berschrift5Zchn"/>
    <w:uiPriority w:val="9"/>
    <w:semiHidden/>
    <w:qFormat/>
    <w:pPr>
      <w:keepNext/>
      <w:keepLines/>
      <w:spacing w:after="0" w:line="280" w:lineRule="atLeast"/>
      <w:outlineLvl w:val="4"/>
    </w:pPr>
    <w:rPr>
      <w:rFonts w:asciiTheme="majorHAnsi" w:hAnsiTheme="majorHAnsi" w:cs="Times New Roman"/>
      <w:b/>
      <w:color w:val="0072B8" w:themeColor="accent1"/>
    </w:rPr>
  </w:style>
  <w:style w:type="paragraph" w:styleId="berschrift6">
    <w:name w:val="heading 6"/>
    <w:aliases w:val="bw_Überschrift6"/>
    <w:next w:val="Standard"/>
    <w:link w:val="berschrift6Zchn"/>
    <w:uiPriority w:val="9"/>
    <w:semiHidden/>
    <w:qFormat/>
    <w:pPr>
      <w:keepNext/>
      <w:keepLines/>
      <w:spacing w:after="0" w:line="280" w:lineRule="atLeast"/>
      <w:outlineLvl w:val="5"/>
    </w:pPr>
    <w:rPr>
      <w:rFonts w:asciiTheme="majorHAnsi" w:eastAsiaTheme="majorEastAsia" w:hAnsiTheme="majorHAnsi" w:cstheme="majorBidi"/>
      <w:b/>
      <w:iCs/>
      <w:color w:val="0072B8" w:themeColor="accent1"/>
    </w:rPr>
  </w:style>
  <w:style w:type="paragraph" w:styleId="berschrift7">
    <w:name w:val="heading 7"/>
    <w:aliases w:val="bw_Überschrift7"/>
    <w:next w:val="Standard"/>
    <w:link w:val="berschrift7Zchn"/>
    <w:uiPriority w:val="9"/>
    <w:semiHidden/>
    <w:qFormat/>
    <w:pPr>
      <w:keepNext/>
      <w:keepLines/>
      <w:spacing w:after="0" w:line="280" w:lineRule="atLeast"/>
      <w:outlineLvl w:val="6"/>
    </w:pPr>
    <w:rPr>
      <w:rFonts w:asciiTheme="majorHAnsi" w:eastAsiaTheme="majorEastAsia" w:hAnsiTheme="majorHAnsi" w:cstheme="majorBidi"/>
      <w:b/>
      <w:iCs/>
      <w:color w:val="0072B8" w:themeColor="accent1"/>
    </w:rPr>
  </w:style>
  <w:style w:type="paragraph" w:styleId="berschrift8">
    <w:name w:val="heading 8"/>
    <w:aliases w:val="bw_Überschrift8"/>
    <w:next w:val="Standard"/>
    <w:link w:val="berschrift8Zchn"/>
    <w:uiPriority w:val="9"/>
    <w:semiHidden/>
    <w:qFormat/>
    <w:pPr>
      <w:keepNext/>
      <w:keepLines/>
      <w:spacing w:after="0" w:line="280" w:lineRule="atLeast"/>
      <w:outlineLvl w:val="7"/>
    </w:pPr>
    <w:rPr>
      <w:rFonts w:asciiTheme="majorHAnsi" w:eastAsiaTheme="majorEastAsia" w:hAnsiTheme="majorHAnsi" w:cstheme="majorBidi"/>
      <w:b/>
      <w:color w:val="0072B8" w:themeColor="accent1"/>
      <w:szCs w:val="20"/>
    </w:rPr>
  </w:style>
  <w:style w:type="paragraph" w:styleId="berschrift9">
    <w:name w:val="heading 9"/>
    <w:aliases w:val="bw_Überschrift9"/>
    <w:next w:val="Standard"/>
    <w:link w:val="berschrift9Zchn"/>
    <w:uiPriority w:val="9"/>
    <w:semiHidden/>
    <w:qFormat/>
    <w:pPr>
      <w:keepNext/>
      <w:keepLines/>
      <w:spacing w:after="0" w:line="280" w:lineRule="atLeast"/>
      <w:outlineLvl w:val="8"/>
    </w:pPr>
    <w:rPr>
      <w:rFonts w:asciiTheme="majorHAnsi" w:eastAsiaTheme="majorEastAsia" w:hAnsiTheme="majorHAnsi" w:cstheme="majorBidi"/>
      <w:b/>
      <w:iCs/>
      <w:color w:val="0072B8" w:themeColor="accent1"/>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semiHidden/>
    <w:qFormat/>
    <w:pPr>
      <w:spacing w:after="0" w:line="240" w:lineRule="auto"/>
    </w:pPr>
  </w:style>
  <w:style w:type="character" w:customStyle="1" w:styleId="berschrift9Zchn">
    <w:name w:val="Überschrift 9 Zchn"/>
    <w:aliases w:val="bw_Überschrift9 Zchn"/>
    <w:basedOn w:val="Absatz-Standardschriftart"/>
    <w:link w:val="berschrift9"/>
    <w:uiPriority w:val="9"/>
    <w:semiHidden/>
    <w:rPr>
      <w:rFonts w:asciiTheme="majorHAnsi" w:eastAsiaTheme="majorEastAsia" w:hAnsiTheme="majorHAnsi" w:cstheme="majorBidi"/>
      <w:b/>
      <w:iCs/>
      <w:color w:val="0072B8" w:themeColor="accent1"/>
      <w:szCs w:val="20"/>
    </w:rPr>
  </w:style>
  <w:style w:type="character" w:customStyle="1" w:styleId="berschrift8Zchn">
    <w:name w:val="Überschrift 8 Zchn"/>
    <w:aliases w:val="bw_Überschrift8 Zchn"/>
    <w:basedOn w:val="Absatz-Standardschriftart"/>
    <w:link w:val="berschrift8"/>
    <w:uiPriority w:val="9"/>
    <w:semiHidden/>
    <w:rPr>
      <w:rFonts w:asciiTheme="majorHAnsi" w:eastAsiaTheme="majorEastAsia" w:hAnsiTheme="majorHAnsi" w:cstheme="majorBidi"/>
      <w:b/>
      <w:color w:val="0072B8" w:themeColor="accent1"/>
      <w:szCs w:val="20"/>
    </w:rPr>
  </w:style>
  <w:style w:type="character" w:customStyle="1" w:styleId="berschrift7Zchn">
    <w:name w:val="Überschrift 7 Zchn"/>
    <w:aliases w:val="bw_Überschrift7 Zchn"/>
    <w:basedOn w:val="Absatz-Standardschriftart"/>
    <w:link w:val="berschrift7"/>
    <w:uiPriority w:val="9"/>
    <w:semiHidden/>
    <w:rPr>
      <w:rFonts w:asciiTheme="majorHAnsi" w:eastAsiaTheme="majorEastAsia" w:hAnsiTheme="majorHAnsi" w:cstheme="majorBidi"/>
      <w:b/>
      <w:iCs/>
      <w:color w:val="0072B8" w:themeColor="accent1"/>
    </w:rPr>
  </w:style>
  <w:style w:type="character" w:customStyle="1" w:styleId="berschrift6Zchn">
    <w:name w:val="Überschrift 6 Zchn"/>
    <w:aliases w:val="bw_Überschrift6 Zchn"/>
    <w:basedOn w:val="Absatz-Standardschriftart"/>
    <w:link w:val="berschrift6"/>
    <w:uiPriority w:val="9"/>
    <w:semiHidden/>
    <w:rPr>
      <w:rFonts w:asciiTheme="majorHAnsi" w:eastAsiaTheme="majorEastAsia" w:hAnsiTheme="majorHAnsi" w:cstheme="majorBidi"/>
      <w:b/>
      <w:iCs/>
      <w:color w:val="0072B8" w:themeColor="accent1"/>
    </w:rPr>
  </w:style>
  <w:style w:type="character" w:customStyle="1" w:styleId="berschrift5Zchn">
    <w:name w:val="Überschrift 5 Zchn"/>
    <w:aliases w:val="bw_Überschrift5 Zchn"/>
    <w:basedOn w:val="Absatz-Standardschriftart"/>
    <w:link w:val="berschrift5"/>
    <w:uiPriority w:val="9"/>
    <w:semiHidden/>
    <w:rPr>
      <w:rFonts w:asciiTheme="majorHAnsi" w:hAnsiTheme="majorHAnsi" w:cs="Times New Roman"/>
      <w:b/>
      <w:color w:val="0072B8" w:themeColor="accent1"/>
    </w:rPr>
  </w:style>
  <w:style w:type="character" w:customStyle="1" w:styleId="berschrift4Zchn">
    <w:name w:val="Überschrift 4 Zchn"/>
    <w:aliases w:val="bw_Überschrift4 Zchn"/>
    <w:basedOn w:val="Absatz-Standardschriftart"/>
    <w:link w:val="berschrift4"/>
    <w:uiPriority w:val="9"/>
    <w:semiHidden/>
    <w:rPr>
      <w:rFonts w:asciiTheme="majorHAnsi" w:eastAsiaTheme="majorEastAsia" w:hAnsiTheme="majorHAnsi" w:cstheme="majorBidi"/>
      <w:b/>
      <w:iCs/>
      <w:color w:val="0072B8" w:themeColor="accent1"/>
    </w:rPr>
  </w:style>
  <w:style w:type="paragraph" w:styleId="Verzeichnis9">
    <w:name w:val="toc 9"/>
    <w:aliases w:val="bw_Verzeichnis9"/>
    <w:next w:val="Standard"/>
    <w:uiPriority w:val="39"/>
    <w:semiHidden/>
    <w:pPr>
      <w:spacing w:after="140" w:line="280" w:lineRule="atLeast"/>
      <w:ind w:left="567"/>
    </w:pPr>
    <w:rPr>
      <w:rFonts w:cs="Times New Roman"/>
    </w:rPr>
  </w:style>
  <w:style w:type="paragraph" w:styleId="Verzeichnis8">
    <w:name w:val="toc 8"/>
    <w:aliases w:val="bw_Verzeichnis8"/>
    <w:next w:val="Standard"/>
    <w:uiPriority w:val="39"/>
    <w:semiHidden/>
    <w:pPr>
      <w:spacing w:after="140" w:line="280" w:lineRule="atLeast"/>
      <w:ind w:left="567"/>
    </w:pPr>
    <w:rPr>
      <w:rFonts w:cs="Times New Roman"/>
    </w:rPr>
  </w:style>
  <w:style w:type="paragraph" w:styleId="Verzeichnis7">
    <w:name w:val="toc 7"/>
    <w:aliases w:val="bw_Verzeichnis7"/>
    <w:next w:val="Standard"/>
    <w:uiPriority w:val="39"/>
    <w:semiHidden/>
    <w:pPr>
      <w:spacing w:after="140" w:line="280" w:lineRule="atLeast"/>
      <w:ind w:left="567"/>
    </w:pPr>
    <w:rPr>
      <w:rFonts w:cs="Times New Roman"/>
    </w:rPr>
  </w:style>
  <w:style w:type="paragraph" w:styleId="Verzeichnis6">
    <w:name w:val="toc 6"/>
    <w:aliases w:val="bw_Verzeichnis6"/>
    <w:next w:val="Standard"/>
    <w:uiPriority w:val="39"/>
    <w:semiHidden/>
    <w:pPr>
      <w:spacing w:after="140" w:line="280" w:lineRule="atLeast"/>
      <w:ind w:left="567"/>
    </w:pPr>
    <w:rPr>
      <w:rFonts w:cs="Times New Roman"/>
    </w:rPr>
  </w:style>
  <w:style w:type="paragraph" w:styleId="Verzeichnis5">
    <w:name w:val="toc 5"/>
    <w:aliases w:val="bw_Verzeichnis5"/>
    <w:next w:val="Standard"/>
    <w:uiPriority w:val="39"/>
    <w:semiHidden/>
    <w:pPr>
      <w:spacing w:after="140" w:line="280" w:lineRule="atLeast"/>
      <w:ind w:left="567"/>
    </w:pPr>
    <w:rPr>
      <w:rFonts w:cs="Times New Roman"/>
    </w:rPr>
  </w:style>
  <w:style w:type="paragraph" w:styleId="Verzeichnis4">
    <w:name w:val="toc 4"/>
    <w:aliases w:val="bw_Verzeichnis4"/>
    <w:next w:val="Standard"/>
    <w:uiPriority w:val="39"/>
    <w:semiHidden/>
    <w:pPr>
      <w:spacing w:after="140" w:line="280" w:lineRule="atLeast"/>
      <w:ind w:left="567"/>
    </w:pPr>
    <w:rPr>
      <w:rFonts w:cs="Times New Roman"/>
    </w:rPr>
  </w:style>
  <w:style w:type="paragraph" w:styleId="Untertitel">
    <w:name w:val="Subtitle"/>
    <w:basedOn w:val="Standard"/>
    <w:next w:val="Standard"/>
    <w:link w:val="UntertitelZchn"/>
    <w:uiPriority w:val="11"/>
    <w:semiHidden/>
    <w:qFormat/>
    <w:pPr>
      <w:numPr>
        <w:ilvl w:val="1"/>
      </w:numPr>
    </w:pPr>
    <w:rPr>
      <w:rFonts w:eastAsiaTheme="minorEastAsia"/>
      <w:color w:val="7B7B7B" w:themeColor="text1" w:themeTint="A5"/>
      <w:spacing w:val="15"/>
    </w:rPr>
  </w:style>
  <w:style w:type="character" w:customStyle="1" w:styleId="UntertitelZchn">
    <w:name w:val="Untertitel Zchn"/>
    <w:basedOn w:val="Absatz-Standardschriftart"/>
    <w:link w:val="Untertitel"/>
    <w:uiPriority w:val="11"/>
    <w:rPr>
      <w:rFonts w:eastAsiaTheme="minorEastAsia"/>
      <w:color w:val="7B7B7B" w:themeColor="text1" w:themeTint="A5"/>
      <w:spacing w:val="15"/>
    </w:rPr>
  </w:style>
  <w:style w:type="character" w:styleId="SchwacheHervorhebung">
    <w:name w:val="Subtle Emphasis"/>
    <w:basedOn w:val="Absatz-Standardschriftart"/>
    <w:uiPriority w:val="19"/>
    <w:semiHidden/>
    <w:qFormat/>
    <w:rPr>
      <w:i/>
      <w:iCs/>
      <w:color w:val="666666" w:themeColor="text1" w:themeTint="BF"/>
    </w:rPr>
  </w:style>
  <w:style w:type="character" w:styleId="Hervorhebung">
    <w:name w:val="Emphasis"/>
    <w:basedOn w:val="Absatz-Standardschriftart"/>
    <w:uiPriority w:val="20"/>
    <w:semiHidden/>
    <w:qFormat/>
    <w:rPr>
      <w:i/>
      <w:iCs/>
    </w:rPr>
  </w:style>
  <w:style w:type="character" w:styleId="IntensiveHervorhebung">
    <w:name w:val="Intense Emphasis"/>
    <w:basedOn w:val="Absatz-Standardschriftart"/>
    <w:uiPriority w:val="21"/>
    <w:semiHidden/>
    <w:qFormat/>
    <w:rPr>
      <w:i/>
      <w:iCs/>
      <w:color w:val="0072B8" w:themeColor="accent1"/>
    </w:rPr>
  </w:style>
  <w:style w:type="paragraph" w:styleId="Zitat">
    <w:name w:val="Quote"/>
    <w:basedOn w:val="Standard"/>
    <w:next w:val="Standard"/>
    <w:link w:val="ZitatZchn"/>
    <w:uiPriority w:val="29"/>
    <w:semiHidden/>
    <w:qFormat/>
    <w:pPr>
      <w:spacing w:before="200"/>
      <w:ind w:left="864" w:right="864"/>
      <w:jc w:val="center"/>
    </w:pPr>
    <w:rPr>
      <w:i/>
      <w:iCs/>
      <w:color w:val="666666" w:themeColor="text1" w:themeTint="BF"/>
    </w:rPr>
  </w:style>
  <w:style w:type="character" w:customStyle="1" w:styleId="ZitatZchn">
    <w:name w:val="Zitat Zchn"/>
    <w:basedOn w:val="Absatz-Standardschriftart"/>
    <w:link w:val="Zitat"/>
    <w:uiPriority w:val="29"/>
    <w:rPr>
      <w:i/>
      <w:iCs/>
      <w:color w:val="666666" w:themeColor="text1" w:themeTint="BF"/>
    </w:rPr>
  </w:style>
  <w:style w:type="paragraph" w:styleId="IntensivesZitat">
    <w:name w:val="Intense Quote"/>
    <w:basedOn w:val="Standard"/>
    <w:next w:val="Standard"/>
    <w:link w:val="IntensivesZitatZchn"/>
    <w:uiPriority w:val="30"/>
    <w:semiHidden/>
    <w:qFormat/>
    <w:pPr>
      <w:pBdr>
        <w:top w:val="single" w:sz="4" w:space="10" w:color="0072B8" w:themeColor="accent1"/>
        <w:bottom w:val="single" w:sz="4" w:space="10" w:color="0072B8" w:themeColor="accent1"/>
      </w:pBdr>
      <w:spacing w:before="360" w:after="360"/>
      <w:ind w:left="864" w:right="864"/>
      <w:jc w:val="center"/>
    </w:pPr>
    <w:rPr>
      <w:i/>
      <w:iCs/>
      <w:color w:val="0072B8" w:themeColor="accent1"/>
    </w:rPr>
  </w:style>
  <w:style w:type="character" w:customStyle="1" w:styleId="IntensivesZitatZchn">
    <w:name w:val="Intensives Zitat Zchn"/>
    <w:basedOn w:val="Absatz-Standardschriftart"/>
    <w:link w:val="IntensivesZitat"/>
    <w:uiPriority w:val="30"/>
    <w:rPr>
      <w:i/>
      <w:iCs/>
      <w:color w:val="0072B8" w:themeColor="accent1"/>
    </w:rPr>
  </w:style>
  <w:style w:type="character" w:styleId="SchwacherVerweis">
    <w:name w:val="Subtle Reference"/>
    <w:basedOn w:val="Absatz-Standardschriftart"/>
    <w:uiPriority w:val="31"/>
    <w:semiHidden/>
    <w:qFormat/>
    <w:rPr>
      <w:smallCaps/>
      <w:color w:val="7B7B7B" w:themeColor="text1" w:themeTint="A5"/>
    </w:rPr>
  </w:style>
  <w:style w:type="character" w:styleId="IntensiverVerweis">
    <w:name w:val="Intense Reference"/>
    <w:basedOn w:val="Absatz-Standardschriftart"/>
    <w:uiPriority w:val="32"/>
    <w:semiHidden/>
    <w:qFormat/>
    <w:rPr>
      <w:b/>
      <w:bCs/>
      <w:smallCaps/>
      <w:color w:val="0072B8" w:themeColor="accent1"/>
      <w:spacing w:val="5"/>
    </w:rPr>
  </w:style>
  <w:style w:type="character" w:styleId="Buchtitel">
    <w:name w:val="Book Title"/>
    <w:basedOn w:val="Absatz-Standardschriftart"/>
    <w:uiPriority w:val="33"/>
    <w:semiHidden/>
    <w:qFormat/>
    <w:rPr>
      <w:b/>
      <w:bCs/>
      <w:i/>
      <w:iCs/>
      <w:spacing w:val="5"/>
    </w:rPr>
  </w:style>
  <w:style w:type="paragraph" w:styleId="Listenabsatz">
    <w:name w:val="List Paragraph"/>
    <w:basedOn w:val="Standard"/>
    <w:uiPriority w:val="34"/>
    <w:semiHidden/>
    <w:qFormat/>
    <w:pPr>
      <w:ind w:left="720"/>
      <w:contextualSpacing/>
    </w:pPr>
  </w:style>
  <w:style w:type="character" w:styleId="Fett">
    <w:name w:val="Strong"/>
    <w:aliases w:val="bw_Fett (Alt + F)"/>
    <w:basedOn w:val="Absatz-Standardschriftart"/>
    <w:uiPriority w:val="22"/>
    <w:qFormat/>
    <w:rPr>
      <w:b/>
      <w:bCs/>
    </w:rPr>
  </w:style>
  <w:style w:type="paragraph" w:styleId="Kopfzeile">
    <w:name w:val="header"/>
    <w:aliases w:val="bw_Kopfzeile"/>
    <w:link w:val="KopfzeileZchn"/>
    <w:uiPriority w:val="99"/>
    <w:pPr>
      <w:spacing w:after="280" w:line="240" w:lineRule="auto"/>
    </w:pPr>
    <w:rPr>
      <w:rFonts w:cs="Times New Roman"/>
      <w:sz w:val="18"/>
    </w:rPr>
  </w:style>
  <w:style w:type="character" w:customStyle="1" w:styleId="KopfzeileZchn">
    <w:name w:val="Kopfzeile Zchn"/>
    <w:aliases w:val="bw_Kopfzeile Zchn"/>
    <w:basedOn w:val="Absatz-Standardschriftart"/>
    <w:link w:val="Kopfzeile"/>
    <w:uiPriority w:val="99"/>
    <w:rPr>
      <w:rFonts w:cs="Times New Roman"/>
      <w:sz w:val="18"/>
    </w:rPr>
  </w:style>
  <w:style w:type="paragraph" w:styleId="Fuzeile">
    <w:name w:val="footer"/>
    <w:aliases w:val="bw_Fußzeile"/>
    <w:link w:val="FuzeileZchn"/>
    <w:uiPriority w:val="99"/>
    <w:pPr>
      <w:spacing w:after="0" w:line="240" w:lineRule="auto"/>
    </w:pPr>
    <w:rPr>
      <w:rFonts w:cs="Times New Roman"/>
      <w:sz w:val="18"/>
    </w:rPr>
  </w:style>
  <w:style w:type="character" w:customStyle="1" w:styleId="FuzeileZchn">
    <w:name w:val="Fußzeile Zchn"/>
    <w:aliases w:val="bw_Fußzeile Zchn"/>
    <w:basedOn w:val="Absatz-Standardschriftart"/>
    <w:link w:val="Fuzeile"/>
    <w:uiPriority w:val="99"/>
    <w:rPr>
      <w:rFonts w:cs="Times New Roman"/>
      <w:sz w:val="18"/>
    </w:rPr>
  </w:style>
  <w:style w:type="paragraph" w:customStyle="1" w:styleId="bwAufz1Fortsetz">
    <w:name w:val="bw_Aufz1Fortsetz"/>
    <w:basedOn w:val="Standard"/>
    <w:next w:val="Standard"/>
    <w:link w:val="bwAufz1FortsetzZchn"/>
    <w:pPr>
      <w:spacing w:after="140"/>
      <w:ind w:left="340"/>
    </w:pPr>
  </w:style>
  <w:style w:type="character" w:customStyle="1" w:styleId="bwAufz1FortsetzZchn">
    <w:name w:val="bw_Aufz1Fortsetz Zchn"/>
    <w:basedOn w:val="Absatz-Standardschriftart"/>
    <w:link w:val="bwAufz1Fortsetz"/>
    <w:rPr>
      <w:rFonts w:cs="Times New Roman"/>
    </w:rPr>
  </w:style>
  <w:style w:type="paragraph" w:customStyle="1" w:styleId="bwAufz2Fortsetz">
    <w:name w:val="bw_Aufz2Fortsetz"/>
    <w:basedOn w:val="Standard"/>
    <w:next w:val="Standard"/>
    <w:link w:val="bwAufz2FortsetzZchn"/>
    <w:pPr>
      <w:spacing w:after="140"/>
      <w:ind w:left="680"/>
    </w:pPr>
  </w:style>
  <w:style w:type="character" w:customStyle="1" w:styleId="bwAufz2FortsetzZchn">
    <w:name w:val="bw_Aufz2Fortsetz Zchn"/>
    <w:basedOn w:val="Absatz-Standardschriftart"/>
    <w:link w:val="bwAufz2Fortsetz"/>
    <w:rPr>
      <w:rFonts w:cs="Times New Roman"/>
    </w:rPr>
  </w:style>
  <w:style w:type="paragraph" w:customStyle="1" w:styleId="bwAufz3Fortsetz">
    <w:name w:val="bw_Aufz3Fortsetz"/>
    <w:basedOn w:val="Standard"/>
    <w:next w:val="Standard"/>
    <w:link w:val="bwAufz3FortsetzZchn"/>
    <w:pPr>
      <w:spacing w:after="140"/>
      <w:ind w:left="1021"/>
    </w:pPr>
  </w:style>
  <w:style w:type="character" w:customStyle="1" w:styleId="bwAufz3FortsetzZchn">
    <w:name w:val="bw_Aufz3Fortsetz Zchn"/>
    <w:basedOn w:val="Absatz-Standardschriftart"/>
    <w:link w:val="bwAufz3Fortsetz"/>
    <w:rPr>
      <w:rFonts w:cs="Times New Roman"/>
    </w:rPr>
  </w:style>
  <w:style w:type="paragraph" w:customStyle="1" w:styleId="bwAufzhlung1">
    <w:name w:val="bw_Aufzählung1"/>
    <w:basedOn w:val="Standard"/>
    <w:next w:val="Standard"/>
    <w:link w:val="bwAufzhlung1Zchn"/>
    <w:pPr>
      <w:numPr>
        <w:numId w:val="17"/>
      </w:numPr>
      <w:spacing w:after="140"/>
    </w:pPr>
  </w:style>
  <w:style w:type="character" w:customStyle="1" w:styleId="bwAufzhlung1Zchn">
    <w:name w:val="bw_Aufzählung1 Zchn"/>
    <w:basedOn w:val="Absatz-Standardschriftart"/>
    <w:link w:val="bwAufzhlung1"/>
    <w:rPr>
      <w:rFonts w:cs="Times New Roman"/>
    </w:rPr>
  </w:style>
  <w:style w:type="paragraph" w:customStyle="1" w:styleId="bwAufzhlung2">
    <w:name w:val="bw_Aufzählung2"/>
    <w:basedOn w:val="Standard"/>
    <w:next w:val="Standard"/>
    <w:link w:val="bwAufzhlung2Zchn"/>
    <w:pPr>
      <w:numPr>
        <w:ilvl w:val="1"/>
        <w:numId w:val="17"/>
      </w:numPr>
      <w:spacing w:after="140"/>
    </w:pPr>
  </w:style>
  <w:style w:type="character" w:customStyle="1" w:styleId="bwAufzhlung2Zchn">
    <w:name w:val="bw_Aufzählung2 Zchn"/>
    <w:basedOn w:val="Absatz-Standardschriftart"/>
    <w:link w:val="bwAufzhlung2"/>
    <w:rPr>
      <w:rFonts w:cs="Times New Roman"/>
    </w:rPr>
  </w:style>
  <w:style w:type="paragraph" w:customStyle="1" w:styleId="bwAufzhlung3">
    <w:name w:val="bw_Aufzählung3"/>
    <w:basedOn w:val="Standard"/>
    <w:next w:val="Standard"/>
    <w:link w:val="bwAufzhlung3Zchn"/>
    <w:pPr>
      <w:numPr>
        <w:ilvl w:val="2"/>
        <w:numId w:val="17"/>
      </w:numPr>
      <w:spacing w:after="140"/>
    </w:pPr>
  </w:style>
  <w:style w:type="character" w:customStyle="1" w:styleId="bwAufzhlung3Zchn">
    <w:name w:val="bw_Aufzählung3 Zchn"/>
    <w:basedOn w:val="Absatz-Standardschriftart"/>
    <w:link w:val="bwAufzhlung3"/>
    <w:rPr>
      <w:rFonts w:cs="Times New Roman"/>
    </w:rPr>
  </w:style>
  <w:style w:type="paragraph" w:customStyle="1" w:styleId="bwKastenAltK">
    <w:name w:val="bw_Kasten (Alt + K)"/>
    <w:basedOn w:val="Standard"/>
    <w:next w:val="Standard"/>
    <w:link w:val="bwKastenAltKZchn"/>
    <w:pPr>
      <w:pBdr>
        <w:top w:val="single" w:sz="4" w:space="7" w:color="E8EDF8" w:themeColor="background2"/>
        <w:left w:val="single" w:sz="4" w:space="7" w:color="E8EDF8" w:themeColor="background2"/>
        <w:bottom w:val="single" w:sz="4" w:space="7" w:color="E8EDF8" w:themeColor="background2"/>
        <w:right w:val="single" w:sz="4" w:space="7" w:color="E8EDF8" w:themeColor="background2"/>
      </w:pBdr>
      <w:shd w:val="clear" w:color="auto" w:fill="E8EDF8" w:themeFill="background2"/>
    </w:pPr>
  </w:style>
  <w:style w:type="character" w:customStyle="1" w:styleId="bwKastenAltKZchn">
    <w:name w:val="bw_Kasten (Alt + K) Zchn"/>
    <w:basedOn w:val="Absatz-Standardschriftart"/>
    <w:link w:val="bwKastenAltK"/>
    <w:rPr>
      <w:rFonts w:cs="Times New Roman"/>
      <w:shd w:val="clear" w:color="auto" w:fill="E8EDF8" w:themeFill="background2"/>
    </w:rPr>
  </w:style>
  <w:style w:type="paragraph" w:customStyle="1" w:styleId="bwNum1Fortsetz">
    <w:name w:val="bw_Num1Fortsetz"/>
    <w:basedOn w:val="Standard"/>
    <w:next w:val="Standard"/>
    <w:link w:val="bwNum1FortsetzZchn"/>
    <w:pPr>
      <w:spacing w:after="140"/>
      <w:ind w:left="340"/>
    </w:pPr>
  </w:style>
  <w:style w:type="character" w:customStyle="1" w:styleId="bwNum1FortsetzZchn">
    <w:name w:val="bw_Num1Fortsetz Zchn"/>
    <w:basedOn w:val="Absatz-Standardschriftart"/>
    <w:link w:val="bwNum1Fortsetz"/>
    <w:rPr>
      <w:rFonts w:cs="Times New Roman"/>
    </w:rPr>
  </w:style>
  <w:style w:type="paragraph" w:customStyle="1" w:styleId="bwNum2Fortsetz">
    <w:name w:val="bw_Num2Fortsetz"/>
    <w:basedOn w:val="Standard"/>
    <w:next w:val="Standard"/>
    <w:link w:val="bwNum2FortsetzZchn"/>
    <w:pPr>
      <w:spacing w:after="140"/>
      <w:ind w:left="1021"/>
    </w:pPr>
  </w:style>
  <w:style w:type="character" w:customStyle="1" w:styleId="bwNum2FortsetzZchn">
    <w:name w:val="bw_Num2Fortsetz Zchn"/>
    <w:basedOn w:val="Absatz-Standardschriftart"/>
    <w:link w:val="bwNum2Fortsetz"/>
    <w:rPr>
      <w:rFonts w:cs="Times New Roman"/>
    </w:rPr>
  </w:style>
  <w:style w:type="paragraph" w:customStyle="1" w:styleId="bwNum3Fortsetz">
    <w:name w:val="bw_Num3Fortsetz"/>
    <w:basedOn w:val="Standard"/>
    <w:next w:val="Standard"/>
    <w:link w:val="bwNum3FortsetzZchn"/>
    <w:pPr>
      <w:spacing w:after="140"/>
      <w:ind w:left="1814"/>
    </w:pPr>
  </w:style>
  <w:style w:type="character" w:customStyle="1" w:styleId="bwNum3FortsetzZchn">
    <w:name w:val="bw_Num3Fortsetz Zchn"/>
    <w:basedOn w:val="Absatz-Standardschriftart"/>
    <w:link w:val="bwNum3Fortsetz"/>
    <w:rPr>
      <w:rFonts w:cs="Times New Roman"/>
    </w:rPr>
  </w:style>
  <w:style w:type="paragraph" w:customStyle="1" w:styleId="bwNummer1">
    <w:name w:val="bw_Nummer1"/>
    <w:basedOn w:val="Standard"/>
    <w:next w:val="Standard"/>
    <w:link w:val="bwNummer1Zchn"/>
    <w:pPr>
      <w:numPr>
        <w:ilvl w:val="1"/>
        <w:numId w:val="18"/>
      </w:numPr>
      <w:spacing w:after="140"/>
    </w:pPr>
  </w:style>
  <w:style w:type="character" w:customStyle="1" w:styleId="bwNummer1Zchn">
    <w:name w:val="bw_Nummer1 Zchn"/>
    <w:basedOn w:val="Absatz-Standardschriftart"/>
    <w:link w:val="bwNummer1"/>
    <w:rPr>
      <w:rFonts w:cs="Times New Roman"/>
    </w:rPr>
  </w:style>
  <w:style w:type="paragraph" w:customStyle="1" w:styleId="bwNummer2">
    <w:name w:val="bw_Nummer2"/>
    <w:basedOn w:val="Standard"/>
    <w:next w:val="Standard"/>
    <w:link w:val="bwNummer2Zchn"/>
    <w:pPr>
      <w:numPr>
        <w:ilvl w:val="2"/>
        <w:numId w:val="18"/>
      </w:numPr>
      <w:spacing w:after="140"/>
    </w:pPr>
  </w:style>
  <w:style w:type="character" w:customStyle="1" w:styleId="bwNummer2Zchn">
    <w:name w:val="bw_Nummer2 Zchn"/>
    <w:basedOn w:val="Absatz-Standardschriftart"/>
    <w:link w:val="bwNummer2"/>
    <w:rPr>
      <w:rFonts w:cs="Times New Roman"/>
    </w:rPr>
  </w:style>
  <w:style w:type="paragraph" w:customStyle="1" w:styleId="bwNummer3">
    <w:name w:val="bw_Nummer3"/>
    <w:basedOn w:val="Standard"/>
    <w:next w:val="Standard"/>
    <w:link w:val="bwNummer3Zchn"/>
    <w:pPr>
      <w:numPr>
        <w:ilvl w:val="3"/>
        <w:numId w:val="18"/>
      </w:numPr>
      <w:spacing w:after="140"/>
    </w:pPr>
  </w:style>
  <w:style w:type="character" w:customStyle="1" w:styleId="bwNummer3Zchn">
    <w:name w:val="bw_Nummer3 Zchn"/>
    <w:basedOn w:val="Absatz-Standardschriftart"/>
    <w:link w:val="bwNummer3"/>
    <w:rPr>
      <w:rFonts w:cs="Times New Roman"/>
    </w:rPr>
  </w:style>
  <w:style w:type="paragraph" w:customStyle="1" w:styleId="bwStandardVorNumAltV">
    <w:name w:val="bw_StandardVorNum (Alt + V)"/>
    <w:basedOn w:val="Standard"/>
    <w:link w:val="bwStandardVorNumAltVZchn"/>
    <w:pPr>
      <w:numPr>
        <w:numId w:val="18"/>
      </w:numPr>
    </w:pPr>
  </w:style>
  <w:style w:type="character" w:customStyle="1" w:styleId="bwStandardVorNumAltVZchn">
    <w:name w:val="bw_StandardVorNum (Alt + V) Zchn"/>
    <w:basedOn w:val="Absatz-Standardschriftart"/>
    <w:link w:val="bwStandardVorNumAltV"/>
    <w:rPr>
      <w:rFonts w:cs="Times New Roman"/>
    </w:rPr>
  </w:style>
  <w:style w:type="paragraph" w:customStyle="1" w:styleId="bwZwiTi1AltE">
    <w:name w:val="bw_ZwiTi1 (Alt + E)"/>
    <w:next w:val="Standard"/>
    <w:link w:val="bwZwiTi1AltEZchn"/>
    <w:pPr>
      <w:keepNext/>
      <w:keepLines/>
      <w:spacing w:after="560" w:line="360" w:lineRule="atLeast"/>
    </w:pPr>
    <w:rPr>
      <w:rFonts w:asciiTheme="majorHAnsi" w:hAnsiTheme="majorHAnsi" w:cstheme="majorHAnsi"/>
      <w:b/>
      <w:sz w:val="32"/>
      <w:szCs w:val="32"/>
    </w:rPr>
  </w:style>
  <w:style w:type="character" w:customStyle="1" w:styleId="bwZwiTi1AltEZchn">
    <w:name w:val="bw_ZwiTi1 (Alt + E) Zchn"/>
    <w:basedOn w:val="Absatz-Standardschriftart"/>
    <w:link w:val="bwZwiTi1AltE"/>
    <w:rPr>
      <w:rFonts w:asciiTheme="majorHAnsi" w:hAnsiTheme="majorHAnsi" w:cstheme="majorHAnsi"/>
      <w:b/>
      <w:sz w:val="32"/>
      <w:szCs w:val="32"/>
    </w:rPr>
  </w:style>
  <w:style w:type="paragraph" w:customStyle="1" w:styleId="bwZwiTi2AltZ">
    <w:name w:val="bw_ZwiTi2 (Alt + Z)"/>
    <w:next w:val="Standard"/>
    <w:link w:val="bwZwiTi2AltZZchn"/>
    <w:pPr>
      <w:keepNext/>
      <w:keepLines/>
      <w:spacing w:after="140" w:line="280" w:lineRule="atLeast"/>
    </w:pPr>
    <w:rPr>
      <w:rFonts w:asciiTheme="majorHAnsi" w:hAnsiTheme="majorHAnsi" w:cstheme="majorHAnsi"/>
      <w:b/>
      <w:sz w:val="26"/>
      <w:szCs w:val="26"/>
    </w:rPr>
  </w:style>
  <w:style w:type="character" w:customStyle="1" w:styleId="bwZwiTi2AltZZchn">
    <w:name w:val="bw_ZwiTi2 (Alt + Z) Zchn"/>
    <w:basedOn w:val="bwZwiTi1AltEZchn"/>
    <w:link w:val="bwZwiTi2AltZ"/>
    <w:rPr>
      <w:rFonts w:asciiTheme="majorHAnsi" w:hAnsiTheme="majorHAnsi" w:cstheme="majorHAnsi"/>
      <w:b/>
      <w:sz w:val="26"/>
      <w:szCs w:val="26"/>
    </w:rPr>
  </w:style>
  <w:style w:type="paragraph" w:customStyle="1" w:styleId="bwZwiTi3AltD">
    <w:name w:val="bw_ZwiTi3 (Alt + D)"/>
    <w:next w:val="Standard"/>
    <w:link w:val="bwZwiTi3AltDZchn"/>
    <w:pPr>
      <w:keepNext/>
      <w:spacing w:after="0" w:line="280" w:lineRule="atLeast"/>
    </w:pPr>
    <w:rPr>
      <w:rFonts w:asciiTheme="majorHAnsi" w:hAnsiTheme="majorHAnsi" w:cs="Times New Roman"/>
      <w:b/>
    </w:rPr>
  </w:style>
  <w:style w:type="character" w:customStyle="1" w:styleId="bwZwiTi3AltDZchn">
    <w:name w:val="bw_ZwiTi3 (Alt + D) Zchn"/>
    <w:basedOn w:val="Absatz-Standardschriftart"/>
    <w:link w:val="bwZwiTi3AltD"/>
    <w:rPr>
      <w:rFonts w:asciiTheme="majorHAnsi" w:hAnsiTheme="majorHAnsi" w:cs="Times New Roman"/>
      <w:b/>
    </w:rPr>
  </w:style>
  <w:style w:type="character" w:customStyle="1" w:styleId="berschrift1Zchn">
    <w:name w:val="Überschrift 1 Zchn"/>
    <w:aliases w:val="bw_Überschrift1 (Alt + 1) Zchn"/>
    <w:basedOn w:val="Absatz-Standardschriftart"/>
    <w:link w:val="berschrift1"/>
    <w:uiPriority w:val="9"/>
    <w:rPr>
      <w:rFonts w:asciiTheme="majorHAnsi" w:eastAsiaTheme="majorEastAsia" w:hAnsiTheme="majorHAnsi" w:cstheme="majorBidi"/>
      <w:b/>
      <w:bCs/>
      <w:color w:val="0072B8" w:themeColor="accent1"/>
      <w:sz w:val="32"/>
      <w:szCs w:val="28"/>
    </w:rPr>
  </w:style>
  <w:style w:type="character" w:customStyle="1" w:styleId="berschrift2Zchn">
    <w:name w:val="Überschrift 2 Zchn"/>
    <w:aliases w:val="bw_Überschrift2 (Alt + 2) Zchn"/>
    <w:basedOn w:val="Absatz-Standardschriftart"/>
    <w:link w:val="berschrift2"/>
    <w:uiPriority w:val="9"/>
    <w:rPr>
      <w:rFonts w:asciiTheme="majorHAnsi" w:eastAsiaTheme="majorEastAsia" w:hAnsiTheme="majorHAnsi" w:cstheme="majorBidi"/>
      <w:b/>
      <w:bCs/>
      <w:color w:val="0072B8" w:themeColor="accent1"/>
      <w:sz w:val="26"/>
      <w:szCs w:val="26"/>
    </w:rPr>
  </w:style>
  <w:style w:type="character" w:customStyle="1" w:styleId="berschrift3Zchn">
    <w:name w:val="Überschrift 3 Zchn"/>
    <w:aliases w:val="bw_Überschrift3 (Alt + 3) Zchn"/>
    <w:basedOn w:val="Absatz-Standardschriftart"/>
    <w:link w:val="berschrift3"/>
    <w:uiPriority w:val="9"/>
    <w:rPr>
      <w:rFonts w:asciiTheme="majorHAnsi" w:eastAsiaTheme="majorEastAsia" w:hAnsiTheme="majorHAnsi" w:cstheme="majorBidi"/>
      <w:b/>
      <w:bCs/>
      <w:color w:val="0072B8" w:themeColor="accent1"/>
    </w:rPr>
  </w:style>
  <w:style w:type="paragraph" w:styleId="Titel">
    <w:name w:val="Title"/>
    <w:aliases w:val="bw_Titel (Alt + T)"/>
    <w:next w:val="Standard"/>
    <w:link w:val="TitelZchn"/>
    <w:uiPriority w:val="10"/>
    <w:qFormat/>
    <w:pPr>
      <w:pBdr>
        <w:bottom w:val="single" w:sz="8" w:space="4" w:color="0072B8" w:themeColor="accent1"/>
      </w:pBdr>
      <w:spacing w:after="280" w:line="240" w:lineRule="auto"/>
      <w:contextualSpacing/>
    </w:pPr>
    <w:rPr>
      <w:rFonts w:asciiTheme="majorHAnsi" w:eastAsiaTheme="majorEastAsia" w:hAnsiTheme="majorHAnsi" w:cstheme="majorBidi"/>
      <w:b/>
      <w:color w:val="0072B8" w:themeColor="accent1"/>
      <w:spacing w:val="5"/>
      <w:kern w:val="28"/>
      <w:sz w:val="42"/>
      <w:szCs w:val="52"/>
    </w:rPr>
  </w:style>
  <w:style w:type="character" w:customStyle="1" w:styleId="TitelZchn">
    <w:name w:val="Titel Zchn"/>
    <w:aliases w:val="bw_Titel (Alt + T) Zchn"/>
    <w:basedOn w:val="Absatz-Standardschriftart"/>
    <w:link w:val="Titel"/>
    <w:uiPriority w:val="10"/>
    <w:rPr>
      <w:rFonts w:asciiTheme="majorHAnsi" w:eastAsiaTheme="majorEastAsia" w:hAnsiTheme="majorHAnsi" w:cstheme="majorBidi"/>
      <w:b/>
      <w:color w:val="0072B8" w:themeColor="accent1"/>
      <w:spacing w:val="5"/>
      <w:kern w:val="28"/>
      <w:sz w:val="42"/>
      <w:szCs w:val="52"/>
    </w:rPr>
  </w:style>
  <w:style w:type="paragraph" w:styleId="Verzeichnis1">
    <w:name w:val="toc 1"/>
    <w:aliases w:val="bw_Verzeichnis1"/>
    <w:next w:val="Standard"/>
    <w:uiPriority w:val="39"/>
    <w:pPr>
      <w:tabs>
        <w:tab w:val="right" w:leader="dot" w:pos="9061"/>
      </w:tabs>
      <w:spacing w:after="140" w:line="280" w:lineRule="atLeast"/>
    </w:pPr>
    <w:rPr>
      <w:rFonts w:eastAsiaTheme="minorEastAsia"/>
      <w:b/>
      <w:lang w:eastAsia="de-DE"/>
    </w:rPr>
  </w:style>
  <w:style w:type="paragraph" w:styleId="Verzeichnis2">
    <w:name w:val="toc 2"/>
    <w:aliases w:val="bw_Verzeichnis2"/>
    <w:next w:val="Standard"/>
    <w:uiPriority w:val="39"/>
    <w:pPr>
      <w:tabs>
        <w:tab w:val="right" w:leader="dot" w:pos="9061"/>
      </w:tabs>
      <w:spacing w:after="140" w:line="280" w:lineRule="atLeast"/>
      <w:ind w:left="284"/>
    </w:pPr>
    <w:rPr>
      <w:rFonts w:eastAsiaTheme="minorEastAsia"/>
      <w:lang w:eastAsia="de-DE"/>
    </w:rPr>
  </w:style>
  <w:style w:type="paragraph" w:styleId="Verzeichnis3">
    <w:name w:val="toc 3"/>
    <w:aliases w:val="bw_Verzeichnis3"/>
    <w:next w:val="Standard"/>
    <w:uiPriority w:val="39"/>
    <w:pPr>
      <w:tabs>
        <w:tab w:val="right" w:leader="dot" w:pos="9061"/>
      </w:tabs>
      <w:spacing w:after="140" w:line="280" w:lineRule="atLeast"/>
      <w:ind w:left="567"/>
    </w:pPr>
    <w:rPr>
      <w:rFonts w:eastAsiaTheme="minorEastAsia"/>
      <w:lang w:eastAsia="de-DE"/>
    </w:rPr>
  </w:style>
  <w:style w:type="character" w:styleId="Hyperlink">
    <w:name w:val="Hyperlink"/>
    <w:aliases w:val="bw_Hyperlink"/>
    <w:basedOn w:val="Absatz-Standardschriftart"/>
    <w:uiPriority w:val="99"/>
    <w:unhideWhenUsed/>
    <w:rPr>
      <w:color w:val="0072B8" w:themeColor="hyperlink"/>
      <w:u w:val="single"/>
    </w:rPr>
  </w:style>
  <w:style w:type="numbering" w:customStyle="1" w:styleId="bwAufzhlung">
    <w:name w:val="bw_Aufzählung"/>
    <w:basedOn w:val="KeineListe"/>
    <w:uiPriority w:val="99"/>
    <w:pPr>
      <w:numPr>
        <w:numId w:val="1"/>
      </w:numPr>
    </w:pPr>
  </w:style>
  <w:style w:type="numbering" w:customStyle="1" w:styleId="bwNummerierung">
    <w:name w:val="bw_Nummerierung"/>
    <w:basedOn w:val="KeineListe"/>
    <w:uiPriority w:val="99"/>
    <w:pPr>
      <w:numPr>
        <w:numId w:val="4"/>
      </w:numPr>
    </w:pPr>
  </w:style>
  <w:style w:type="table" w:customStyle="1" w:styleId="bwTabelle-mit-Rahmen">
    <w:name w:val="bw_Tabelle-mit-Rahmen"/>
    <w:basedOn w:val="NormaleTabelle"/>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 w:type="dxa"/>
        <w:right w:w="6" w:type="dxa"/>
      </w:tblCellMar>
    </w:tblPr>
  </w:style>
  <w:style w:type="table" w:customStyle="1" w:styleId="bwTabelle-mit-Rahmen-mit-Einzug">
    <w:name w:val="bw_Tabelle-mit-Rahmen-mit-Einzug"/>
    <w:basedOn w:val="NormaleTabelle"/>
    <w:uiPriority w:val="99"/>
    <w:pPr>
      <w:spacing w:after="0" w:line="240" w:lineRule="auto"/>
      <w:ind w:left="102" w:right="10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 w:type="dxa"/>
        <w:right w:w="6" w:type="dxa"/>
      </w:tblCellMar>
    </w:tblPr>
  </w:style>
  <w:style w:type="table" w:customStyle="1" w:styleId="bwTabelle-ohne-Rahmen">
    <w:name w:val="bw_Tabelle-ohne-Rahmen"/>
    <w:basedOn w:val="NormaleTabelle"/>
    <w:uiPriority w:val="99"/>
    <w:pPr>
      <w:spacing w:after="0" w:line="240" w:lineRule="auto"/>
    </w:p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035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W-Design">
  <a:themeElements>
    <a:clrScheme name="Berliner Wasserbetriebe">
      <a:dk1>
        <a:srgbClr val="333333"/>
      </a:dk1>
      <a:lt1>
        <a:sysClr val="window" lastClr="FFFFFF"/>
      </a:lt1>
      <a:dk2>
        <a:srgbClr val="0072B8"/>
      </a:dk2>
      <a:lt2>
        <a:srgbClr val="E8EDF8"/>
      </a:lt2>
      <a:accent1>
        <a:srgbClr val="0072B8"/>
      </a:accent1>
      <a:accent2>
        <a:srgbClr val="89B740"/>
      </a:accent2>
      <a:accent3>
        <a:srgbClr val="6A6A5C"/>
      </a:accent3>
      <a:accent4>
        <a:srgbClr val="BCCCE9"/>
      </a:accent4>
      <a:accent5>
        <a:srgbClr val="DCE7C1"/>
      </a:accent5>
      <a:accent6>
        <a:srgbClr val="D1D0C8"/>
      </a:accent6>
      <a:hlink>
        <a:srgbClr val="0072B8"/>
      </a:hlink>
      <a:folHlink>
        <a:srgbClr val="89B740"/>
      </a:folHlink>
    </a:clrScheme>
    <a:fontScheme name="BW_Schriften.xml">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lIns="72000" tIns="72000" rIns="72000" bIns="72000" rtlCol="0" anchor="ctr"/>
      <a:lstStyle>
        <a:defPPr algn="ctr">
          <a:lnSpc>
            <a:spcPct val="90000"/>
          </a:lnSpc>
          <a:spcAft>
            <a:spcPts val="1000"/>
          </a:spcAft>
          <a:defRPr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19050">
          <a:solidFill>
            <a:schemeClr val="accent1"/>
          </a:solidFill>
          <a:miter lim="800000"/>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dirty="0" smtClean="0"/>
        </a:defPPr>
      </a:lstStyle>
    </a:txDef>
  </a:objectDefaults>
  <a:extraClrSchemeLst/>
  <a:custClrLst>
    <a:custClr name="BWB Rot">
      <a:srgbClr val="AF2422"/>
    </a:custClr>
  </a:custClrLst>
  <a:extLst>
    <a:ext uri="{05A4C25C-085E-4340-85A3-A5531E510DB2}">
      <thm15:themeFamily xmlns:thm15="http://schemas.microsoft.com/office/thememl/2012/main" name="BW-Design" id="{222632CB-805A-4926-AC42-3DB6A8208D25}" vid="{E9170970-5169-408C-8F5E-B35F55E06BF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1185</Words>
  <Characters>7467</Characters>
  <Application>Microsoft Office Word</Application>
  <DocSecurity>0</DocSecurity>
  <Lines>62</Lines>
  <Paragraphs>17</Paragraphs>
  <ScaleCrop>false</ScaleCrop>
  <Company>BW-Gruppe</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Uhde</dc:creator>
  <cp:keywords/>
  <dc:description/>
  <cp:lastModifiedBy>Nicole Uhde</cp:lastModifiedBy>
  <cp:revision>1</cp:revision>
  <dcterms:created xsi:type="dcterms:W3CDTF">2025-10-11T08:11:00Z</dcterms:created>
  <dcterms:modified xsi:type="dcterms:W3CDTF">2025-10-11T08:12:00Z</dcterms:modified>
</cp:coreProperties>
</file>