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74527CBC" w:rsidP="4B808578" w:rsidRDefault="74527CBC" w14:paraId="5798D577" w14:textId="5E1E6E36">
      <w:pPr>
        <w:pStyle w:val="Heading1"/>
        <w:ind w:left="708" w:firstLine="708"/>
      </w:pPr>
      <w:r w:rsidR="7BB1BBE0">
        <w:rPr/>
        <w:t xml:space="preserve"> </w:t>
      </w:r>
    </w:p>
    <w:p w:rsidR="000207F1" w:rsidP="00620794" w:rsidRDefault="00423FB7" w14:paraId="4C7BEA70" w14:textId="52E99B4E">
      <w:pPr>
        <w:pStyle w:val="Heading1"/>
      </w:pPr>
      <w:r w:rsidR="00423FB7">
        <w:rPr/>
        <w:t>Jalgpalli ennustuste mod</w:t>
      </w:r>
      <w:r w:rsidR="00423FB7">
        <w:rPr/>
        <w:t>elleerimine</w:t>
      </w:r>
    </w:p>
    <w:p w:rsidR="00115A29" w:rsidRDefault="00115A29" w14:paraId="7C8AFB65" w14:textId="38CA5A8C"/>
    <w:p w:rsidR="0762DCA7" w:rsidRDefault="0762DCA7" w14:paraId="680BFC91" w14:textId="6C41CDB9"/>
    <w:p w:rsidR="0762DCA7" w:rsidRDefault="0762DCA7" w14:paraId="5391EB96" w14:textId="164AA74D"/>
    <w:p w:rsidR="0762DCA7" w:rsidRDefault="0762DCA7" w14:paraId="3011F517" w14:textId="74EAE38F"/>
    <w:p w:rsidR="00BE36A8" w:rsidP="00115A29" w:rsidRDefault="00423FB7" w14:paraId="610A5E5E" w14:textId="2F4170A3">
      <w:pPr>
        <w:pStyle w:val="Heading2"/>
      </w:pPr>
      <w:r>
        <w:lastRenderedPageBreak/>
        <w:t>Sisend</w:t>
      </w:r>
    </w:p>
    <w:p>
      <w:r>
        <w:rPr>
          <w:b/>
        </w:rPr>
        <w:t>Jalgpalli ennustused</w:t>
      </w:r>
    </w:p>
    <w:p>
      <w:r>
        <w:t xml:space="preserve">Ennustuste jaoks on tarvis hoida süsteemis võistkondi ja turniire. Igal turniiril saab ennustusi tegema hakata alates kaheksandikfinaalidest. Igas mängus osaleb kaks võistkonda ning igal mängul on olemas alguse aeg. Ennustusi saab teha kuni mängu alguseni. Samuti tuleb arvestada, et ennustusi saab teha ainult mängudele, milles osalevad võistkonnad on teada.</w:t>
      </w:r>
    </w:p>
    <w:p>
      <w:r>
        <w:t xml:space="preserve">Jalgpalli ennustustel lähtume suurturniiride olulisematest finaalidest. Finaalid on järgmised: Round of 16, Quarter finals, Semi finals, Final.</w:t>
      </w:r>
    </w:p>
    <w:p>
      <w:r>
        <w:t xml:space="preserve">Kasutaja saab teha ennustuse mõlema võistkonna punktide kohta.</w:t>
      </w:r>
    </w:p>
    <w:p>
      <w:r>
        <w:t xml:space="preserve">Kui mäng on toimunud, siis arvutatakse kasutajate punktid järgmiselt:</w:t>
      </w:r>
    </w:p>
    <w:p>
      <w:pPr>
        <w:pStyle w:val="ListParagraph"/>
        <w:numPr>
          <w:ilvl w:val="0"/>
          <w:numId w:val="1"/>
        </w:numPr>
      </w:pPr>
      <w:r>
        <w:t xml:space="preserve">Täpne väravate ennustus – 10 punkti</w:t>
      </w:r>
    </w:p>
    <w:p>
      <w:pPr>
        <w:pStyle w:val="ListParagraph"/>
        <w:numPr>
          <w:ilvl w:val="0"/>
          <w:numId w:val="1"/>
        </w:numPr>
      </w:pPr>
      <w:r>
        <w:t xml:space="preserve">Võitja või kaotaja väravate ennustus – 5 punkti</w:t>
      </w:r>
    </w:p>
    <w:p>
      <w:pPr>
        <w:pStyle w:val="ListParagraph"/>
        <w:numPr>
          <w:ilvl w:val="0"/>
          <w:numId w:val="1"/>
        </w:numPr>
      </w:pPr>
      <w:r>
        <w:t xml:space="preserve">Võitja/kaotaja ennustus – 3 punkti</w:t>
      </w:r>
    </w:p>
    <w:p>
      <w:r>
        <w:t xml:space="preserve">Meeskondade, turniiride ja mängude andmeid saab muuta ainult administraator. Ülejäänud kasutajad saavad teha ennustusi.</w:t>
      </w:r>
    </w:p>
    <w:p>
      <w:r>
        <w:t xml:space="preserve">Iga turniiri jaoks soovime ka ennustuste edetabelit, mida kasutajad saavad jooksvalt jälgida.</w:t>
      </w:r>
    </w:p>
    <w:p w:rsidR="00423FB7" w:rsidP="00115A29" w:rsidRDefault="00423FB7" w14:paraId="2867F700" w14:textId="1A471899">
      <w:pPr>
        <w:pStyle w:val="Heading2"/>
      </w:pPr>
      <w:r w:rsidR="00423FB7">
        <w:rPr/>
        <w:t>Klass</w:t>
      </w:r>
      <w:r w:rsidR="5222A1FB">
        <w:rPr/>
        <w:t>id</w:t>
      </w:r>
    </w:p>
    <w:p w:rsidR="00BE36A8" w:rsidRDefault="00423FB7" w14:paraId="41821238" w14:textId="06CCF33E">
      <w:r>
        <w:rPr>
          <w:noProof/>
        </w:rPr>
        <w:drawing>
          <wp:inline distT="0" distB="0" distL="0" distR="0" wp14:anchorId="09F9CDB2" wp14:editId="5F061127">
            <wp:extent cx="5731510" cy="5007529"/>
            <wp:effectExtent l="0" t="0" r="0" b="0"/>
            <wp:docPr id="1" name="Picture 1" descr="Jalgpalli ennustuste klassisk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algpalli ennustuste klassiskee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007529"/>
                    </a:xfrm>
                    <a:prstGeom prst="rect">
                      <a:avLst/>
                    </a:prstGeom>
                    <a:noFill/>
                    <a:ln>
                      <a:noFill/>
                    </a:ln>
                  </pic:spPr>
                </pic:pic>
              </a:graphicData>
            </a:graphic>
          </wp:inline>
        </w:drawing>
      </w:r>
    </w:p>
    <w:p w:rsidR="00423FB7" w:rsidP="00115A29" w:rsidRDefault="00423FB7" w14:paraId="6789BD75" w14:textId="40C4A856">
      <w:pPr>
        <w:pStyle w:val="Heading2"/>
      </w:pPr>
      <w:r>
        <w:t>Omadused</w:t>
      </w:r>
    </w:p>
    <w:tbl>
      <w:tblPr>
        <w:tblStyle w:val="TableGrid"/>
        <w:tblW w:w="9016" w:type="dxa"/>
        <w:tblLayout w:type="fixed"/>
        <w:tblLook w:val="04A0" w:firstRow="1" w:lastRow="0" w:firstColumn="1" w:lastColumn="0" w:noHBand="0" w:noVBand="1"/>
      </w:tblPr>
      <w:tblGrid>
        <w:gridCol w:w="2500"/>
        <w:gridCol w:w="1700"/>
        <w:gridCol w:w="1100"/>
        <w:gridCol w:w="1800"/>
        <w:gridCol w:w="1916"/>
      </w:tblGrid>
      <w:tr>
        <w:trPr>
          <w:cantSplit/>
          <w:trHeight w:val="300"/>
          <w:tblHeader/>
        </w:trPr>
        <w:tc>
          <w:tcPr>
            <w:tcW w:w="2500" w:type="dxa"/>
            <w:shd w:val="clear" w:color="auto" w:fill="D9E2F3"/>
            <w:tcMar/>
          </w:tcPr>
          <w:p>
            <w:pPr>
              <w:jc w:val="center"/>
            </w:pPr>
            <w:r>
              <w:rPr>
                <w:b/>
              </w:rPr>
              <w:t xml:space="preserve">Omadus</w:t>
            </w:r>
          </w:p>
        </w:tc>
        <w:tc>
          <w:tcPr>
            <w:tcW w:w="1700" w:type="dxa"/>
            <w:shd w:val="clear" w:color="auto" w:fill="D9E2F3"/>
            <w:tcMar/>
          </w:tcPr>
          <w:p>
            <w:pPr>
              <w:jc w:val="center"/>
            </w:pPr>
            <w:r>
              <w:rPr>
                <w:b/>
              </w:rPr>
              <w:t xml:space="preserve">Tüüp</w:t>
            </w:r>
          </w:p>
        </w:tc>
        <w:tc>
          <w:tcPr>
            <w:tcW w:w="1100" w:type="dxa"/>
            <w:shd w:val="clear" w:color="auto" w:fill="D9E2F3"/>
            <w:tcMar/>
          </w:tcPr>
          <w:p>
            <w:pPr>
              <w:jc w:val="center"/>
            </w:pPr>
            <w:r>
              <w:rPr>
                <w:b/>
              </w:rPr>
              <w:t xml:space="preserve">Pikkus</w:t>
            </w:r>
          </w:p>
        </w:tc>
        <w:tc>
          <w:tcPr>
            <w:tcW w:w="1800" w:type="dxa"/>
            <w:shd w:val="clear" w:color="auto" w:fill="D9E2F3"/>
            <w:tcMar/>
          </w:tcPr>
          <w:p>
            <w:pPr>
              <w:jc w:val="center"/>
            </w:pPr>
            <w:r>
              <w:rPr>
                <w:b/>
              </w:rPr>
              <w:t xml:space="preserve">Kohustuslik</w:t>
            </w:r>
          </w:p>
        </w:tc>
        <w:tc>
          <w:tcPr>
            <w:tcW w:w="1916" w:type="dxa"/>
            <w:shd w:val="clear" w:color="auto" w:fill="D9E2F3"/>
            <w:tcMar/>
          </w:tcPr>
          <w:p>
            <w:pPr>
              <w:jc w:val="center"/>
            </w:pPr>
            <w:r>
              <w:rPr>
                <w:b/>
              </w:rPr>
              <w:t xml:space="preserve">Unikaalne</w:t>
            </w:r>
          </w:p>
        </w:tc>
      </w:tr>
      <w:tr>
        <w:trPr>
          <w:cantSplit/>
          <w:trHeight w:val="300"/>
        </w:trPr>
        <w:tc>
          <w:tcPr>
            <w:tcW w:w="9016" w:type="dxa"/>
            <w:gridSpan w:val="5"/>
            <w:shd w:val="clear" w:color="auto" w:fill="F2F2F2"/>
            <w:tcMar/>
          </w:tcPr>
          <w:p>
            <w:pPr>
              <w:jc w:val="center"/>
            </w:pPr>
            <w:r>
              <w:rPr>
                <w:b/>
              </w:rPr>
              <w:t xml:space="preserve">User</w:t>
            </w:r>
          </w:p>
        </w:tc>
      </w:tr>
      <w:tr>
        <w:trPr>
          <w:cantSplit/>
          <w:trHeight w:val="300"/>
        </w:trPr>
        <w:tc>
          <w:tcPr>
            <w:tcW w:w="2500" w:type="dxa"/>
            <w:tcMar/>
          </w:tcPr>
          <w:p>
            <w:r>
              <w:t xml:space="preserve">Id</w:t>
            </w:r>
          </w:p>
        </w:tc>
        <w:tc>
          <w:tcPr>
            <w:tcW w:w="1700" w:type="dxa"/>
            <w:tcMar/>
          </w:tcPr>
          <w:p>
            <w:r>
              <w:t xml:space="preserve">int</w:t>
            </w:r>
          </w:p>
        </w:tc>
        <w:tc>
          <w:tcPr>
            <w:tcW w:w="1100" w:type="dxa"/>
            <w:tcMar/>
          </w:tcP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2500" w:type="dxa"/>
            <w:tcMar/>
          </w:tcPr>
          <w:p>
            <w:r>
              <w:t xml:space="preserve">Name</w:t>
            </w:r>
          </w:p>
        </w:tc>
        <w:tc>
          <w:tcPr>
            <w:tcW w:w="1700" w:type="dxa"/>
            <w:tcMar/>
          </w:tcPr>
          <w:p>
            <w:r>
              <w:t xml:space="preserve">string</w:t>
            </w:r>
          </w:p>
        </w:tc>
        <w:tc>
          <w:tcPr>
            <w:tcW w:w="1100" w:type="dxa"/>
            <w:tcMar/>
          </w:tcPr>
          <w:p>
            <w:r>
              <w:t xml:space="preserve">100</w:t>
            </w:r>
          </w:p>
        </w:tc>
        <w:tc>
          <w:tcPr>
            <w:tcW w:w="1800" w:type="dxa"/>
            <w:tcMar/>
          </w:tcPr>
          <w:p>
            <w:pPr>
              <w:jc w:val="center"/>
            </w:pPr>
            <w:r>
              <w:t xml:space="preserve">+</w:t>
            </w:r>
          </w:p>
        </w:tc>
        <w:tc>
          <w:tcPr>
            <w:tcW w:w="1916" w:type="dxa"/>
            <w:tcMar/>
          </w:tcPr>
          <w:p>
            <w:pPr>
              <w:jc w:val="center"/>
            </w:pPr>
          </w:p>
        </w:tc>
      </w:tr>
      <w:tr>
        <w:trPr>
          <w:cantSplit/>
          <w:trHeight w:val="300"/>
        </w:trPr>
        <w:tc>
          <w:tcPr>
            <w:tcW w:w="2500" w:type="dxa"/>
            <w:tcMar/>
          </w:tcPr>
          <w:p>
            <w:r>
              <w:t xml:space="preserve">Email</w:t>
            </w:r>
          </w:p>
        </w:tc>
        <w:tc>
          <w:tcPr>
            <w:tcW w:w="1700" w:type="dxa"/>
            <w:tcMar/>
          </w:tcPr>
          <w:p>
            <w:r>
              <w:t xml:space="preserve">string</w:t>
            </w:r>
          </w:p>
        </w:tc>
        <w:tc>
          <w:tcPr>
            <w:tcW w:w="1100" w:type="dxa"/>
            <w:tcMar/>
          </w:tcPr>
          <w:p>
            <w:r>
              <w:t xml:space="preserve">100</w:t>
            </w: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2500" w:type="dxa"/>
            <w:tcMar/>
          </w:tcPr>
          <w:p>
            <w:r>
              <w:t xml:space="preserve">PasswordHash</w:t>
            </w:r>
          </w:p>
        </w:tc>
        <w:tc>
          <w:tcPr>
            <w:tcW w:w="1700" w:type="dxa"/>
            <w:tcMar/>
          </w:tcPr>
          <w:p>
            <w:r>
              <w:t xml:space="preserve">string</w:t>
            </w:r>
          </w:p>
        </w:tc>
        <w:tc>
          <w:tcPr>
            <w:tcW w:w="1100" w:type="dxa"/>
            <w:tcMar/>
          </w:tcPr>
          <w:p>
            <w:r>
              <w:t xml:space="preserve">255</w:t>
            </w:r>
          </w:p>
        </w:tc>
        <w:tc>
          <w:tcPr>
            <w:tcW w:w="1800" w:type="dxa"/>
            <w:tcMar/>
          </w:tcPr>
          <w:p>
            <w:pPr>
              <w:jc w:val="center"/>
            </w:pPr>
            <w:r>
              <w:t xml:space="preserve">+</w:t>
            </w:r>
          </w:p>
        </w:tc>
        <w:tc>
          <w:tcPr>
            <w:tcW w:w="1916" w:type="dxa"/>
            <w:tcMar/>
          </w:tcPr>
          <w:p>
            <w:pPr>
              <w:jc w:val="center"/>
            </w:pPr>
          </w:p>
        </w:tc>
      </w:tr>
      <w:tr>
        <w:trPr>
          <w:cantSplit/>
          <w:trHeight w:val="300"/>
        </w:trPr>
        <w:tc>
          <w:tcPr>
            <w:tcW w:w="2500" w:type="dxa"/>
            <w:tcMar/>
          </w:tcPr>
          <w:p>
            <w:r>
              <w:t xml:space="preserve">Role</w:t>
            </w:r>
          </w:p>
        </w:tc>
        <w:tc>
          <w:tcPr>
            <w:tcW w:w="1700" w:type="dxa"/>
            <w:tcMar/>
          </w:tcPr>
          <w:p>
            <w:r>
              <w:t xml:space="preserve">UserRole</w:t>
            </w:r>
          </w:p>
        </w:tc>
        <w:tc>
          <w:tcPr>
            <w:tcW w:w="1100" w:type="dxa"/>
            <w:tcMar/>
          </w:tcPr>
          <w:p/>
        </w:tc>
        <w:tc>
          <w:tcPr>
            <w:tcW w:w="1800" w:type="dxa"/>
            <w:tcMar/>
          </w:tcPr>
          <w:p>
            <w:pPr>
              <w:jc w:val="center"/>
            </w:pPr>
            <w:r>
              <w:t xml:space="preserve">+</w:t>
            </w:r>
          </w:p>
        </w:tc>
        <w:tc>
          <w:tcPr>
            <w:tcW w:w="1916" w:type="dxa"/>
            <w:tcMar/>
          </w:tcPr>
          <w:p>
            <w:pPr>
              <w:jc w:val="center"/>
            </w:pPr>
          </w:p>
        </w:tc>
      </w:tr>
      <w:tr>
        <w:trPr>
          <w:cantSplit/>
          <w:trHeight w:val="300"/>
        </w:trPr>
        <w:tc>
          <w:tcPr>
            <w:tcW w:w="9016" w:type="dxa"/>
            <w:gridSpan w:val="5"/>
            <w:shd w:val="clear" w:color="auto" w:fill="F2F2F2"/>
            <w:tcMar/>
          </w:tcPr>
          <w:p>
            <w:pPr>
              <w:jc w:val="center"/>
            </w:pPr>
            <w:r>
              <w:rPr>
                <w:b/>
              </w:rPr>
              <w:t xml:space="preserve">Tournament</w:t>
            </w:r>
          </w:p>
        </w:tc>
      </w:tr>
      <w:tr>
        <w:trPr>
          <w:cantSplit/>
          <w:trHeight w:val="300"/>
        </w:trPr>
        <w:tc>
          <w:tcPr>
            <w:tcW w:w="2500" w:type="dxa"/>
            <w:tcMar/>
          </w:tcPr>
          <w:p>
            <w:r>
              <w:t xml:space="preserve">Id</w:t>
            </w:r>
          </w:p>
        </w:tc>
        <w:tc>
          <w:tcPr>
            <w:tcW w:w="1700" w:type="dxa"/>
            <w:tcMar/>
          </w:tcPr>
          <w:p>
            <w:r>
              <w:t xml:space="preserve">int</w:t>
            </w:r>
          </w:p>
        </w:tc>
        <w:tc>
          <w:tcPr>
            <w:tcW w:w="1100" w:type="dxa"/>
            <w:tcMar/>
          </w:tcP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2500" w:type="dxa"/>
            <w:tcMar/>
          </w:tcPr>
          <w:p>
            <w:r>
              <w:t xml:space="preserve">Name</w:t>
            </w:r>
          </w:p>
        </w:tc>
        <w:tc>
          <w:tcPr>
            <w:tcW w:w="1700" w:type="dxa"/>
            <w:tcMar/>
          </w:tcPr>
          <w:p>
            <w:r>
              <w:t xml:space="preserve">string</w:t>
            </w:r>
          </w:p>
        </w:tc>
        <w:tc>
          <w:tcPr>
            <w:tcW w:w="1100" w:type="dxa"/>
            <w:tcMar/>
          </w:tcPr>
          <w:p>
            <w:r>
              <w:t xml:space="preserve">100</w:t>
            </w: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9016" w:type="dxa"/>
            <w:gridSpan w:val="5"/>
            <w:shd w:val="clear" w:color="auto" w:fill="F2F2F2"/>
            <w:tcMar/>
          </w:tcPr>
          <w:p>
            <w:pPr>
              <w:jc w:val="center"/>
            </w:pPr>
            <w:r>
              <w:rPr>
                <w:b/>
              </w:rPr>
              <w:t xml:space="preserve">Team</w:t>
            </w:r>
          </w:p>
        </w:tc>
      </w:tr>
      <w:tr>
        <w:trPr>
          <w:cantSplit/>
          <w:trHeight w:val="300"/>
        </w:trPr>
        <w:tc>
          <w:tcPr>
            <w:tcW w:w="2500" w:type="dxa"/>
            <w:tcMar/>
          </w:tcPr>
          <w:p>
            <w:r>
              <w:t xml:space="preserve">Id</w:t>
            </w:r>
          </w:p>
        </w:tc>
        <w:tc>
          <w:tcPr>
            <w:tcW w:w="1700" w:type="dxa"/>
            <w:tcMar/>
          </w:tcPr>
          <w:p>
            <w:r>
              <w:t xml:space="preserve">int</w:t>
            </w:r>
          </w:p>
        </w:tc>
        <w:tc>
          <w:tcPr>
            <w:tcW w:w="1100" w:type="dxa"/>
            <w:tcMar/>
          </w:tcP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2500" w:type="dxa"/>
            <w:tcMar/>
          </w:tcPr>
          <w:p>
            <w:r>
              <w:t xml:space="preserve">Name</w:t>
            </w:r>
          </w:p>
        </w:tc>
        <w:tc>
          <w:tcPr>
            <w:tcW w:w="1700" w:type="dxa"/>
            <w:tcMar/>
          </w:tcPr>
          <w:p>
            <w:r>
              <w:t xml:space="preserve">string</w:t>
            </w:r>
          </w:p>
        </w:tc>
        <w:tc>
          <w:tcPr>
            <w:tcW w:w="1100" w:type="dxa"/>
            <w:tcMar/>
          </w:tcPr>
          <w:p>
            <w:r>
              <w:t xml:space="preserve">100</w:t>
            </w: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9016" w:type="dxa"/>
            <w:gridSpan w:val="5"/>
            <w:shd w:val="clear" w:color="auto" w:fill="F2F2F2"/>
            <w:tcMar/>
          </w:tcPr>
          <w:p>
            <w:pPr>
              <w:jc w:val="center"/>
            </w:pPr>
            <w:r>
              <w:rPr>
                <w:b/>
              </w:rPr>
              <w:t xml:space="preserve">Match</w:t>
            </w:r>
          </w:p>
        </w:tc>
      </w:tr>
      <w:tr>
        <w:trPr>
          <w:cantSplit/>
          <w:trHeight w:val="300"/>
        </w:trPr>
        <w:tc>
          <w:tcPr>
            <w:tcW w:w="2500" w:type="dxa"/>
            <w:tcMar/>
          </w:tcPr>
          <w:p>
            <w:r>
              <w:t xml:space="preserve">Id</w:t>
            </w:r>
          </w:p>
        </w:tc>
        <w:tc>
          <w:tcPr>
            <w:tcW w:w="1700" w:type="dxa"/>
            <w:tcMar/>
          </w:tcPr>
          <w:p>
            <w:r>
              <w:t xml:space="preserve">int</w:t>
            </w:r>
          </w:p>
        </w:tc>
        <w:tc>
          <w:tcPr>
            <w:tcW w:w="1100" w:type="dxa"/>
            <w:tcMar/>
          </w:tcP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2500" w:type="dxa"/>
            <w:tcMar/>
          </w:tcPr>
          <w:p>
            <w:r>
              <w:t xml:space="preserve">Stage</w:t>
            </w:r>
          </w:p>
        </w:tc>
        <w:tc>
          <w:tcPr>
            <w:tcW w:w="1700" w:type="dxa"/>
            <w:tcMar/>
          </w:tcPr>
          <w:p>
            <w:r>
              <w:t xml:space="preserve">MatchStage</w:t>
            </w:r>
          </w:p>
        </w:tc>
        <w:tc>
          <w:tcPr>
            <w:tcW w:w="1100" w:type="dxa"/>
            <w:tcMar/>
          </w:tcPr>
          <w:p/>
        </w:tc>
        <w:tc>
          <w:tcPr>
            <w:tcW w:w="1800" w:type="dxa"/>
            <w:tcMar/>
          </w:tcPr>
          <w:p>
            <w:pPr>
              <w:jc w:val="center"/>
            </w:pPr>
            <w:r>
              <w:t xml:space="preserve">+</w:t>
            </w:r>
          </w:p>
        </w:tc>
        <w:tc>
          <w:tcPr>
            <w:tcW w:w="1916" w:type="dxa"/>
            <w:tcMar/>
          </w:tcPr>
          <w:p>
            <w:pPr>
              <w:jc w:val="center"/>
            </w:pPr>
          </w:p>
        </w:tc>
      </w:tr>
      <w:tr>
        <w:trPr>
          <w:cantSplit/>
          <w:trHeight w:val="300"/>
        </w:trPr>
        <w:tc>
          <w:tcPr>
            <w:tcW w:w="2500" w:type="dxa"/>
            <w:tcMar/>
          </w:tcPr>
          <w:p>
            <w:r>
              <w:t xml:space="preserve">StartTime</w:t>
            </w:r>
          </w:p>
        </w:tc>
        <w:tc>
          <w:tcPr>
            <w:tcW w:w="1700" w:type="dxa"/>
            <w:tcMar/>
          </w:tcPr>
          <w:p>
            <w:r>
              <w:t xml:space="preserve">DateTime</w:t>
            </w:r>
          </w:p>
        </w:tc>
        <w:tc>
          <w:tcPr>
            <w:tcW w:w="1100" w:type="dxa"/>
            <w:tcMar/>
          </w:tcPr>
          <w:p/>
        </w:tc>
        <w:tc>
          <w:tcPr>
            <w:tcW w:w="1800" w:type="dxa"/>
            <w:tcMar/>
          </w:tcPr>
          <w:p>
            <w:pPr>
              <w:jc w:val="center"/>
            </w:pPr>
            <w:r>
              <w:t xml:space="preserve">+</w:t>
            </w:r>
          </w:p>
        </w:tc>
        <w:tc>
          <w:tcPr>
            <w:tcW w:w="1916" w:type="dxa"/>
            <w:tcMar/>
          </w:tcPr>
          <w:p>
            <w:pPr>
              <w:jc w:val="center"/>
            </w:pPr>
          </w:p>
        </w:tc>
      </w:tr>
      <w:tr>
        <w:trPr>
          <w:cantSplit/>
          <w:trHeight w:val="300"/>
        </w:trPr>
        <w:tc>
          <w:tcPr>
            <w:tcW w:w="2500" w:type="dxa"/>
            <w:tcMar/>
          </w:tcPr>
          <w:p>
            <w:r>
              <w:t xml:space="preserve">HomeTeamGoals</w:t>
            </w:r>
          </w:p>
        </w:tc>
        <w:tc>
          <w:tcPr>
            <w:tcW w:w="1700" w:type="dxa"/>
            <w:tcMar/>
          </w:tcPr>
          <w:p>
            <w:r>
              <w:t xml:space="preserve">int</w:t>
            </w:r>
          </w:p>
        </w:tc>
        <w:tc>
          <w:tcPr>
            <w:tcW w:w="1100" w:type="dxa"/>
            <w:tcMar/>
          </w:tcPr>
          <w:p/>
        </w:tc>
        <w:tc>
          <w:tcPr>
            <w:tcW w:w="1800" w:type="dxa"/>
            <w:tcMar/>
          </w:tcPr>
          <w:p>
            <w:pPr>
              <w:jc w:val="center"/>
            </w:pPr>
          </w:p>
        </w:tc>
        <w:tc>
          <w:tcPr>
            <w:tcW w:w="1916" w:type="dxa"/>
            <w:tcMar/>
          </w:tcPr>
          <w:p>
            <w:pPr>
              <w:jc w:val="center"/>
            </w:pPr>
          </w:p>
        </w:tc>
      </w:tr>
      <w:tr>
        <w:trPr>
          <w:cantSplit/>
          <w:trHeight w:val="300"/>
        </w:trPr>
        <w:tc>
          <w:tcPr>
            <w:tcW w:w="2500" w:type="dxa"/>
            <w:tcMar/>
          </w:tcPr>
          <w:p>
            <w:r>
              <w:t xml:space="preserve">AwayTeamGoals</w:t>
            </w:r>
          </w:p>
        </w:tc>
        <w:tc>
          <w:tcPr>
            <w:tcW w:w="1700" w:type="dxa"/>
            <w:tcMar/>
          </w:tcPr>
          <w:p>
            <w:r>
              <w:t xml:space="preserve">int</w:t>
            </w:r>
          </w:p>
        </w:tc>
        <w:tc>
          <w:tcPr>
            <w:tcW w:w="1100" w:type="dxa"/>
            <w:tcMar/>
          </w:tcPr>
          <w:p/>
        </w:tc>
        <w:tc>
          <w:tcPr>
            <w:tcW w:w="1800" w:type="dxa"/>
            <w:tcMar/>
          </w:tcPr>
          <w:p>
            <w:pPr>
              <w:jc w:val="center"/>
            </w:pPr>
          </w:p>
        </w:tc>
        <w:tc>
          <w:tcPr>
            <w:tcW w:w="1916" w:type="dxa"/>
            <w:tcMar/>
          </w:tcPr>
          <w:p>
            <w:pPr>
              <w:jc w:val="center"/>
            </w:pPr>
          </w:p>
        </w:tc>
      </w:tr>
      <w:tr>
        <w:trPr>
          <w:cantSplit/>
          <w:trHeight w:val="300"/>
        </w:trPr>
        <w:tc>
          <w:tcPr>
            <w:tcW w:w="9016" w:type="dxa"/>
            <w:gridSpan w:val="5"/>
            <w:shd w:val="clear" w:color="auto" w:fill="F2F2F2"/>
            <w:tcMar/>
          </w:tcPr>
          <w:p>
            <w:pPr>
              <w:jc w:val="center"/>
            </w:pPr>
            <w:r>
              <w:rPr>
                <w:b/>
              </w:rPr>
              <w:t xml:space="preserve">Prediction</w:t>
            </w:r>
          </w:p>
        </w:tc>
      </w:tr>
      <w:tr>
        <w:trPr>
          <w:cantSplit/>
          <w:trHeight w:val="300"/>
        </w:trPr>
        <w:tc>
          <w:tcPr>
            <w:tcW w:w="2500" w:type="dxa"/>
            <w:tcMar/>
          </w:tcPr>
          <w:p>
            <w:r>
              <w:t xml:space="preserve">Id</w:t>
            </w:r>
          </w:p>
        </w:tc>
        <w:tc>
          <w:tcPr>
            <w:tcW w:w="1700" w:type="dxa"/>
            <w:tcMar/>
          </w:tcPr>
          <w:p>
            <w:r>
              <w:t xml:space="preserve">int</w:t>
            </w:r>
          </w:p>
        </w:tc>
        <w:tc>
          <w:tcPr>
            <w:tcW w:w="1100" w:type="dxa"/>
            <w:tcMar/>
          </w:tcPr>
          <w:p/>
        </w:tc>
        <w:tc>
          <w:tcPr>
            <w:tcW w:w="1800" w:type="dxa"/>
            <w:tcMar/>
          </w:tcPr>
          <w:p>
            <w:pPr>
              <w:jc w:val="center"/>
            </w:pPr>
            <w:r>
              <w:t xml:space="preserve">+</w:t>
            </w:r>
          </w:p>
        </w:tc>
        <w:tc>
          <w:tcPr>
            <w:tcW w:w="1916" w:type="dxa"/>
            <w:tcMar/>
          </w:tcPr>
          <w:p>
            <w:pPr>
              <w:jc w:val="center"/>
            </w:pPr>
            <w:r>
              <w:t xml:space="preserve">+</w:t>
            </w:r>
          </w:p>
        </w:tc>
      </w:tr>
      <w:tr>
        <w:trPr>
          <w:cantSplit/>
          <w:trHeight w:val="300"/>
        </w:trPr>
        <w:tc>
          <w:tcPr>
            <w:tcW w:w="2500" w:type="dxa"/>
            <w:tcMar/>
          </w:tcPr>
          <w:p>
            <w:r>
              <w:t xml:space="preserve">HomeTeamGoals</w:t>
            </w:r>
          </w:p>
        </w:tc>
        <w:tc>
          <w:tcPr>
            <w:tcW w:w="1700" w:type="dxa"/>
            <w:tcMar/>
          </w:tcPr>
          <w:p>
            <w:r>
              <w:t xml:space="preserve">int</w:t>
            </w:r>
          </w:p>
        </w:tc>
        <w:tc>
          <w:tcPr>
            <w:tcW w:w="1100" w:type="dxa"/>
            <w:tcMar/>
          </w:tcPr>
          <w:p/>
        </w:tc>
        <w:tc>
          <w:tcPr>
            <w:tcW w:w="1800" w:type="dxa"/>
            <w:tcMar/>
          </w:tcPr>
          <w:p>
            <w:pPr>
              <w:jc w:val="center"/>
            </w:pPr>
            <w:r>
              <w:t xml:space="preserve">+</w:t>
            </w:r>
          </w:p>
        </w:tc>
        <w:tc>
          <w:tcPr>
            <w:tcW w:w="1916" w:type="dxa"/>
            <w:tcMar/>
          </w:tcPr>
          <w:p>
            <w:pPr>
              <w:jc w:val="center"/>
            </w:pPr>
          </w:p>
        </w:tc>
      </w:tr>
      <w:tr>
        <w:trPr>
          <w:cantSplit/>
          <w:trHeight w:val="300"/>
        </w:trPr>
        <w:tc>
          <w:tcPr>
            <w:tcW w:w="2500" w:type="dxa"/>
            <w:tcMar/>
          </w:tcPr>
          <w:p>
            <w:r>
              <w:t xml:space="preserve">AwayTeamGoals</w:t>
            </w:r>
          </w:p>
        </w:tc>
        <w:tc>
          <w:tcPr>
            <w:tcW w:w="1700" w:type="dxa"/>
            <w:tcMar/>
          </w:tcPr>
          <w:p>
            <w:r>
              <w:t xml:space="preserve">int</w:t>
            </w:r>
          </w:p>
        </w:tc>
        <w:tc>
          <w:tcPr>
            <w:tcW w:w="1100" w:type="dxa"/>
            <w:tcMar/>
          </w:tcPr>
          <w:p/>
        </w:tc>
        <w:tc>
          <w:tcPr>
            <w:tcW w:w="1800" w:type="dxa"/>
            <w:tcMar/>
          </w:tcPr>
          <w:p>
            <w:pPr>
              <w:jc w:val="center"/>
            </w:pPr>
            <w:r>
              <w:t xml:space="preserve">+</w:t>
            </w:r>
          </w:p>
        </w:tc>
        <w:tc>
          <w:tcPr>
            <w:tcW w:w="1916" w:type="dxa"/>
            <w:tcMar/>
          </w:tcPr>
          <w:p>
            <w:pPr>
              <w:jc w:val="center"/>
            </w:pPr>
          </w:p>
        </w:tc>
      </w:tr>
      <w:tr>
        <w:trPr>
          <w:cantSplit/>
          <w:trHeight w:val="300"/>
        </w:trPr>
        <w:tc>
          <w:tcPr>
            <w:tcW w:w="2500" w:type="dxa"/>
            <w:tcMar/>
          </w:tcPr>
          <w:p>
            <w:r>
              <w:t xml:space="preserve">PredictedAt</w:t>
            </w:r>
          </w:p>
        </w:tc>
        <w:tc>
          <w:tcPr>
            <w:tcW w:w="1700" w:type="dxa"/>
            <w:tcMar/>
          </w:tcPr>
          <w:p>
            <w:r>
              <w:t xml:space="preserve">DateTime</w:t>
            </w:r>
          </w:p>
        </w:tc>
        <w:tc>
          <w:tcPr>
            <w:tcW w:w="1100" w:type="dxa"/>
            <w:tcMar/>
          </w:tcPr>
          <w:p/>
        </w:tc>
        <w:tc>
          <w:tcPr>
            <w:tcW w:w="1800" w:type="dxa"/>
            <w:tcMar/>
          </w:tcPr>
          <w:p>
            <w:pPr>
              <w:jc w:val="center"/>
            </w:pPr>
            <w:r>
              <w:t xml:space="preserve">+</w:t>
            </w:r>
          </w:p>
        </w:tc>
        <w:tc>
          <w:tcPr>
            <w:tcW w:w="1916" w:type="dxa"/>
            <w:tcMar/>
          </w:tcPr>
          <w:p>
            <w:pPr>
              <w:jc w:val="center"/>
            </w:pPr>
          </w:p>
        </w:tc>
      </w:tr>
      <w:tr>
        <w:trPr>
          <w:cantSplit/>
          <w:trHeight w:val="300"/>
        </w:trPr>
        <w:tc>
          <w:tcPr>
            <w:tcW w:w="2500" w:type="dxa"/>
            <w:tcMar/>
          </w:tcPr>
          <w:p>
            <w:r>
              <w:t xml:space="preserve">Points</w:t>
            </w:r>
          </w:p>
        </w:tc>
        <w:tc>
          <w:tcPr>
            <w:tcW w:w="1700" w:type="dxa"/>
            <w:tcMar/>
          </w:tcPr>
          <w:p>
            <w:r>
              <w:t xml:space="preserve">int</w:t>
            </w:r>
          </w:p>
        </w:tc>
        <w:tc>
          <w:tcPr>
            <w:tcW w:w="1100" w:type="dxa"/>
            <w:tcMar/>
          </w:tcPr>
          <w:p/>
        </w:tc>
        <w:tc>
          <w:tcPr>
            <w:tcW w:w="1800" w:type="dxa"/>
            <w:tcMar/>
          </w:tcPr>
          <w:p>
            <w:pPr>
              <w:jc w:val="center"/>
            </w:pPr>
          </w:p>
        </w:tc>
        <w:tc>
          <w:tcPr>
            <w:tcW w:w="1916" w:type="dxa"/>
            <w:tcMar/>
          </w:tcPr>
          <w:p>
            <w:pPr>
              <w:jc w:val="center"/>
            </w:pPr>
          </w:p>
        </w:tc>
      </w:tr>
    </w:tbl>
    <w:p/>
    <w:p>
      <w:pPr>
        <w:pStyle w:val="Heading2"/>
      </w:pPr>
      <w:r>
        <w:t xml:space="preserve">Seosed</w:t>
      </w:r>
    </w:p>
    <w:tbl>
      <w:tblPr>
        <w:tblStyle w:val="TableGrid"/>
        <w:tblW w:w="9016" w:type="dxa"/>
        <w:tblLayout w:type="fixed"/>
        <w:tblLook w:val="04A0" w:firstRow="1" w:lastRow="0" w:firstColumn="1" w:lastColumn="0" w:noHBand="0" w:noVBand="1"/>
      </w:tblPr>
      <w:tblGrid>
        <w:gridCol w:w="2500"/>
        <w:gridCol w:w="1300"/>
        <w:gridCol w:w="5216"/>
      </w:tblGrid>
      <w:tr>
        <w:trPr>
          <w:cantSplit/>
          <w:trHeight w:val="300"/>
          <w:tblHeader/>
        </w:trPr>
        <w:tc>
          <w:tcPr>
            <w:tcW w:w="2500" w:type="dxa"/>
            <w:shd w:val="clear" w:color="auto" w:fill="D9E2F3"/>
            <w:tcMar/>
          </w:tcPr>
          <w:p>
            <w:pPr>
              <w:jc w:val="center"/>
            </w:pPr>
            <w:r>
              <w:rPr>
                <w:b/>
              </w:rPr>
              <w:t xml:space="preserve">Seos</w:t>
            </w:r>
          </w:p>
        </w:tc>
        <w:tc>
          <w:tcPr>
            <w:tcW w:w="1300" w:type="dxa"/>
            <w:shd w:val="clear" w:color="auto" w:fill="D9E2F3"/>
            <w:tcMar/>
          </w:tcPr>
          <w:p>
            <w:pPr>
              <w:jc w:val="center"/>
            </w:pPr>
            <w:r>
              <w:rPr>
                <w:b/>
              </w:rPr>
              <w:t xml:space="preserve">Kordsus</w:t>
            </w:r>
          </w:p>
        </w:tc>
        <w:tc>
          <w:tcPr>
            <w:tcW w:w="5216" w:type="dxa"/>
            <w:shd w:val="clear" w:color="auto" w:fill="D9E2F3"/>
            <w:tcMar/>
          </w:tcPr>
          <w:p>
            <w:pPr>
              <w:jc w:val="center"/>
            </w:pPr>
            <w:r>
              <w:rPr>
                <w:b/>
              </w:rPr>
              <w:t xml:space="preserve">Kirjeldus</w:t>
            </w:r>
          </w:p>
        </w:tc>
      </w:tr>
      <w:tr>
        <w:trPr>
          <w:cantSplit/>
          <w:trHeight w:val="300"/>
        </w:trPr>
        <w:tc>
          <w:tcPr>
            <w:tcW w:w="2500" w:type="dxa"/>
            <w:tcMar/>
          </w:tcPr>
          <w:p>
            <w:r>
              <w:t xml:space="preserve">Tournament – Match</w:t>
            </w:r>
          </w:p>
        </w:tc>
        <w:tc>
          <w:tcPr>
            <w:tcW w:w="1300" w:type="dxa"/>
            <w:tcMar/>
          </w:tcPr>
          <w:p>
            <w:pPr>
              <w:jc w:val="center"/>
            </w:pPr>
            <w:r>
              <w:t xml:space="preserve">1 : 0..*</w:t>
            </w:r>
          </w:p>
        </w:tc>
        <w:tc>
          <w:tcPr>
            <w:tcW w:w="5216" w:type="dxa"/>
            <w:tcMar/>
          </w:tcPr>
          <w:p>
            <w:r>
              <w:t xml:space="preserve">Igal mängul on täpselt üks turniir. Ühel turniiril on mitu mängu.</w:t>
            </w:r>
          </w:p>
        </w:tc>
      </w:tr>
      <w:tr>
        <w:trPr>
          <w:cantSplit/>
          <w:trHeight w:val="300"/>
        </w:trPr>
        <w:tc>
          <w:tcPr>
            <w:tcW w:w="2500" w:type="dxa"/>
            <w:tcMar/>
          </w:tcPr>
          <w:p>
            <w:r>
              <w:t xml:space="preserve">Team – Match (HomeTeam)</w:t>
            </w:r>
          </w:p>
        </w:tc>
        <w:tc>
          <w:tcPr>
            <w:tcW w:w="1300" w:type="dxa"/>
            <w:tcMar/>
          </w:tcPr>
          <w:p>
            <w:pPr>
              <w:jc w:val="center"/>
            </w:pPr>
            <w:r>
              <w:t xml:space="preserve">0..1 : 0..*</w:t>
            </w:r>
          </w:p>
        </w:tc>
        <w:tc>
          <w:tcPr>
            <w:tcW w:w="5216" w:type="dxa"/>
            <w:tcMar/>
          </w:tcPr>
          <w:p>
            <w:r>
              <w:t xml:space="preserve">Mängu koduvõistkond võib olla veel teadmata (tühi). Sama võistkond võib olla koduvõistkonnana mitmes mängus.</w:t>
            </w:r>
          </w:p>
        </w:tc>
      </w:tr>
      <w:tr>
        <w:trPr>
          <w:cantSplit/>
          <w:trHeight w:val="300"/>
        </w:trPr>
        <w:tc>
          <w:tcPr>
            <w:tcW w:w="2500" w:type="dxa"/>
            <w:tcMar/>
          </w:tcPr>
          <w:p>
            <w:r>
              <w:t xml:space="preserve">Team – Match (AwayTeam)</w:t>
            </w:r>
          </w:p>
        </w:tc>
        <w:tc>
          <w:tcPr>
            <w:tcW w:w="1300" w:type="dxa"/>
            <w:tcMar/>
          </w:tcPr>
          <w:p>
            <w:pPr>
              <w:jc w:val="center"/>
            </w:pPr>
            <w:r>
              <w:t xml:space="preserve">0..1 : 0..*</w:t>
            </w:r>
          </w:p>
        </w:tc>
        <w:tc>
          <w:tcPr>
            <w:tcW w:w="5216" w:type="dxa"/>
            <w:tcMar/>
          </w:tcPr>
          <w:p>
            <w:r>
              <w:t xml:space="preserve">Mängu külalisvõistkond võib olla veel teadmata (tühi). Sama võistkond võib olla külalisvõistkonnana mitmes mängus.</w:t>
            </w:r>
          </w:p>
        </w:tc>
      </w:tr>
      <w:tr>
        <w:trPr>
          <w:cantSplit/>
          <w:trHeight w:val="300"/>
        </w:trPr>
        <w:tc>
          <w:tcPr>
            <w:tcW w:w="2500" w:type="dxa"/>
            <w:tcMar/>
          </w:tcPr>
          <w:p>
            <w:r>
              <w:t xml:space="preserve">Match – Prediction</w:t>
            </w:r>
          </w:p>
        </w:tc>
        <w:tc>
          <w:tcPr>
            <w:tcW w:w="1300" w:type="dxa"/>
            <w:tcMar/>
          </w:tcPr>
          <w:p>
            <w:pPr>
              <w:jc w:val="center"/>
            </w:pPr>
            <w:r>
              <w:t xml:space="preserve">1 : 0..*</w:t>
            </w:r>
          </w:p>
        </w:tc>
        <w:tc>
          <w:tcPr>
            <w:tcW w:w="5216" w:type="dxa"/>
            <w:tcMar/>
          </w:tcPr>
          <w:p>
            <w:r>
              <w:t xml:space="preserve">Ühele mängule võivad paljud kasutajad ennustusi teha. Igal ennustusel on täpselt üks mäng.</w:t>
            </w:r>
          </w:p>
        </w:tc>
      </w:tr>
      <w:tr>
        <w:trPr>
          <w:cantSplit/>
          <w:trHeight w:val="300"/>
        </w:trPr>
        <w:tc>
          <w:tcPr>
            <w:tcW w:w="2500" w:type="dxa"/>
            <w:tcMar/>
          </w:tcPr>
          <w:p>
            <w:r>
              <w:t xml:space="preserve">User – Prediction</w:t>
            </w:r>
          </w:p>
        </w:tc>
        <w:tc>
          <w:tcPr>
            <w:tcW w:w="1300" w:type="dxa"/>
            <w:tcMar/>
          </w:tcPr>
          <w:p>
            <w:pPr>
              <w:jc w:val="center"/>
            </w:pPr>
            <w:r>
              <w:t xml:space="preserve">1 : 0..*</w:t>
            </w:r>
          </w:p>
        </w:tc>
        <w:tc>
          <w:tcPr>
            <w:tcW w:w="5216" w:type="dxa"/>
            <w:tcMar/>
          </w:tcPr>
          <w:p>
            <w:r>
              <w:t xml:space="preserve">Kasutaja võib teha mitu ennustust (igale mängule ühe). Igal ennustusel on täpselt üks kasutaja.</w:t>
            </w:r>
          </w:p>
        </w:tc>
      </w:tr>
    </w:tbl>
    <w:p/>
    <w:p>
      <w:pPr>
        <w:pStyle w:val="Heading2"/>
      </w:pPr>
      <w:r>
        <w:t xml:space="preserve">Loendid</w:t>
      </w:r>
    </w:p>
    <w:tbl>
      <w:tblPr>
        <w:tblStyle w:val="TableGrid"/>
        <w:tblW w:w="9016" w:type="dxa"/>
        <w:tblLayout w:type="fixed"/>
        <w:tblLook w:val="04A0" w:firstRow="1" w:lastRow="0" w:firstColumn="1" w:lastColumn="0" w:noHBand="0" w:noVBand="1"/>
      </w:tblPr>
      <w:tblGrid>
        <w:gridCol w:w="2000"/>
        <w:gridCol w:w="1800"/>
        <w:gridCol w:w="5216"/>
      </w:tblGrid>
      <w:tr>
        <w:trPr>
          <w:cantSplit/>
          <w:trHeight w:val="300"/>
          <w:tblHeader/>
        </w:trPr>
        <w:tc>
          <w:tcPr>
            <w:tcW w:w="2000" w:type="dxa"/>
            <w:shd w:val="clear" w:color="auto" w:fill="D9E2F3"/>
            <w:tcMar/>
          </w:tcPr>
          <w:p>
            <w:pPr>
              <w:jc w:val="center"/>
            </w:pPr>
            <w:r>
              <w:rPr>
                <w:b/>
              </w:rPr>
              <w:t xml:space="preserve">Loend</w:t>
            </w:r>
          </w:p>
        </w:tc>
        <w:tc>
          <w:tcPr>
            <w:tcW w:w="1800" w:type="dxa"/>
            <w:shd w:val="clear" w:color="auto" w:fill="D9E2F3"/>
            <w:tcMar/>
          </w:tcPr>
          <w:p>
            <w:pPr>
              <w:jc w:val="center"/>
            </w:pPr>
            <w:r>
              <w:rPr>
                <w:b/>
              </w:rPr>
              <w:t xml:space="preserve">Väärtus</w:t>
            </w:r>
          </w:p>
        </w:tc>
        <w:tc>
          <w:tcPr>
            <w:tcW w:w="5216" w:type="dxa"/>
            <w:shd w:val="clear" w:color="auto" w:fill="D9E2F3"/>
            <w:tcMar/>
          </w:tcPr>
          <w:p>
            <w:pPr>
              <w:jc w:val="center"/>
            </w:pPr>
            <w:r>
              <w:rPr>
                <w:b/>
              </w:rPr>
              <w:t xml:space="preserve">Tähendus</w:t>
            </w:r>
          </w:p>
        </w:tc>
      </w:tr>
      <w:tr>
        <w:trPr>
          <w:cantSplit/>
          <w:trHeight w:val="300"/>
        </w:trPr>
        <w:tc>
          <w:tcPr>
            <w:tcW w:w="9016" w:type="dxa"/>
            <w:gridSpan w:val="3"/>
            <w:shd w:val="clear" w:color="auto" w:fill="F2F2F2"/>
            <w:tcMar/>
          </w:tcPr>
          <w:p>
            <w:pPr>
              <w:jc w:val="center"/>
            </w:pPr>
            <w:r>
              <w:rPr>
                <w:b/>
              </w:rPr>
              <w:t xml:space="preserve">MatchStage</w:t>
            </w:r>
          </w:p>
        </w:tc>
      </w:tr>
      <w:tr>
        <w:trPr>
          <w:cantSplit/>
          <w:trHeight w:val="300"/>
        </w:trPr>
        <w:tc>
          <w:tcPr>
            <w:tcW w:w="2000" w:type="dxa"/>
            <w:tcMar/>
          </w:tcPr>
          <w:p>
            <w:r>
              <w:t xml:space="preserve">MatchStage</w:t>
            </w:r>
          </w:p>
        </w:tc>
        <w:tc>
          <w:tcPr>
            <w:tcW w:w="1800" w:type="dxa"/>
            <w:tcMar/>
          </w:tcPr>
          <w:p>
            <w:r>
              <w:t xml:space="preserve">RoundOf16</w:t>
            </w:r>
          </w:p>
        </w:tc>
        <w:tc>
          <w:tcPr>
            <w:tcW w:w="5216" w:type="dxa"/>
            <w:tcMar/>
          </w:tcPr>
          <w:p>
            <w:r>
              <w:t xml:space="preserve">Kaheksandikfinaal (Round of 16)</w:t>
            </w:r>
          </w:p>
        </w:tc>
      </w:tr>
      <w:tr>
        <w:trPr>
          <w:cantSplit/>
          <w:trHeight w:val="300"/>
        </w:trPr>
        <w:tc>
          <w:tcPr>
            <w:tcW w:w="2000" w:type="dxa"/>
            <w:tcMar/>
          </w:tcPr>
          <w:p>
            <w:r>
              <w:t xml:space="preserve">MatchStage</w:t>
            </w:r>
          </w:p>
        </w:tc>
        <w:tc>
          <w:tcPr>
            <w:tcW w:w="1800" w:type="dxa"/>
            <w:tcMar/>
          </w:tcPr>
          <w:p>
            <w:r>
              <w:t xml:space="preserve">QuarterFinal</w:t>
            </w:r>
          </w:p>
        </w:tc>
        <w:tc>
          <w:tcPr>
            <w:tcW w:w="5216" w:type="dxa"/>
            <w:tcMar/>
          </w:tcPr>
          <w:p>
            <w:r>
              <w:t xml:space="preserve">Veerandfinaal (Quarter finals)</w:t>
            </w:r>
          </w:p>
        </w:tc>
      </w:tr>
      <w:tr>
        <w:trPr>
          <w:cantSplit/>
          <w:trHeight w:val="300"/>
        </w:trPr>
        <w:tc>
          <w:tcPr>
            <w:tcW w:w="2000" w:type="dxa"/>
            <w:tcMar/>
          </w:tcPr>
          <w:p>
            <w:r>
              <w:t xml:space="preserve">MatchStage</w:t>
            </w:r>
          </w:p>
        </w:tc>
        <w:tc>
          <w:tcPr>
            <w:tcW w:w="1800" w:type="dxa"/>
            <w:tcMar/>
          </w:tcPr>
          <w:p>
            <w:r>
              <w:t xml:space="preserve">SemiFinal</w:t>
            </w:r>
          </w:p>
        </w:tc>
        <w:tc>
          <w:tcPr>
            <w:tcW w:w="5216" w:type="dxa"/>
            <w:tcMar/>
          </w:tcPr>
          <w:p>
            <w:r>
              <w:t xml:space="preserve">Poolfinaal (Semi finals)</w:t>
            </w:r>
          </w:p>
        </w:tc>
      </w:tr>
      <w:tr>
        <w:trPr>
          <w:cantSplit/>
          <w:trHeight w:val="300"/>
        </w:trPr>
        <w:tc>
          <w:tcPr>
            <w:tcW w:w="2000" w:type="dxa"/>
            <w:tcMar/>
          </w:tcPr>
          <w:p>
            <w:r>
              <w:t xml:space="preserve">MatchStage</w:t>
            </w:r>
          </w:p>
        </w:tc>
        <w:tc>
          <w:tcPr>
            <w:tcW w:w="1800" w:type="dxa"/>
            <w:tcMar/>
          </w:tcPr>
          <w:p>
            <w:r>
              <w:t xml:space="preserve">Final</w:t>
            </w:r>
          </w:p>
        </w:tc>
        <w:tc>
          <w:tcPr>
            <w:tcW w:w="5216" w:type="dxa"/>
            <w:tcMar/>
          </w:tcPr>
          <w:p>
            <w:r>
              <w:t xml:space="preserve">Finaal (Final)</w:t>
            </w:r>
          </w:p>
        </w:tc>
      </w:tr>
      <w:tr>
        <w:trPr>
          <w:cantSplit/>
          <w:trHeight w:val="300"/>
        </w:trPr>
        <w:tc>
          <w:tcPr>
            <w:tcW w:w="9016" w:type="dxa"/>
            <w:gridSpan w:val="3"/>
            <w:shd w:val="clear" w:color="auto" w:fill="F2F2F2"/>
            <w:tcMar/>
          </w:tcPr>
          <w:p>
            <w:pPr>
              <w:jc w:val="center"/>
            </w:pPr>
            <w:r>
              <w:rPr>
                <w:b/>
              </w:rPr>
              <w:t xml:space="preserve">UserRole</w:t>
            </w:r>
          </w:p>
        </w:tc>
      </w:tr>
      <w:tr>
        <w:trPr>
          <w:cantSplit/>
          <w:trHeight w:val="300"/>
        </w:trPr>
        <w:tc>
          <w:tcPr>
            <w:tcW w:w="2000" w:type="dxa"/>
            <w:tcMar/>
          </w:tcPr>
          <w:p>
            <w:r>
              <w:t xml:space="preserve">UserRole</w:t>
            </w:r>
          </w:p>
        </w:tc>
        <w:tc>
          <w:tcPr>
            <w:tcW w:w="1800" w:type="dxa"/>
            <w:tcMar/>
          </w:tcPr>
          <w:p>
            <w:r>
              <w:t xml:space="preserve">Participant</w:t>
            </w:r>
          </w:p>
        </w:tc>
        <w:tc>
          <w:tcPr>
            <w:tcW w:w="5216" w:type="dxa"/>
            <w:tcMar/>
          </w:tcPr>
          <w:p>
            <w:r>
              <w:t xml:space="preserve">Tavakasutaja, kes saab ennustusi teha ja edetabelit vaadata.</w:t>
            </w:r>
          </w:p>
        </w:tc>
      </w:tr>
      <w:tr>
        <w:trPr>
          <w:cantSplit/>
          <w:trHeight w:val="300"/>
        </w:trPr>
        <w:tc>
          <w:tcPr>
            <w:tcW w:w="2000" w:type="dxa"/>
            <w:tcMar/>
          </w:tcPr>
          <w:p>
            <w:r>
              <w:t xml:space="preserve">UserRole</w:t>
            </w:r>
          </w:p>
        </w:tc>
        <w:tc>
          <w:tcPr>
            <w:tcW w:w="1800" w:type="dxa"/>
            <w:tcMar/>
          </w:tcPr>
          <w:p>
            <w:r>
              <w:t xml:space="preserve">Administrator</w:t>
            </w:r>
          </w:p>
        </w:tc>
        <w:tc>
          <w:tcPr>
            <w:tcW w:w="5216" w:type="dxa"/>
            <w:tcMar/>
          </w:tcPr>
          <w:p>
            <w:r>
              <w:t xml:space="preserve">Saab muuta võistkondade, turniiride ja mängude andmeid.</w:t>
            </w:r>
          </w:p>
        </w:tc>
      </w:tr>
    </w:tbl>
    <w:p w:rsidR="00662666" w:rsidP="00662666" w:rsidRDefault="00662666" w14:paraId="537AB14D" w14:textId="24F0AA72"/>
    <w:p w:rsidRPr="00662666" w:rsidR="00662666" w:rsidP="00E235F0" w:rsidRDefault="007E7A7D" w14:paraId="7C1C8E6D" w14:textId="0C57429C">
      <w:pPr>
        <w:pStyle w:val="Heading2"/>
      </w:pPr>
      <w:r>
        <w:t>Reeglid</w:t>
      </w:r>
    </w:p>
    <w:p>
      <w:pPr>
        <w:pStyle w:val="ListParagraph"/>
        <w:numPr>
          <w:ilvl w:val="0"/>
          <w:numId w:val="1"/>
        </w:numPr>
      </w:pPr>
      <w:r>
        <w:t xml:space="preserve">Võistkondade, turniiride ja mängude andmeid (lisamine, muutmine, kustutamine) saab muuta ainult administraator. Ülejäänud kasutajad saavad teha ainult ennustusi.</w:t>
      </w:r>
    </w:p>
    <w:p>
      <w:pPr>
        <w:pStyle w:val="ListParagraph"/>
        <w:numPr>
          <w:ilvl w:val="0"/>
          <w:numId w:val="1"/>
        </w:numPr>
      </w:pPr>
      <w:r>
        <w:t xml:space="preserve">Kasutaja e-post peab olema unikaalne. Parool salvestatakse ainult räsina (PasswordHash), mitte selgelt.</w:t>
      </w:r>
    </w:p>
    <w:p>
      <w:pPr>
        <w:pStyle w:val="ListParagraph"/>
        <w:numPr>
          <w:ilvl w:val="0"/>
          <w:numId w:val="1"/>
        </w:numPr>
      </w:pPr>
      <w:r>
        <w:t xml:space="preserve">Võistkonna nimi ja turniiri nimi peavad olema unikaalsed.</w:t>
      </w:r>
    </w:p>
    <w:p>
      <w:pPr>
        <w:pStyle w:val="ListParagraph"/>
        <w:numPr>
          <w:ilvl w:val="0"/>
          <w:numId w:val="1"/>
        </w:numPr>
      </w:pPr>
      <w:r>
        <w:t xml:space="preserve">Mängu etapp (Stage) on üks neljast: Round of 16, Quarter finals, Semi finals, Final. Seetõttu saab ennustusi teha alates kaheksandikfinaalidest.</w:t>
      </w:r>
    </w:p>
    <w:p>
      <w:pPr>
        <w:pStyle w:val="ListParagraph"/>
        <w:numPr>
          <w:ilvl w:val="0"/>
          <w:numId w:val="1"/>
        </w:numPr>
      </w:pPr>
      <w:r>
        <w:t xml:space="preserve">Igal mängul peab olema alguse aeg (StartTime) ja turniir.</w:t>
      </w:r>
    </w:p>
    <w:p>
      <w:pPr>
        <w:pStyle w:val="ListParagraph"/>
        <w:numPr>
          <w:ilvl w:val="0"/>
          <w:numId w:val="1"/>
        </w:numPr>
      </w:pPr>
      <w:r>
        <w:t xml:space="preserve">Mängus osaleb kaks võistkonda ning koduvõistkond ja külalisvõistkond ei tohi olla sama võistkond.</w:t>
      </w:r>
    </w:p>
    <w:p>
      <w:pPr>
        <w:pStyle w:val="ListParagraph"/>
        <w:numPr>
          <w:ilvl w:val="0"/>
          <w:numId w:val="1"/>
        </w:numPr>
      </w:pPr>
      <w:r>
        <w:t xml:space="preserve">Võistkonnad võivad mängul olla alguses teadmata (näiteks poolfinaal enne veerandfinaalide lõppu). Neid täiendab administraator, kui need selguvad.</w:t>
      </w:r>
    </w:p>
    <w:p>
      <w:pPr>
        <w:pStyle w:val="ListParagraph"/>
        <w:numPr>
          <w:ilvl w:val="0"/>
          <w:numId w:val="1"/>
        </w:numPr>
      </w:pPr>
      <w:r>
        <w:t xml:space="preserve">Ennustust saab teha ainult mängule, milles mõlemad võistkonnad on teada.</w:t>
      </w:r>
    </w:p>
    <w:p>
      <w:pPr>
        <w:pStyle w:val="ListParagraph"/>
        <w:numPr>
          <w:ilvl w:val="0"/>
          <w:numId w:val="1"/>
        </w:numPr>
      </w:pPr>
      <w:r>
        <w:t xml:space="preserve">Ennustust saab teha (ja muuta) kuni mängu alguseni: PredictedAt peab olema väiksem kui Match.StartTime.</w:t>
      </w:r>
    </w:p>
    <w:p>
      <w:pPr>
        <w:pStyle w:val="ListParagraph"/>
        <w:numPr>
          <w:ilvl w:val="0"/>
          <w:numId w:val="1"/>
        </w:numPr>
      </w:pPr>
      <w:r>
        <w:t xml:space="preserve">Kasutaja saab ühe mängu kohta teha ainult ühe ennustuse (kasutaja ja mängu kombinatsioon on unikaalne).</w:t>
      </w:r>
    </w:p>
    <w:p>
      <w:pPr>
        <w:pStyle w:val="ListParagraph"/>
        <w:numPr>
          <w:ilvl w:val="0"/>
          <w:numId w:val="1"/>
        </w:numPr>
      </w:pPr>
      <w:r>
        <w:t xml:space="preserve">Ennustus sisaldab mõlema võistkonna väravaid (HomeTeamGoals ja AwayTeamGoals). Mõlemad on täisarvud, vähemalt 0.</w:t>
      </w:r>
    </w:p>
    <w:p>
      <w:pPr>
        <w:pStyle w:val="ListParagraph"/>
        <w:numPr>
          <w:ilvl w:val="0"/>
          <w:numId w:val="1"/>
        </w:numPr>
      </w:pPr>
      <w:r>
        <w:t xml:space="preserve">Mängu tulemuse (HomeTeamGoals ja AwayTeamGoals) sisestab administraator pärast mängu algust. Mõlemad väärtused sisestatakse korraga ning on vähemalt 0. Kuni tulemus puudub, loetakse mäng toimumata.</w:t>
      </w:r>
    </w:p>
    <w:p>
      <w:pPr>
        <w:pStyle w:val="ListParagraph"/>
        <w:numPr>
          <w:ilvl w:val="0"/>
          <w:numId w:val="1"/>
        </w:numPr>
      </w:pPr>
      <w:r>
        <w:t xml:space="preserve">Kui mängu tulemus on sisestatud, arvutatakse iga selle mängu ennustuse Points: täpne väravate ennustus (mõlema võistkonna väravad õiged) = 10, ühe võistkonna (võitja või kaotaja) väravate arv õige = 5, ainult võitja/kaotaja õige = 3, muidu 0.</w:t>
      </w:r>
    </w:p>
    <w:p>
      <w:pPr>
        <w:pStyle w:val="ListParagraph"/>
        <w:numPr>
          <w:ilvl w:val="0"/>
          <w:numId w:val="1"/>
        </w:numPr>
      </w:pPr>
      <w:r>
        <w:t xml:space="preserve">Punkte ei liideta, ennustus saab ühe punktiväärtuse: kõrgeima, mis tingimusele vastab.</w:t>
      </w:r>
    </w:p>
    <w:p>
      <w:pPr>
        <w:pStyle w:val="ListParagraph"/>
        <w:numPr>
          <w:ilvl w:val="0"/>
          <w:numId w:val="1"/>
        </w:numPr>
      </w:pPr>
      <w:r>
        <w:t xml:space="preserve">Kuni mängu tulemust pole, on ennustuse Points tühi.</w:t>
      </w:r>
    </w:p>
    <w:p>
      <w:pPr>
        <w:pStyle w:val="ListParagraph"/>
        <w:numPr>
          <w:ilvl w:val="0"/>
          <w:numId w:val="1"/>
        </w:numPr>
      </w:pPr>
      <w:r>
        <w:t xml:space="preserve">Iga turniiri kohta on ennustuste edetabel: kasutaja punktid on selle turniiri mängude ennustuste Points summa. Edetabel on punktide järgi kahanevas järjekorras ja kasutajad saavad seda jooksvalt jälgida.</w:t>
      </w:r>
    </w:p>
    <w:p>
      <w:pPr>
        <w:pStyle w:val="ListParagraph"/>
        <w:numPr>
          <w:ilvl w:val="0"/>
          <w:numId w:val="1"/>
        </w:numPr>
      </w:pPr>
      <w:r>
        <w:t xml:space="preserve">Võistkonda ei saa kustutada, kui ta osaleb mõnes mängus. Turniiri või mängu ei saa kustutada, kui sellele on ennustusi tehtud.</w:t>
      </w:r>
    </w:p>
    <w:p/>
    <w:p>
      <w:pPr>
        <w:pStyle w:val="Heading2"/>
      </w:pPr>
      <w:r>
        <w:t xml:space="preserve">Eeldused</w:t>
      </w:r>
    </w:p>
    <w:p>
      <w:pPr>
        <w:pStyle w:val="ListParagraph"/>
        <w:numPr>
          <w:ilvl w:val="0"/>
          <w:numId w:val="1"/>
        </w:numPr>
      </w:pPr>
      <w:r>
        <w:t xml:space="preserve">Mängu tulemuseks loetakse väravate seis mängu lõpus. Penaltivõistlust ei arvestata. Viik on lubatud ja selle õige ennustamine loetakse õigeks võitja/kaotaja ennustuseks.</w:t>
      </w:r>
    </w:p>
    <w:p>
      <w:pPr>
        <w:pStyle w:val="ListParagraph"/>
        <w:numPr>
          <w:ilvl w:val="0"/>
          <w:numId w:val="1"/>
        </w:numPr>
      </w:pPr>
      <w:r>
        <w:t xml:space="preserve">Punktireeglit tõlgendatakse järgmiselt: 10 punkti, kui mõlema võistkonna väravad on täpselt õiged. 5 punkti, kui täpselt on õige vähemalt ühe võistkonna väravate arv. 3 punkti, kui õige on ainult mängu tulemus (võitja/kaotaja või viik). Punkte ei summeerita.</w:t>
      </w:r>
    </w:p>
    <w:p>
      <w:pPr>
        <w:pStyle w:val="ListParagraph"/>
        <w:numPr>
          <w:ilvl w:val="0"/>
          <w:numId w:val="1"/>
        </w:numPr>
      </w:pPr>
      <w:r>
        <w:t xml:space="preserve">Edetabel ei ole eraldi klass, vaid arvutatakse ennustuste põhjal. Võrdsete punktidega kasutajad jagavad sama kohta (viigi lahendus ülesandes puudub).</w:t>
      </w:r>
    </w:p>
    <w:p>
      <w:pPr>
        <w:pStyle w:val="ListParagraph"/>
        <w:numPr>
          <w:ilvl w:val="0"/>
          <w:numId w:val="1"/>
        </w:numPr>
      </w:pPr>
      <w:r>
        <w:t xml:space="preserve">Võistkond ei ole turniiriga otse seotud. Seos turniiriga tuleneb mängudest.</w:t>
      </w:r>
    </w:p>
    <w:p>
      <w:pPr>
        <w:pStyle w:val="ListParagraph"/>
        <w:numPr>
          <w:ilvl w:val="0"/>
          <w:numId w:val="1"/>
        </w:numPr>
      </w:pPr>
      <w:r>
        <w:t xml:space="preserve">Mäng on "toimunud", kui administraator on sisestanud tulemuse. Eraldi olekuvälja ei ole.</w:t>
      </w:r>
    </w:p>
    <w:p>
      <w:pPr>
        <w:pStyle w:val="ListParagraph"/>
        <w:numPr>
          <w:ilvl w:val="0"/>
          <w:numId w:val="1"/>
        </w:numPr>
      </w:pPr>
      <w:r>
        <w:t xml:space="preserve">Ennustuse muutmine kuni mängu alguseni on lubatud, PredictedAt on viimase salvestamise aeg.</w:t>
      </w:r>
    </w:p>
    <w:p>
      <w:pPr>
        <w:pStyle w:val="ListParagraph"/>
        <w:numPr>
          <w:ilvl w:val="0"/>
          <w:numId w:val="1"/>
        </w:numPr>
      </w:pPr>
      <w:r>
        <w:t xml:space="preserve">Ülesandes ei ole registreerumist mainitud, kuid administraatori ja tavakasutaja eristamiseks ning ennustuste kasutajaga sidumiseks on sisselogimine vajalik, seepärast on User klassis Email ja PasswordHash.</w:t>
      </w:r>
    </w:p>
    <w:sectPr w:rsidR="00221D49">
      <w:pgSz w:w="11906" w:h="16838" w:orient="portrait"/>
      <w:pgMar w:top="1440" w:right="1440" w:bottom="1440" w:left="1440" w:header="708" w:footer="708" w:gutter="0"/>
      <w:cols w:space="708"/>
      <w:docGrid w:linePitch="360"/>
      <w:headerReference w:type="default" r:id="Ra619e51a291d4afd"/>
      <w:footerReference w:type="default" r:id="R91520db94ce84c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94851D0" w:rsidTr="594851D0" w14:paraId="69929E48">
      <w:trPr>
        <w:trHeight w:val="300"/>
      </w:trPr>
      <w:tc>
        <w:tcPr>
          <w:tcW w:w="3005" w:type="dxa"/>
          <w:tcMar/>
        </w:tcPr>
        <w:p w:rsidR="594851D0" w:rsidP="594851D0" w:rsidRDefault="594851D0" w14:paraId="6DFA35B6" w14:textId="518EF8AC">
          <w:pPr>
            <w:pStyle w:val="Header"/>
            <w:bidi w:val="0"/>
            <w:ind w:left="-115"/>
            <w:jc w:val="left"/>
          </w:pPr>
        </w:p>
      </w:tc>
      <w:tc>
        <w:tcPr>
          <w:tcW w:w="3005" w:type="dxa"/>
          <w:tcMar/>
        </w:tcPr>
        <w:p w:rsidR="594851D0" w:rsidP="594851D0" w:rsidRDefault="594851D0" w14:paraId="6588D25B" w14:textId="62F7E7CB">
          <w:pPr>
            <w:pStyle w:val="Header"/>
            <w:bidi w:val="0"/>
            <w:jc w:val="center"/>
          </w:pPr>
        </w:p>
      </w:tc>
      <w:tc>
        <w:tcPr>
          <w:tcW w:w="3005" w:type="dxa"/>
          <w:tcMar/>
        </w:tcPr>
        <w:p w:rsidR="594851D0" w:rsidP="594851D0" w:rsidRDefault="594851D0" w14:paraId="0A6ADA9E" w14:textId="75DA7FB0">
          <w:pPr>
            <w:pStyle w:val="Header"/>
            <w:bidi w:val="0"/>
            <w:ind w:right="-115"/>
            <w:jc w:val="right"/>
          </w:pPr>
        </w:p>
      </w:tc>
    </w:tr>
  </w:tbl>
  <w:p w:rsidR="594851D0" w:rsidP="594851D0" w:rsidRDefault="594851D0" w14:paraId="5B4C6C59" w14:textId="65A0387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94851D0" w:rsidTr="594851D0" w14:paraId="38574D40">
      <w:trPr>
        <w:trHeight w:val="300"/>
      </w:trPr>
      <w:tc>
        <w:tcPr>
          <w:tcW w:w="3005" w:type="dxa"/>
          <w:tcMar/>
        </w:tcPr>
        <w:p w:rsidR="594851D0" w:rsidP="594851D0" w:rsidRDefault="594851D0" w14:paraId="6BC84B02" w14:textId="0A0F1DB4">
          <w:pPr>
            <w:pStyle w:val="Header"/>
            <w:bidi w:val="0"/>
            <w:ind w:left="-115"/>
            <w:jc w:val="left"/>
          </w:pPr>
        </w:p>
      </w:tc>
      <w:tc>
        <w:tcPr>
          <w:tcW w:w="3005" w:type="dxa"/>
          <w:tcMar/>
        </w:tcPr>
        <w:p w:rsidR="594851D0" w:rsidP="594851D0" w:rsidRDefault="594851D0" w14:paraId="1E0DE1F7" w14:textId="01BA90E1">
          <w:pPr>
            <w:pStyle w:val="Header"/>
            <w:bidi w:val="0"/>
            <w:jc w:val="center"/>
          </w:pPr>
        </w:p>
      </w:tc>
      <w:tc>
        <w:tcPr>
          <w:tcW w:w="3005" w:type="dxa"/>
          <w:tcMar/>
        </w:tcPr>
        <w:p w:rsidR="594851D0" w:rsidP="594851D0" w:rsidRDefault="594851D0" w14:paraId="0E3D8491" w14:textId="20663DD4">
          <w:pPr>
            <w:pStyle w:val="Header"/>
            <w:bidi w:val="0"/>
            <w:ind w:right="-115"/>
            <w:jc w:val="right"/>
          </w:pPr>
        </w:p>
      </w:tc>
    </w:tr>
  </w:tbl>
  <w:p w:rsidR="594851D0" w:rsidP="594851D0" w:rsidRDefault="594851D0" w14:paraId="29938DED" w14:textId="12866B8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45780"/>
    <w:multiLevelType w:val="hybridMultilevel"/>
    <w:tmpl w:val="1BFAA844"/>
    <w:lvl w:ilvl="0" w:tplc="04250001">
      <w:start w:val="1"/>
      <w:numFmt w:val="bullet"/>
      <w:lvlText w:val=""/>
      <w:lvlJc w:val="left"/>
      <w:pPr>
        <w:ind w:left="720" w:hanging="360"/>
      </w:pPr>
      <w:rPr>
        <w:rFonts w:hint="default" w:ascii="Symbol" w:hAnsi="Symbol"/>
      </w:rPr>
    </w:lvl>
    <w:lvl w:ilvl="1" w:tplc="04250003" w:tentative="1">
      <w:start w:val="1"/>
      <w:numFmt w:val="bullet"/>
      <w:lvlText w:val="o"/>
      <w:lvlJc w:val="left"/>
      <w:pPr>
        <w:ind w:left="1440" w:hanging="360"/>
      </w:pPr>
      <w:rPr>
        <w:rFonts w:hint="default" w:ascii="Courier New" w:hAnsi="Courier New" w:cs="Courier New"/>
      </w:rPr>
    </w:lvl>
    <w:lvl w:ilvl="2" w:tplc="04250005" w:tentative="1">
      <w:start w:val="1"/>
      <w:numFmt w:val="bullet"/>
      <w:lvlText w:val=""/>
      <w:lvlJc w:val="left"/>
      <w:pPr>
        <w:ind w:left="2160" w:hanging="360"/>
      </w:pPr>
      <w:rPr>
        <w:rFonts w:hint="default" w:ascii="Wingdings" w:hAnsi="Wingdings"/>
      </w:rPr>
    </w:lvl>
    <w:lvl w:ilvl="3" w:tplc="04250001" w:tentative="1">
      <w:start w:val="1"/>
      <w:numFmt w:val="bullet"/>
      <w:lvlText w:val=""/>
      <w:lvlJc w:val="left"/>
      <w:pPr>
        <w:ind w:left="2880" w:hanging="360"/>
      </w:pPr>
      <w:rPr>
        <w:rFonts w:hint="default" w:ascii="Symbol" w:hAnsi="Symbol"/>
      </w:rPr>
    </w:lvl>
    <w:lvl w:ilvl="4" w:tplc="04250003" w:tentative="1">
      <w:start w:val="1"/>
      <w:numFmt w:val="bullet"/>
      <w:lvlText w:val="o"/>
      <w:lvlJc w:val="left"/>
      <w:pPr>
        <w:ind w:left="3600" w:hanging="360"/>
      </w:pPr>
      <w:rPr>
        <w:rFonts w:hint="default" w:ascii="Courier New" w:hAnsi="Courier New" w:cs="Courier New"/>
      </w:rPr>
    </w:lvl>
    <w:lvl w:ilvl="5" w:tplc="04250005" w:tentative="1">
      <w:start w:val="1"/>
      <w:numFmt w:val="bullet"/>
      <w:lvlText w:val=""/>
      <w:lvlJc w:val="left"/>
      <w:pPr>
        <w:ind w:left="4320" w:hanging="360"/>
      </w:pPr>
      <w:rPr>
        <w:rFonts w:hint="default" w:ascii="Wingdings" w:hAnsi="Wingdings"/>
      </w:rPr>
    </w:lvl>
    <w:lvl w:ilvl="6" w:tplc="04250001" w:tentative="1">
      <w:start w:val="1"/>
      <w:numFmt w:val="bullet"/>
      <w:lvlText w:val=""/>
      <w:lvlJc w:val="left"/>
      <w:pPr>
        <w:ind w:left="5040" w:hanging="360"/>
      </w:pPr>
      <w:rPr>
        <w:rFonts w:hint="default" w:ascii="Symbol" w:hAnsi="Symbol"/>
      </w:rPr>
    </w:lvl>
    <w:lvl w:ilvl="7" w:tplc="04250003" w:tentative="1">
      <w:start w:val="1"/>
      <w:numFmt w:val="bullet"/>
      <w:lvlText w:val="o"/>
      <w:lvlJc w:val="left"/>
      <w:pPr>
        <w:ind w:left="5760" w:hanging="360"/>
      </w:pPr>
      <w:rPr>
        <w:rFonts w:hint="default" w:ascii="Courier New" w:hAnsi="Courier New" w:cs="Courier New"/>
      </w:rPr>
    </w:lvl>
    <w:lvl w:ilvl="8" w:tplc="04250005" w:tentative="1">
      <w:start w:val="1"/>
      <w:numFmt w:val="bullet"/>
      <w:lvlText w:val=""/>
      <w:lvlJc w:val="left"/>
      <w:pPr>
        <w:ind w:left="6480" w:hanging="360"/>
      </w:pPr>
      <w:rPr>
        <w:rFonts w:hint="default" w:ascii="Wingdings" w:hAnsi="Wingdings"/>
      </w:rPr>
    </w:lvl>
  </w:abstractNum>
  <w:num w:numId="1" w16cid:durableId="47306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4D"/>
    <w:rsid w:val="000207F1"/>
    <w:rsid w:val="00115A29"/>
    <w:rsid w:val="00221D49"/>
    <w:rsid w:val="0028214E"/>
    <w:rsid w:val="002A72A7"/>
    <w:rsid w:val="004027D6"/>
    <w:rsid w:val="00423FB7"/>
    <w:rsid w:val="004E63A5"/>
    <w:rsid w:val="00620794"/>
    <w:rsid w:val="00662666"/>
    <w:rsid w:val="00791265"/>
    <w:rsid w:val="007E7A7D"/>
    <w:rsid w:val="008E1800"/>
    <w:rsid w:val="0091600F"/>
    <w:rsid w:val="00AD5FB4"/>
    <w:rsid w:val="00B04EDD"/>
    <w:rsid w:val="00BE36A8"/>
    <w:rsid w:val="00C15A56"/>
    <w:rsid w:val="00CC5FE7"/>
    <w:rsid w:val="00DD7A4D"/>
    <w:rsid w:val="00E16816"/>
    <w:rsid w:val="00E235F0"/>
    <w:rsid w:val="00E44CF7"/>
    <w:rsid w:val="00F35C4E"/>
    <w:rsid w:val="0762DCA7"/>
    <w:rsid w:val="12D159AD"/>
    <w:rsid w:val="1A9AD670"/>
    <w:rsid w:val="224AD712"/>
    <w:rsid w:val="2BBD927A"/>
    <w:rsid w:val="43980C7A"/>
    <w:rsid w:val="4749D1A1"/>
    <w:rsid w:val="4B808578"/>
    <w:rsid w:val="4DA89A3C"/>
    <w:rsid w:val="502FD8A1"/>
    <w:rsid w:val="5222A1FB"/>
    <w:rsid w:val="594851D0"/>
    <w:rsid w:val="606214B1"/>
    <w:rsid w:val="66873260"/>
    <w:rsid w:val="6EE6C03B"/>
    <w:rsid w:val="7380550D"/>
    <w:rsid w:val="74527CBC"/>
    <w:rsid w:val="7BB1BBE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F4CB"/>
  <w15:chartTrackingRefBased/>
  <w15:docId w15:val="{71F594FE-6ECB-418B-B4CF-0FD07CF9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2079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5A2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20794"/>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115A29"/>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4027D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E44CF7"/>
    <w:pPr>
      <w:ind w:left="720"/>
      <w:contextualSpacing/>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header" Target="header.xml" Id="Ra619e51a291d4afd" /><Relationship Type="http://schemas.openxmlformats.org/officeDocument/2006/relationships/footer" Target="footer.xml" Id="R91520db94ce84c8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5BD8C814F7E440B7EA24AD9B1C1DEC" ma:contentTypeVersion="0" ma:contentTypeDescription="Create a new document." ma:contentTypeScope="" ma:versionID="f175ed05edf28f5d1f6e69d182212ad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AF4777-7429-4C55-9E2A-34E7340D465A}"/>
</file>

<file path=customXml/itemProps2.xml><?xml version="1.0" encoding="utf-8"?>
<ds:datastoreItem xmlns:ds="http://schemas.openxmlformats.org/officeDocument/2006/customXml" ds:itemID="{8596C67B-B43B-41C8-9F88-5A5B80DCA9A6}"/>
</file>

<file path=customXml/itemProps3.xml><?xml version="1.0" encoding="utf-8"?>
<ds:datastoreItem xmlns:ds="http://schemas.openxmlformats.org/officeDocument/2006/customXml" ds:itemID="{3593D940-8617-4C04-B0A2-E3229F602B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Peipman</dc:creator>
  <cp:keywords/>
  <dc:description/>
  <cp:lastModifiedBy>Danel Filippov</cp:lastModifiedBy>
  <cp:revision>30</cp:revision>
  <dcterms:created xsi:type="dcterms:W3CDTF">2023-03-09T12:40:00Z</dcterms:created>
  <dcterms:modified xsi:type="dcterms:W3CDTF">2025-10-17T06:06:42Z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0x010100F95BD8C814F7E440B7EA24AD9B1C1DEC</vt:lpwstr>
  </property>
  <property fmtid="{D5CDD505-2E9C-101B-9397-08002B2CF9AE}" pid="3" name="MediaServiceImageTags">
    <vt:lpwstr/>
  </property>
  <property fmtid="{D5CDD505-2E9C-101B-9397-08002B2CF9AE}" pid="4" name="Order">
    <vt:r8>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