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ГЛАВА 3. РАЗРАБОТКА ПРОГРАММНОГО (ИНФОРМАЦИОННОГО) КОМПЛЕКСА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&gt; **Как пользоваться документом.**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&gt; Текст соответствует требованию: описать реализацию модулей, классов, обращений к БД и пользовательского интерфейса.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&gt; Места вставки диаграмм помечены **«ВСТАВИТЬ РИСУНОК 3.X»** — экспортируйте соответствующий `.puml` в PNG и вставьте в Word под подписью.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&gt; Пути к PlantUML указаны относительно репозиториев проекта.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3.1. Общая характеристика этапа разработки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На этапе разработки программный комплекс Product-allergen был реализован в виде пяти микросервисов, спроектированных в главе 2. Каждый сервис — отдельный Maven-модуль на **Java 17** и **Spring Boot 3.x**, упакованный в Docker-образ и развёрнутый в сети `backend-net`.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Результатом разработки является **работающая программа**: REST API, доступное клиентскому приложению через единый шлюз, с персистентным хранением в PostgreSQL, MongoDB и Redis, асинхронным контуром на **Apache Kafka** и интеграцией с **GigaChat** и **Open Food Facts**.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3.1.1. Структура исходного кода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Микросервис</w:t>
            </w:r>
          </w:p>
        </w:tc>
        <w:tc>
          <w:tcPr>
            <w:tcW w:type="dxa" w:w="3230"/>
          </w:tcPr>
          <w:p>
            <w:r>
              <w:t>Репозиторий</w:t>
            </w:r>
          </w:p>
        </w:tc>
        <w:tc>
          <w:tcPr>
            <w:tcW w:type="dxa" w:w="3230"/>
          </w:tcPr>
          <w:p>
            <w:r>
              <w:t>Пакет / каталог исходников</w:t>
            </w:r>
          </w:p>
        </w:tc>
      </w:tr>
      <w:tr>
        <w:tc>
          <w:tcPr>
            <w:tcW w:type="dxa" w:w="3230"/>
          </w:tcPr>
          <w:p>
            <w:r>
              <w:t>gateway-service</w:t>
            </w:r>
          </w:p>
        </w:tc>
        <w:tc>
          <w:tcPr>
            <w:tcW w:type="dxa" w:w="3230"/>
          </w:tcPr>
          <w:p>
            <w:r>
              <w:t>Product-allergen-gateway</w:t>
            </w:r>
          </w:p>
        </w:tc>
        <w:tc>
          <w:tcPr>
            <w:tcW w:type="dxa" w:w="3230"/>
          </w:tcPr>
          <w:p>
            <w:r>
              <w:t>`gateway/src/main/java/ru/productallergen/gateway/`</w:t>
            </w:r>
          </w:p>
        </w:tc>
      </w:tr>
      <w:tr>
        <w:tc>
          <w:tcPr>
            <w:tcW w:type="dxa" w:w="3230"/>
          </w:tcPr>
          <w:p>
            <w:r>
              <w:t>auth-service</w:t>
            </w:r>
          </w:p>
        </w:tc>
        <w:tc>
          <w:tcPr>
            <w:tcW w:type="dxa" w:w="3230"/>
          </w:tcPr>
          <w:p>
            <w:r>
              <w:t>Product-allergen-auth</w:t>
            </w:r>
          </w:p>
        </w:tc>
        <w:tc>
          <w:tcPr>
            <w:tcW w:type="dxa" w:w="3230"/>
          </w:tcPr>
          <w:p>
            <w:r>
              <w:t>`auth-service/src/main/java/ru/productallergen/authservice/`</w:t>
            </w:r>
          </w:p>
        </w:tc>
      </w:tr>
      <w:tr>
        <w:tc>
          <w:tcPr>
            <w:tcW w:type="dxa" w:w="3230"/>
          </w:tcPr>
          <w:p>
            <w:r>
              <w:t>user-service</w:t>
            </w:r>
          </w:p>
        </w:tc>
        <w:tc>
          <w:tcPr>
            <w:tcW w:type="dxa" w:w="3230"/>
          </w:tcPr>
          <w:p>
            <w:r>
              <w:t>Product-allergen-user</w:t>
            </w:r>
          </w:p>
        </w:tc>
        <w:tc>
          <w:tcPr>
            <w:tcW w:type="dxa" w:w="3230"/>
          </w:tcPr>
          <w:p>
            <w:r>
              <w:t>`user-service/src/main/java/ru/productallergen/userservice/`</w:t>
            </w:r>
          </w:p>
        </w:tc>
      </w:tr>
      <w:tr>
        <w:tc>
          <w:tcPr>
            <w:tcW w:type="dxa" w:w="3230"/>
          </w:tcPr>
          <w:p>
            <w:r>
              <w:t>analytics-service</w:t>
            </w:r>
          </w:p>
        </w:tc>
        <w:tc>
          <w:tcPr>
            <w:tcW w:type="dxa" w:w="3230"/>
          </w:tcPr>
          <w:p>
            <w:r>
              <w:t>Product-allergen-new</w:t>
            </w:r>
          </w:p>
        </w:tc>
        <w:tc>
          <w:tcPr>
            <w:tcW w:type="dxa" w:w="3230"/>
          </w:tcPr>
          <w:p>
            <w:r>
              <w:t>`analytics-service/src/main/java/ru/productallergen/analytics/`</w:t>
            </w:r>
          </w:p>
        </w:tc>
      </w:tr>
      <w:tr>
        <w:tc>
          <w:tcPr>
            <w:tcW w:type="dxa" w:w="3230"/>
          </w:tcPr>
          <w:p>
            <w:r>
              <w:t>scan-service</w:t>
            </w:r>
          </w:p>
        </w:tc>
        <w:tc>
          <w:tcPr>
            <w:tcW w:type="dxa" w:w="3230"/>
          </w:tcPr>
          <w:p>
            <w:r>
              <w:t>Product-allergen-new (модуль scan)</w:t>
            </w:r>
          </w:p>
        </w:tc>
        <w:tc>
          <w:tcPr>
            <w:tcW w:type="dxa" w:w="3230"/>
          </w:tcPr>
          <w:p>
            <w:r>
              <w:t>`scan-service/src/main/java/` *(по структуре UML)*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UML-диаграммы реализации (варианты использования, последовательности, классов, компонентов, развёртывания) для каждого сервиса приведены в подразделах 3.2–3.6. Нумерация рисунков главы 3 продолжает логику главы 2: **рисунки 3.1–3.40** — по восемь диаграмм на каждый из пяти сервисов.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3.1.2. Сквозной технологический стек реализации</w:t>
      </w:r>
    </w:p>
    <w:p>
      <w:pPr>
        <w:pStyle w:val="ListBullet"/>
      </w:pPr>
      <w:r>
        <w:rPr>
          <w:rFonts w:ascii="Times New Roman" w:hAnsi="Times New Roman"/>
          <w:sz w:val="28"/>
        </w:rPr>
        <w:t>**Spring Web / Spring Cloud Gateway** — HTTP-слой;</w:t>
      </w:r>
    </w:p>
    <w:p>
      <w:pPr>
        <w:pStyle w:val="ListBullet"/>
      </w:pPr>
      <w:r>
        <w:rPr>
          <w:rFonts w:ascii="Times New Roman" w:hAnsi="Times New Roman"/>
          <w:sz w:val="28"/>
        </w:rPr>
        <w:t>**Spring Data JPA** — PostgreSQL (auth, user, analytics, scan);</w:t>
      </w:r>
    </w:p>
    <w:p>
      <w:pPr>
        <w:pStyle w:val="ListBullet"/>
      </w:pPr>
      <w:r>
        <w:rPr>
          <w:rFonts w:ascii="Times New Roman" w:hAnsi="Times New Roman"/>
          <w:sz w:val="28"/>
        </w:rPr>
        <w:t>**Spring Data MongoDB** — дневник user-service;</w:t>
      </w:r>
    </w:p>
    <w:p>
      <w:pPr>
        <w:pStyle w:val="ListBullet"/>
      </w:pPr>
      <w:r>
        <w:rPr>
          <w:rFonts w:ascii="Times New Roman" w:hAnsi="Times New Roman"/>
          <w:sz w:val="28"/>
        </w:rPr>
        <w:t>**Spring Data Redis** — refresh-токены auth-service;</w:t>
      </w:r>
    </w:p>
    <w:p>
      <w:pPr>
        <w:pStyle w:val="ListBullet"/>
      </w:pPr>
      <w:r>
        <w:rPr>
          <w:rFonts w:ascii="Times New Roman" w:hAnsi="Times New Roman"/>
          <w:sz w:val="28"/>
        </w:rPr>
        <w:t>**Spring Security** — аутентификация в auth-service;</w:t>
      </w:r>
    </w:p>
    <w:p>
      <w:pPr>
        <w:pStyle w:val="ListBullet"/>
      </w:pPr>
      <w:r>
        <w:rPr>
          <w:rFonts w:ascii="Times New Roman" w:hAnsi="Times New Roman"/>
          <w:sz w:val="28"/>
        </w:rPr>
        <w:t>**OpenFeign** — межсервисные вызовы analytics → gateway → user;</w:t>
      </w:r>
    </w:p>
    <w:p>
      <w:pPr>
        <w:pStyle w:val="ListBullet"/>
      </w:pPr>
      <w:r>
        <w:rPr>
          <w:rFonts w:ascii="Times New Roman" w:hAnsi="Times New Roman"/>
          <w:sz w:val="28"/>
        </w:rPr>
        <w:t>**JasperReports** — генерация PDF в analytics-service;</w:t>
      </w:r>
    </w:p>
    <w:p>
      <w:pPr>
        <w:pStyle w:val="ListBullet"/>
      </w:pPr>
      <w:r>
        <w:rPr>
          <w:rFonts w:ascii="Times New Roman" w:hAnsi="Times New Roman"/>
          <w:sz w:val="28"/>
        </w:rPr>
        <w:t>**Spring Kafka** — асинхронная передача `ReportDataDto` для AI-обогащения;</w:t>
      </w:r>
    </w:p>
    <w:p>
      <w:pPr>
        <w:pStyle w:val="ListBullet"/>
      </w:pPr>
      <w:r>
        <w:rPr>
          <w:rFonts w:ascii="Times New Roman" w:hAnsi="Times New Roman"/>
          <w:sz w:val="28"/>
        </w:rPr>
        <w:t>**Docker Compose** — локальное и продуктивное развёртывание.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3.2. Разработка API Gateway (gateway-service)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3.2.1. Назначение реализованного модуля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**gateway-service** — единственная внешняя точка входа (порт **8080**). Реализован на **Spring Cloud Gateway** (реактивный стек). Модуль не содержит бизнес-логики аллергий: он маршрутизирует запросы, проверяет JWT для защищённых маршрутов и добавляет доверенные заголовки для downstream-сервисов.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Конфигурация маршрутов (`gateway/src/main/resources/application.yml`):</w:t>
      </w:r>
    </w:p>
    <w:p>
      <w:pPr>
        <w:pStyle w:val="ListBullet"/>
      </w:pPr>
      <w:r>
        <w:rPr>
          <w:rFonts w:ascii="Times New Roman" w:hAnsi="Times New Roman"/>
          <w:sz w:val="28"/>
        </w:rPr>
        <w:t>`Path=/auth/**` → `http://auth-service:8080` (без фильтра JWT);</w:t>
      </w:r>
    </w:p>
    <w:p>
      <w:pPr>
        <w:pStyle w:val="ListBullet"/>
      </w:pPr>
      <w:r>
        <w:rPr>
          <w:rFonts w:ascii="Times New Roman" w:hAnsi="Times New Roman"/>
          <w:sz w:val="28"/>
        </w:rPr>
        <w:t>`Path=/api/**` → `http://user-service:8080` с фильтром `AuthenticationFilter`.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3.2.2. Основные классы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Класс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`GatewayApplication`</w:t>
            </w:r>
          </w:p>
        </w:tc>
        <w:tc>
          <w:tcPr>
            <w:tcW w:type="dxa" w:w="4844"/>
          </w:tcPr>
          <w:p>
            <w:r>
              <w:t>Точка входа Spring Boot</w:t>
            </w:r>
          </w:p>
        </w:tc>
      </w:tr>
      <w:tr>
        <w:tc>
          <w:tcPr>
            <w:tcW w:type="dxa" w:w="4844"/>
          </w:tcPr>
          <w:p>
            <w:r>
              <w:t>`AuthenticationFilter`</w:t>
            </w:r>
          </w:p>
        </w:tc>
        <w:tc>
          <w:tcPr>
            <w:tcW w:type="dxa" w:w="4844"/>
          </w:tcPr>
          <w:p>
            <w:r>
              <w:t>Фабрика фильтра Gateway: извлечение Bearer-токена, валидация, заголовки `X-User-Id`, `X-Internal-Gateway-Token`</w:t>
            </w:r>
          </w:p>
        </w:tc>
      </w:tr>
      <w:tr>
        <w:tc>
          <w:tcPr>
            <w:tcW w:type="dxa" w:w="4844"/>
          </w:tcPr>
          <w:p>
            <w:r>
              <w:t>`JwtUtils`</w:t>
            </w:r>
          </w:p>
        </w:tc>
        <w:tc>
          <w:tcPr>
            <w:tcW w:type="dxa" w:w="4844"/>
          </w:tcPr>
          <w:p>
            <w:r>
              <w:t>Проверка подписи и срока JWT, извлечение claim `id`</w:t>
            </w:r>
          </w:p>
        </w:tc>
      </w:tr>
      <w:tr>
        <w:tc>
          <w:tcPr>
            <w:tcW w:type="dxa" w:w="4844"/>
          </w:tcPr>
          <w:p>
            <w:r>
              <w:t>`Config` (вложенный класс фильтра)</w:t>
            </w:r>
          </w:p>
        </w:tc>
        <w:tc>
          <w:tcPr>
            <w:tcW w:type="dxa" w:w="4844"/>
          </w:tcPr>
          <w:p>
            <w:r>
              <w:t>Флаг `skipAuth` для тестового режима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Класс `AuthenticationFilter` при успешной проверке модифицирует запрос:</w:t>
      </w:r>
    </w:p>
    <w:p>
      <w:r>
        <w:rPr>
          <w:rFonts w:ascii="Consolas" w:hAnsi="Consolas"/>
          <w:sz w:val="22"/>
        </w:rPr>
        <w:t>ServerHttpRequest modifiedRequest = request.mutate()</w:t>
        <w:br/>
        <w:t xml:space="preserve">    .header(X_USER_ID, userId)</w:t>
        <w:br/>
        <w:t xml:space="preserve">    .header(X_INTERNAL_TOKEN, internalSecret)</w:t>
        <w:br/>
        <w:t xml:space="preserve">    .build();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При отсутствии или невалидности токена возвращается **HTTP 401** без обращения к user-service — это снижает нагрузку и исключает обход периметра.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3.2.3. Диаграммы gateway-service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`Product-allergen-gateway/gateway/docs/uml/plantuml/01-use-case.puml`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*Подпись:* «Рисунок 3.1 — Варианты использования gateway-service».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`02-sequence-api-protected.puml` — защищённый запрос `/api/**`.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`03-sequence-auth-route.puml` — маршрут `/auth/**` без JWT.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3.4**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`04-sequence-unauthorized.puml` — отказ при невалидном токене.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3.5**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`05-sequence-cors.puml` — обработка CORS для браузерного клиента.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3.6**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`06-class.puml` — структура классов шлюза.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3.7**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`07-component.puml` — компоненты и связи с микросервисами.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3.8**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Файл:* `08-deployment.puml` — развёртывание контейнера gateway.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*Текст к рис. 3.2:* при вызове защищённого API клиент передаёт `Authorization: Bearer &lt;access&gt;`. Шлюз валидирует тип токена (`access`), извлекает UUID пользователя и передаёт его в user-service, не раскрывая JWT downstream-сервису.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Реализация прецедентов шлюза (по диаграммам)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**UC-GW-01 — проксирование `/auth/**` (рис. 3.3).** Запросы регистрации и входа не содержат access-токена. Gateway перенаправляет HTTP-поток в auth-service без вызова `AuthenticationFilter`, сохраняя тело JSON и коды ответов 200/401/409.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**UC-GW-02 — защищённый API (рис. 3.2).** Для `/api/**` цепочка реактивного фильтра выполняется до `NettyRoutingFilter`. Ошибка на любом шаге завершает exchange с 401 — user-service не вызывается.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**UC-GW-03 — отказ в доступе (рис. 3.4).** Сценарий документирует поведение при просроченном access, подделанной подписи или отсутствии префикса `Bearer `. Клиент должен инициировать refresh или повторный login.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**CORS (рис. 3.5).** Глобальная секция `globalcors` в `application.yml` разрешает методы GET/POST/PUT/DELETE/OPTIONS и заголовок `Authorization`, что необходимо для SPA и мобильных WebView.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**Компоненты (рис. 3.7).** Видны границы: Spring Cloud Gateway, кастомный фильтр, утилита JWT, внешние контейнеры auth и user. Связь «зависимость» означает использование одного `JWT_SECRET` на этапе валидации (секрет задаётся переменной окружения в Docker).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**Развёртывание (рис. 3.8).** Контейнер `gateway-service` публикует порт 8080 наружу; внутренняя сеть `backend-net` скрывает порты микросервисов от интернета.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3.3. Разработка сервиса аутентификации (auth-service)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3.3.1. Назначение и REST API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**auth-service** реализует регистрацию, вход, выход и обновление пары токенов. Контроллер `AuthController` (`@RequestMapping("/auth")`) предоставляет: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Метод</w:t>
            </w:r>
          </w:p>
        </w:tc>
        <w:tc>
          <w:tcPr>
            <w:tcW w:type="dxa" w:w="3230"/>
          </w:tcPr>
          <w:p>
            <w:r>
              <w:t>Путь</w:t>
            </w:r>
          </w:p>
        </w:tc>
        <w:tc>
          <w:tcPr>
            <w:tcW w:type="dxa" w:w="3230"/>
          </w:tcPr>
          <w:p>
            <w:r>
              <w:t>Действие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`/auth/register`</w:t>
            </w:r>
          </w:p>
        </w:tc>
        <w:tc>
          <w:tcPr>
            <w:tcW w:type="dxa" w:w="3230"/>
          </w:tcPr>
          <w:p>
            <w:r>
              <w:t>Создание учётной записи, выдача access + refresh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`/auth/login`</w:t>
            </w:r>
          </w:p>
        </w:tc>
        <w:tc>
          <w:tcPr>
            <w:tcW w:type="dxa" w:w="3230"/>
          </w:tcPr>
          <w:p>
            <w:r>
              <w:t>Проверка пароля, выдача токенов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`/auth/logout`</w:t>
            </w:r>
          </w:p>
        </w:tc>
        <w:tc>
          <w:tcPr>
            <w:tcW w:type="dxa" w:w="3230"/>
          </w:tcPr>
          <w:p>
            <w:r>
              <w:t>Отзыв refresh-токена в Redis</w:t>
            </w:r>
          </w:p>
        </w:tc>
      </w:tr>
      <w:tr>
        <w:tc>
          <w:tcPr>
            <w:tcW w:type="dxa" w:w="3230"/>
          </w:tcPr>
          <w:p>
            <w:r>
              <w:t>POST</w:t>
            </w:r>
          </w:p>
        </w:tc>
        <w:tc>
          <w:tcPr>
            <w:tcW w:type="dxa" w:w="3230"/>
          </w:tcPr>
          <w:p>
            <w:r>
              <w:t>`/auth/refresh`</w:t>
            </w:r>
          </w:p>
        </w:tc>
        <w:tc>
          <w:tcPr>
            <w:tcW w:type="dxa" w:w="3230"/>
          </w:tcPr>
          <w:p>
            <w:r>
              <w:t>Новый access по действующему refresh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Ответ унифицирован DTO `AuthResponse` (accessToken, refreshToken). Валидация входных данных — Jakarta Bean Validation на `LoginRequest`, `RegisterRequest`.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3.3.2. Реализация бизнес-логики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Класс **`AuthService`** координирует: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1. **Регистрация** — проверка `userRepository.existsByEmail`, хеширование пароля `PasswordEncoder` (BCrypt), сохранение сущности `User`, генерация JWT, запись refresh в Redis.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2. **Вход** — `AuthenticationManager` + `UsernamePasswordAuthenticationToken`, отзыв старых refresh для email (`revokeOldTokensByEmail`), выдача новой пары.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3. **Refresh** — двойная проверка: подпись JWT (`JwtService.validateToken(..., "refresh")`) и наличие ключа в Redis (`RefreshTokenService.isValid`).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4. **Logout** — удаление ключа refresh и исключение из множества `user_tokens:&lt;email&gt;`.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Класс **`JwtService`** формирует токены на **HS256** с claim `id` (UUID пользователя) и `type` (`access` / `refresh`). Сроки из конфигурации: access — 900000 мс (15 мин), refresh — 604800000 мс (7 сут).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3.3.3. Работа с базами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**PostgreSQL (`allergen_pg`), таблица `users`**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Сущность `User` (`@Entity`, `@Table(name = "users")`):</w:t>
      </w:r>
    </w:p>
    <w:p>
      <w:pPr>
        <w:pStyle w:val="ListBullet"/>
      </w:pPr>
      <w:r>
        <w:rPr>
          <w:rFonts w:ascii="Times New Roman" w:hAnsi="Times New Roman"/>
          <w:sz w:val="28"/>
        </w:rPr>
        <w:t>`id` — UUID, `@GeneratedValue(strategy = GenerationType.UUID)`;</w:t>
      </w:r>
    </w:p>
    <w:p>
      <w:pPr>
        <w:pStyle w:val="ListBullet"/>
      </w:pPr>
      <w:r>
        <w:rPr>
          <w:rFonts w:ascii="Times New Roman" w:hAnsi="Times New Roman"/>
          <w:sz w:val="28"/>
        </w:rPr>
        <w:t>`email` — уникальный, NOT NULL;</w:t>
      </w:r>
    </w:p>
    <w:p>
      <w:pPr>
        <w:pStyle w:val="ListBullet"/>
      </w:pPr>
      <w:r>
        <w:rPr>
          <w:rFonts w:ascii="Times New Roman" w:hAnsi="Times New Roman"/>
          <w:sz w:val="28"/>
        </w:rPr>
        <w:t>`password` — хеш BCrypt;</w:t>
      </w:r>
    </w:p>
    <w:p>
      <w:pPr>
        <w:pStyle w:val="ListBullet"/>
      </w:pPr>
      <w:r>
        <w:rPr>
          <w:rFonts w:ascii="Times New Roman" w:hAnsi="Times New Roman"/>
          <w:sz w:val="28"/>
        </w:rPr>
        <w:t>`is_active`, `created_at`, `updated_at` — служебные поля.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Типовые запросы (через Spring Data JPA):</w:t>
      </w:r>
    </w:p>
    <w:p>
      <w:r>
        <w:rPr>
          <w:rFonts w:ascii="Consolas" w:hAnsi="Consolas"/>
          <w:sz w:val="22"/>
        </w:rPr>
        <w:t>-- при регистрации</w:t>
        <w:br/>
        <w:t>INSERT INTO users (id, email, password, is_active, created_at, updated_at) VALUES (...);</w:t>
        <w:br/>
        <w:br/>
        <w:t>-- при входе</w:t>
        <w:br/>
        <w:t>SELECT * FROM users WHERE email = ?;</w:t>
        <w:br/>
        <w:br/>
        <w:t>-- проверка дубликата</w:t>
        <w:br/>
        <w:t>SELECT EXISTS(SELECT 1 FROM users WHERE email = ?);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Hibernate `ddl-auto: update` создаёт и обновляет схему при старте контейнера.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**Redis — refresh-токены**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`RefreshTokenService` использует две структуры:</w:t>
      </w:r>
    </w:p>
    <w:p>
      <w:pPr>
        <w:pStyle w:val="ListBullet"/>
      </w:pPr>
      <w:r>
        <w:rPr>
          <w:rFonts w:ascii="Times New Roman" w:hAnsi="Times New Roman"/>
          <w:sz w:val="28"/>
        </w:rPr>
        <w:t>ключ = сам refresh-токен, значение = email, TTL 7 дней;</w:t>
      </w:r>
    </w:p>
    <w:p>
      <w:pPr>
        <w:pStyle w:val="ListBullet"/>
      </w:pPr>
      <w:r>
        <w:rPr>
          <w:rFonts w:ascii="Times New Roman" w:hAnsi="Times New Roman"/>
          <w:sz w:val="28"/>
        </w:rPr>
        <w:t>множество `user_tokens:&lt;email&gt;` — все активные refresh пользователя для массового отзыва при новом входе.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Операции: `SET`, `SADD`, `EXPIRE`, `DEL` — через `RedisTemplate&lt;String, String&gt;`.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3.3.4. Обработка ошибок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`GlobalExceptionHandler` возвращает JSON `ApiErrorResponse` с кодами **400** (валидация), **401** (неверные учётные данные / refresh), **409** (email занят).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3.3.5. Диаграммы auth-service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3.9** — `Product-allergen-auth/auth-service/plantuml/01-use-case.puml`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Подпись:* «Рисунок 3.9 — Варианты использования auth-service».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3.10** — `02-sequence-login.puml`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3.11** — `03-sequence-register.puml`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3.12** — `04-sequence-logout.puml`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3.13** — `05-sequence-refresh.puml`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3.14** — `06-class.puml`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3.15** — `07-component.puml`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ВСТАВИТЬ РИСУНОК 3.16** — `08-deployment.puml` (PostgreSQL + Redis + контейнер auth).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*Текст к рис. 3.10:* последовательность входа отражает фактическую цепочку: `AuthController` → `AuthService.login` → `AuthenticationManager` → `UserRepository` → `JwtService` + `RefreshTokenService`.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Детализация сценариев auth-service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**Регистрация (рис. 3.11).** После `save(user)` генерируются оба токена; refresh сразу помещается в Redis. Клиент получает UUID в claim access-токена — этот идентификатор далее используется во всех сервисах как `user_id`.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**Выход (рис. 3.12).** Logout идемпотентен: повторный вызов с тем же refresh не приводит к ошибке. Отозванный refresh не проходит проверку `isValid` при попытке обновления access.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**Refresh (рис. 3.13).** Access перевыпускается, refresh остаётся прежним (ротация refresh при необходимости может быть добавлена отдельной задачей). Срок access 15 минут стимулирует частое обновление без повторного ввода пароля.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**Классы (рис. 3.14).** Связи Controller → Service → Repository соответствуют слоям Spring. `JwtService` и `RefreshTokenService` вынесены для соблюдения SRP и упрощения модульных тестов (`JwtServiceTest`, `AuthServiceTest`).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**Безопасность паролей.** `SecurityConfig` регистрирует `BCryptPasswordEncoder` strength 10. Пароль никогда не логируется и не возвращается в API.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3.4. Разработка сервиса пользовательских данных (user-service)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3.4.1. Назначение модуля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**user-service** — крупнейший модуль комплекса. Хранит медицинский профиль, дневник питания, симптомы, самочувствие, лекарства и справочники. API размещено под префиксом `/api/**`; идентификатор пользователя не передаётся клиентом в теле запроса — он извлекается из заголовка **`X-User-Id`**, установленного шлюзом.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Защита от прямого доступа: фильтр **`InternalGatewayFilter`** проверяет **`X-Internal-Gateway-Token`** (общий секрет с gateway и analytics). Без корректного токена возвращается **401**.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Резолвер **`UserIdArgumentResolver`** + аннотация `@CurrentUserId` подставляют UUID в параметры контроллеров.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3.4.2. Структура пакетов и основные классы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Пакет / модуль</w:t>
            </w:r>
          </w:p>
        </w:tc>
        <w:tc>
          <w:tcPr>
            <w:tcW w:type="dxa" w:w="3230"/>
          </w:tcPr>
          <w:p>
            <w:r>
              <w:t>Ключевые классы</w:t>
            </w:r>
          </w:p>
        </w:tc>
        <w:tc>
          <w:tcPr>
            <w:tcW w:type="dxa" w:w="3230"/>
          </w:tcPr>
          <w:p>
            <w:r>
              <w:t>Функция</w:t>
            </w:r>
          </w:p>
        </w:tc>
      </w:tr>
      <w:tr>
        <w:tc>
          <w:tcPr>
            <w:tcW w:type="dxa" w:w="3230"/>
          </w:tcPr>
          <w:p>
            <w:r>
              <w:t>`userInfo`</w:t>
            </w:r>
          </w:p>
        </w:tc>
        <w:tc>
          <w:tcPr>
            <w:tcW w:type="dxa" w:w="3230"/>
          </w:tcPr>
          <w:p>
            <w:r>
              <w:t>`FoodIntakeController`, `FoodIntakeService`, документы MongoDB</w:t>
            </w:r>
          </w:p>
        </w:tc>
        <w:tc>
          <w:tcPr>
            <w:tcW w:type="dxa" w:w="3230"/>
          </w:tcPr>
          <w:p>
            <w:r>
              <w:t>Дневник питания</w:t>
            </w:r>
          </w:p>
        </w:tc>
      </w:tr>
      <w:tr>
        <w:tc>
          <w:tcPr>
            <w:tcW w:type="dxa" w:w="3230"/>
          </w:tcPr>
          <w:p>
            <w:r>
              <w:t>`symptoms`</w:t>
            </w:r>
          </w:p>
        </w:tc>
        <w:tc>
          <w:tcPr>
            <w:tcW w:type="dxa" w:w="3230"/>
          </w:tcPr>
          <w:p>
            <w:r>
              <w:t>`SymptomController`, `SymptomServiceImpl`</w:t>
            </w:r>
          </w:p>
        </w:tc>
        <w:tc>
          <w:tcPr>
            <w:tcW w:type="dxa" w:w="3230"/>
          </w:tcPr>
          <w:p>
            <w:r>
              <w:t>Симптомы (справочник PG + записи Mongo)</w:t>
            </w:r>
          </w:p>
        </w:tc>
      </w:tr>
      <w:tr>
        <w:tc>
          <w:tcPr>
            <w:tcW w:type="dxa" w:w="3230"/>
          </w:tcPr>
          <w:p>
            <w:r>
              <w:t>`medicines`</w:t>
            </w:r>
          </w:p>
        </w:tc>
        <w:tc>
          <w:tcPr>
            <w:tcW w:type="dxa" w:w="3230"/>
          </w:tcPr>
          <w:p>
            <w:r>
              <w:t>`MedicineController`, `IntakeMedicineController`</w:t>
            </w:r>
          </w:p>
        </w:tc>
        <w:tc>
          <w:tcPr>
            <w:tcW w:type="dxa" w:w="3230"/>
          </w:tcPr>
          <w:p>
            <w:r>
              <w:t>Лекарства и приёмы</w:t>
            </w:r>
          </w:p>
        </w:tc>
      </w:tr>
      <w:tr>
        <w:tc>
          <w:tcPr>
            <w:tcW w:type="dxa" w:w="3230"/>
          </w:tcPr>
          <w:p>
            <w:r>
              <w:t>`food`</w:t>
            </w:r>
          </w:p>
        </w:tc>
        <w:tc>
          <w:tcPr>
            <w:tcW w:type="dxa" w:w="3230"/>
          </w:tcPr>
          <w:p>
            <w:r>
              <w:t>`FoodController`, `FoodServiceImpl`</w:t>
            </w:r>
          </w:p>
        </w:tc>
        <w:tc>
          <w:tcPr>
            <w:tcW w:type="dxa" w:w="3230"/>
          </w:tcPr>
          <w:p>
            <w:r>
              <w:t>Справочник продуктов и компонентов</w:t>
            </w:r>
          </w:p>
        </w:tc>
      </w:tr>
      <w:tr>
        <w:tc>
          <w:tcPr>
            <w:tcW w:type="dxa" w:w="3230"/>
          </w:tcPr>
          <w:p>
            <w:r>
              <w:t>`foodanalyzer`</w:t>
            </w:r>
          </w:p>
        </w:tc>
        <w:tc>
          <w:tcPr>
            <w:tcW w:type="dxa" w:w="3230"/>
          </w:tcPr>
          <w:p>
            <w:r>
              <w:t>`FoodAnalyzerController`, `FoodAnalyzerServiceFacade`</w:t>
            </w:r>
          </w:p>
        </w:tc>
        <w:tc>
          <w:tcPr>
            <w:tcW w:type="dxa" w:w="3230"/>
          </w:tcPr>
          <w:p>
            <w:r>
              <w:t>Корреляция «компонент еды — симптом»</w:t>
            </w:r>
          </w:p>
        </w:tc>
      </w:tr>
      <w:tr>
        <w:tc>
          <w:tcPr>
            <w:tcW w:type="dxa" w:w="3230"/>
          </w:tcPr>
          <w:p>
            <w:r>
              <w:t>`config`</w:t>
            </w:r>
          </w:p>
        </w:tc>
        <w:tc>
          <w:tcPr>
            <w:tcW w:type="dxa" w:w="3230"/>
          </w:tcPr>
          <w:p>
            <w:r>
              <w:t>`SecurityConfig`, `MongoConfig`, `WebConfig`</w:t>
            </w:r>
          </w:p>
        </w:tc>
        <w:tc>
          <w:tcPr>
            <w:tcW w:type="dxa" w:w="3230"/>
          </w:tcPr>
          <w:p>
            <w:r>
              <w:t>Безопасность и MVC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Пример REST для дневника (`FoodIntakeController`):</w:t>
      </w:r>
    </w:p>
    <w:p>
      <w:pPr>
        <w:pStyle w:val="ListBullet"/>
      </w:pPr>
      <w:r>
        <w:rPr>
          <w:rFonts w:ascii="Times New Roman" w:hAnsi="Times New Roman"/>
          <w:sz w:val="28"/>
        </w:rPr>
        <w:t>`POST /api/feelings/food` — создание приёма пищи;</w:t>
      </w:r>
    </w:p>
    <w:p>
      <w:pPr>
        <w:pStyle w:val="ListBullet"/>
      </w:pPr>
      <w:r>
        <w:rPr>
          <w:rFonts w:ascii="Times New Roman" w:hAnsi="Times New Roman"/>
          <w:sz w:val="28"/>
        </w:rPr>
        <w:t>`GET /api/feelings/food` — выборка по дате;</w:t>
      </w:r>
    </w:p>
    <w:p>
      <w:pPr>
        <w:pStyle w:val="ListBullet"/>
      </w:pPr>
      <w:r>
        <w:rPr>
          <w:rFonts w:ascii="Times New Roman" w:hAnsi="Times New Roman"/>
          <w:sz w:val="28"/>
        </w:rPr>
        <w:t>`PUT` / `DELETE` — изменение и удаление записей.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Пищевой анализатор (`GET /api/food-analyzer/analyze?from=&amp;to=`) возвращает список `FoodComponentSymptomsResponse` — компоненты, после которых в «окне риска» фиксировались симптомы.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3.4.3. Реализация пищевого анализатора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`FoodAnalyzerServiceFacade` агрегирует данные из MongoDB (приёмы пищи, симптомы за период) и PostgreSQL (состав продуктов `food` / `food_components`). Алгоритм в `FoodComponentAnalyzerServiceImpl`: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1. выбрать все приёмы пищи пользователя в интервале `[from, to]`;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2. для каждого компонента продукта определить, были ли симптомы в заданном интервале после приёма;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3. сформировать DTO с именем компонента и списком связанных симптомов.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Результат используется **analytics-service** при формировании PDF-отчёта.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3.4.4. Обращения к базам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**PostgreSQL (`user_pg`)**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Таблицы: `food`, `food_components`, `symptom`, `medicine`, `intake_medicine`. Связь с пользователем — поле `user_id` (UUID из auth-service, без FK на другую БД).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Примеры запросов уровня приложения:</w:t>
      </w:r>
    </w:p>
    <w:p>
      <w:r>
        <w:rPr>
          <w:rFonts w:ascii="Consolas" w:hAnsi="Consolas"/>
          <w:sz w:val="22"/>
        </w:rPr>
        <w:t>SELECT f.* FROM food f WHERE f.user_id = :userId;</w:t>
        <w:br/>
        <w:t>SELECT fc.* FROM food_components fc WHERE fc.food_id = :foodId;</w:t>
        <w:br/>
        <w:t>SELECT m.* FROM medicine m WHERE m.user_id = :userId;</w:t>
        <w:br/>
        <w:t>SELECT im.* FROM intake_medicine im</w:t>
        <w:br/>
        <w:t xml:space="preserve">  WHERE im.user_id = :userId AND im.intake_date BETWEEN :from AND :to;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**MongoDB (`health_tracker`)**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Коллекции: `user_info`, `food_intakes`, `symptoms`, `common_feelings`, `notes`. Доступ через репозитории `MongoRepository` / `MongoTemplate`. Пример логики:</w:t>
      </w:r>
    </w:p>
    <w:p>
      <w:r>
        <w:rPr>
          <w:rFonts w:ascii="Consolas" w:hAnsi="Consolas"/>
          <w:sz w:val="22"/>
        </w:rPr>
        <w:t>db.food_intakes.find({</w:t>
        <w:br/>
        <w:t xml:space="preserve">  userId: UUID("..."),</w:t>
        <w:br/>
        <w:t xml:space="preserve">  intakeDate: { $gte: ISODate("..."), $lte: ISODate("...") }</w:t>
        <w:br/>
        <w:t>})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Документ `user_info` содержит вложенные списки аллергенов, хронических заболевений, антропометрию — структура гибко расширяется без миграций SQL.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3.4.5. Диаграммы user-service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3.17** — `user-service/docs/uml/plantuml/01-use-case.puml`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3.18** — `02-sequence-food-intake.puml`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3.19** — `03-sequence-food-analyzer.puml`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3.20** — `04-sequence-symptoms.puml`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3.21** — `05-sequence-user-info.puml`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3.22** — `06-class.puml`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3.23** — `07-component.puml`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3.24** — `08-deployment.puml` (PostgreSQL + MongoDB).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*Подпись к рис. 3.19:* «Рисунок 3.19 — Последовательность анализа пищевых компонентов и симптомов».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Дополнительная реализация user-service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**Справочники food/symptom.** При первом запуске `FoodDbLoader` и `SymptomDbLoader` загружают JSON-справочники в PostgreSQL, чтобы пользователь выбирал продукты и симптомы из нормализованного списка, а не вводил произвольный текст.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**Лекарства.** `MedicineController` управляет справочником препаратов; `IntakeMedicineController` — фактами приёма с датой/дозой. Analytics агрегирует приёмы за период отчёта.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**Профиль (рис. 3.21).** `user_info` в MongoDB хранит списки аллергенов и хронических заболеваний; scan-service и аналитика используют те же данные через Feign.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**Симптомы (рис. 3.20).** Запись симптома связывает справочный `symptom_id` с пользовательской оценкой тяжести и временным интервалом в MongoDB.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**Развёртывание (рис. 3.24).** Один контейнер user-service подключается к двум СУБД; переменные `SPRING_DATA_MONGODB_URI` и JDBC URL задаются в docker-compose.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**Тестирование API.** Документация OpenAPI (`OpenApiConfig`) доступна по `/swagger-ui.html` при обходе `InternalGatewayFilter` для путей swagger.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3.5. Разработка сервиса аналитики (analytics-service)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3.5.1. Назначение модуля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**analytics-service** формирует **медицинский PDF-отчёт** за период. Точка входа — `ReportController` (`@RequestMapping("/reports")`):</w:t>
      </w:r>
    </w:p>
    <w:p>
      <w:pPr>
        <w:pStyle w:val="ListBullet"/>
      </w:pPr>
      <w:r>
        <w:rPr>
          <w:rFonts w:ascii="Times New Roman" w:hAnsi="Times New Roman"/>
          <w:sz w:val="28"/>
        </w:rPr>
        <w:t>`GET /reports/generate?from=&amp;to=` — сбор данных, JasperReports, ответ `application/pdf`;</w:t>
      </w:r>
    </w:p>
    <w:p>
      <w:pPr>
        <w:pStyle w:val="ListBullet"/>
      </w:pPr>
      <w:r>
        <w:rPr>
          <w:rFonts w:ascii="Times New Roman" w:hAnsi="Times New Roman"/>
          <w:sz w:val="28"/>
        </w:rPr>
        <w:t>`GET /reports/download` — PDF из переданного `ReportDataDto` (без повторного Feign).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Пользователь определяется атрибутом `currentUserId`, установленным `InternalGatewayFilter` из заголовка `X-User-Id`.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3.5.2. Классы и взаимодействие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Класс</w:t>
            </w:r>
          </w:p>
        </w:tc>
        <w:tc>
          <w:tcPr>
            <w:tcW w:type="dxa" w:w="4844"/>
          </w:tcPr>
          <w:p>
            <w:r>
              <w:t>Роль</w:t>
            </w:r>
          </w:p>
        </w:tc>
      </w:tr>
      <w:tr>
        <w:tc>
          <w:tcPr>
            <w:tcW w:type="dxa" w:w="4844"/>
          </w:tcPr>
          <w:p>
            <w:r>
              <w:t>`ReportController`</w:t>
            </w:r>
          </w:p>
        </w:tc>
        <w:tc>
          <w:tcPr>
            <w:tcW w:type="dxa" w:w="4844"/>
          </w:tcPr>
          <w:p>
            <w:r>
              <w:t>REST-слой</w:t>
            </w:r>
          </w:p>
        </w:tc>
      </w:tr>
      <w:tr>
        <w:tc>
          <w:tcPr>
            <w:tcW w:type="dxa" w:w="4844"/>
          </w:tcPr>
          <w:p>
            <w:r>
              <w:t>`ReportService`</w:t>
            </w:r>
          </w:p>
        </w:tc>
        <w:tc>
          <w:tcPr>
            <w:tcW w:type="dxa" w:w="4844"/>
          </w:tcPr>
          <w:p>
            <w:r>
              <w:t>`fillReport`, `generateMedicalReport`, `transformToAnalysis`</w:t>
            </w:r>
          </w:p>
        </w:tc>
      </w:tr>
      <w:tr>
        <w:tc>
          <w:tcPr>
            <w:tcW w:type="dxa" w:w="4844"/>
          </w:tcPr>
          <w:p>
            <w:r>
              <w:t>`UserServiceClient`</w:t>
            </w:r>
          </w:p>
        </w:tc>
        <w:tc>
          <w:tcPr>
            <w:tcW w:type="dxa" w:w="4844"/>
          </w:tcPr>
          <w:p>
            <w:r>
              <w:t>Feign-клиент к `http://gateway-service:8080`</w:t>
            </w:r>
          </w:p>
        </w:tc>
      </w:tr>
      <w:tr>
        <w:tc>
          <w:tcPr>
            <w:tcW w:type="dxa" w:w="4844"/>
          </w:tcPr>
          <w:p>
            <w:r>
              <w:t>`FeignConfig`</w:t>
            </w:r>
          </w:p>
        </w:tc>
        <w:tc>
          <w:tcPr>
            <w:tcW w:type="dxa" w:w="4844"/>
          </w:tcPr>
          <w:p>
            <w:r>
              <w:t>Проброс `X-User-Id` и `X-Internal-Gateway-Token`</w:t>
            </w:r>
          </w:p>
        </w:tc>
      </w:tr>
      <w:tr>
        <w:tc>
          <w:tcPr>
            <w:tcW w:type="dxa" w:w="4844"/>
          </w:tcPr>
          <w:p>
            <w:r>
              <w:t>`JasperConfig`</w:t>
            </w:r>
          </w:p>
        </w:tc>
        <w:tc>
          <w:tcPr>
            <w:tcW w:type="dxa" w:w="4844"/>
          </w:tcPr>
          <w:p>
            <w:r>
              <w:t>Компиляция шаблона `medical_report.jrxml`</w:t>
            </w:r>
          </w:p>
        </w:tc>
      </w:tr>
      <w:tr>
        <w:tc>
          <w:tcPr>
            <w:tcW w:type="dxa" w:w="4844"/>
          </w:tcPr>
          <w:p>
            <w:r>
              <w:t>`MedicalReport` / `MedicalReportRepository`</w:t>
            </w:r>
          </w:p>
        </w:tc>
        <w:tc>
          <w:tcPr>
            <w:tcW w:type="dxa" w:w="4844"/>
          </w:tcPr>
          <w:p>
            <w:r>
              <w:t>Сохранение PDF в `report_pg`</w:t>
            </w:r>
          </w:p>
        </w:tc>
      </w:tr>
      <w:tr>
        <w:tc>
          <w:tcPr>
            <w:tcW w:type="dxa" w:w="4844"/>
          </w:tcPr>
          <w:p>
            <w:r>
              <w:t>`ReportDataProducer`</w:t>
            </w:r>
          </w:p>
        </w:tc>
        <w:tc>
          <w:tcPr>
            <w:tcW w:type="dxa" w:w="4844"/>
          </w:tcPr>
          <w:p>
            <w:r>
              <w:t>Публикация в Kafka</w:t>
            </w:r>
          </w:p>
        </w:tc>
      </w:tr>
      <w:tr>
        <w:tc>
          <w:tcPr>
            <w:tcW w:type="dxa" w:w="4844"/>
          </w:tcPr>
          <w:p>
            <w:r>
              <w:t>`AiAnalysisConsumer`</w:t>
            </w:r>
          </w:p>
        </w:tc>
        <w:tc>
          <w:tcPr>
            <w:tcW w:type="dxa" w:w="4844"/>
          </w:tcPr>
          <w:p>
            <w:r>
              <w:t>Потребление топика, вызов GigaChat</w:t>
            </w:r>
          </w:p>
        </w:tc>
      </w:tr>
      <w:tr>
        <w:tc>
          <w:tcPr>
            <w:tcW w:type="dxa" w:w="4844"/>
          </w:tcPr>
          <w:p>
            <w:r>
              <w:t>`GigaChatService`</w:t>
            </w:r>
          </w:p>
        </w:tc>
        <w:tc>
          <w:tcPr>
            <w:tcW w:type="dxa" w:w="4844"/>
          </w:tcPr>
          <w:p>
            <w:r>
              <w:t>Формирование промпта и `AnalysisResultDto`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Метод **`ReportService.fillReport`** выполняет цепочку Feign-запросов: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1. `GET /api/user/info` → профиль;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2. `GET /api/feelings/medicines?from&amp;to` → лекарства;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3. `GET /api/feelings/common?from&amp;to` → самочувствие;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4. `GET /api/food-analyzer/analyze?from&amp;to` → корреляции.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Далее `transformToAnalysis` агрегирует уникальные продукты и симптомы; при включённом AI-контуре обогащение выполняется через Kafka → GigaChat.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**`generateMedicalReport`** использует `JasperFillManager.fillReport` с `JRBeanCollectionDataSource` и шаблоном отчёта (логотип, таблицы лекарств, график самочувствия, текст заключения).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3.5.3. Асинхронный контур Kafka и GigaChat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Топик **`report-data-requests`** принимает сериализованный `ReportDataDto`. Producer вызывается после первичного наполнения отчёта; Consumer асинхронно запрашивает **GigaChat API** (модель GigaChat, OAuth scope `GIGACHAT_API_PERS`) и дополняет поле `analysis` рекомендациями врача.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Преимущества реализации:</w:t>
      </w:r>
    </w:p>
    <w:p>
      <w:pPr>
        <w:pStyle w:val="ListBullet"/>
      </w:pPr>
      <w:r>
        <w:rPr>
          <w:rFonts w:ascii="Times New Roman" w:hAnsi="Times New Roman"/>
          <w:sz w:val="28"/>
        </w:rPr>
        <w:t>генерация PDF не блокируется на время ответа LLM;</w:t>
      </w:r>
    </w:p>
    <w:p>
      <w:pPr>
        <w:pStyle w:val="ListBullet"/>
      </w:pPr>
      <w:r>
        <w:rPr>
          <w:rFonts w:ascii="Times New Roman" w:hAnsi="Times New Roman"/>
          <w:sz w:val="28"/>
        </w:rPr>
        <w:t>повторная обработка сообщений при сбоях (политика consumer group);</w:t>
      </w:r>
    </w:p>
    <w:p>
      <w:pPr>
        <w:pStyle w:val="ListBullet"/>
      </w:pPr>
      <w:r>
        <w:rPr>
          <w:rFonts w:ascii="Times New Roman" w:hAnsi="Times New Roman"/>
          <w:sz w:val="28"/>
        </w:rPr>
        <w:t>горизонтальное масштабирование consumer-инстансов.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3.5.4. Запросы к PostgreSQL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Таблица **`medical_reports`** (сущность `MedicalReport`):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Поле</w:t>
            </w:r>
          </w:p>
        </w:tc>
        <w:tc>
          <w:tcPr>
            <w:tcW w:type="dxa" w:w="3230"/>
          </w:tcPr>
          <w:p>
            <w:r>
              <w:t>Тип</w:t>
            </w:r>
          </w:p>
        </w:tc>
        <w:tc>
          <w:tcPr>
            <w:tcW w:type="dxa" w:w="3230"/>
          </w:tcPr>
          <w:p>
            <w:r>
              <w:t>Назначение</w:t>
            </w:r>
          </w:p>
        </w:tc>
      </w:tr>
      <w:tr>
        <w:tc>
          <w:tcPr>
            <w:tcW w:type="dxa" w:w="3230"/>
          </w:tcPr>
          <w:p>
            <w:r>
              <w:t>id</w:t>
            </w:r>
          </w:p>
        </w:tc>
        <w:tc>
          <w:tcPr>
            <w:tcW w:type="dxa" w:w="3230"/>
          </w:tcPr>
          <w:p>
            <w:r>
              <w:t>BIGSERIAL</w:t>
            </w:r>
          </w:p>
        </w:tc>
        <w:tc>
          <w:tcPr>
            <w:tcW w:type="dxa" w:w="3230"/>
          </w:tcPr>
          <w:p>
            <w:r>
              <w:t>PK</w:t>
            </w:r>
          </w:p>
        </w:tc>
      </w:tr>
      <w:tr>
        <w:tc>
          <w:tcPr>
            <w:tcW w:type="dxa" w:w="3230"/>
          </w:tcPr>
          <w:p>
            <w:r>
              <w:t>user_id</w:t>
            </w:r>
          </w:p>
        </w:tc>
        <w:tc>
          <w:tcPr>
            <w:tcW w:type="dxa" w:w="3230"/>
          </w:tcPr>
          <w:p>
            <w:r>
              <w:t>UUID</w:t>
            </w:r>
          </w:p>
        </w:tc>
        <w:tc>
          <w:tcPr>
            <w:tcW w:type="dxa" w:w="3230"/>
          </w:tcPr>
          <w:p>
            <w:r>
              <w:t>Владелец отчёта</w:t>
            </w:r>
          </w:p>
        </w:tc>
      </w:tr>
      <w:tr>
        <w:tc>
          <w:tcPr>
            <w:tcW w:type="dxa" w:w="3230"/>
          </w:tcPr>
          <w:p>
            <w:r>
              <w:t>created_at</w:t>
            </w:r>
          </w:p>
        </w:tc>
        <w:tc>
          <w:tcPr>
            <w:tcW w:type="dxa" w:w="3230"/>
          </w:tcPr>
          <w:p>
            <w:r>
              <w:t>TIMESTAMP</w:t>
            </w:r>
          </w:p>
        </w:tc>
        <w:tc>
          <w:tcPr>
            <w:tcW w:type="dxa" w:w="3230"/>
          </w:tcPr>
          <w:p>
            <w:r>
              <w:t>Время создания</w:t>
            </w:r>
          </w:p>
        </w:tc>
      </w:tr>
      <w:tr>
        <w:tc>
          <w:tcPr>
            <w:tcW w:type="dxa" w:w="3230"/>
          </w:tcPr>
          <w:p>
            <w:r>
              <w:t>status</w:t>
            </w:r>
          </w:p>
        </w:tc>
        <w:tc>
          <w:tcPr>
            <w:tcW w:type="dxa" w:w="3230"/>
          </w:tcPr>
          <w:p>
            <w:r>
              <w:t>VARCHAR</w:t>
            </w:r>
          </w:p>
        </w:tc>
        <w:tc>
          <w:tcPr>
            <w:tcW w:type="dxa" w:w="3230"/>
          </w:tcPr>
          <w:p>
            <w:r>
              <w:t>Статус (NEW, READY, …)</w:t>
            </w:r>
          </w:p>
        </w:tc>
      </w:tr>
      <w:tr>
        <w:tc>
          <w:tcPr>
            <w:tcW w:type="dxa" w:w="3230"/>
          </w:tcPr>
          <w:p>
            <w:r>
              <w:t>pdf_content</w:t>
            </w:r>
          </w:p>
        </w:tc>
        <w:tc>
          <w:tcPr>
            <w:tcW w:type="dxa" w:w="3230"/>
          </w:tcPr>
          <w:p>
            <w:r>
              <w:t>BYTEA</w:t>
            </w:r>
          </w:p>
        </w:tc>
        <w:tc>
          <w:tcPr>
            <w:tcW w:type="dxa" w:w="3230"/>
          </w:tcPr>
          <w:p>
            <w:r>
              <w:t>Бинарное тело PDF</w:t>
            </w:r>
          </w:p>
        </w:tc>
      </w:tr>
    </w:tbl>
    <w:p>
      <w:r>
        <w:rPr>
          <w:rFonts w:ascii="Consolas" w:hAnsi="Consolas"/>
          <w:sz w:val="22"/>
        </w:rPr>
        <w:t>INSERT INTO medical_reports (user_id, created_at, status, pdf_content)</w:t>
        <w:br/>
        <w:t>VALUES (:userId, :createdAt, :status, :pdfBytes);</w:t>
        <w:br/>
        <w:br/>
        <w:t>SELECT * FROM medical_reports WHERE user_id = :userId ORDER BY created_at DESC;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Индекс `idx_mr_user_id` ускоряет выборку истории отчётов пользователя.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3.5.5. Диаграммы analytics-service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3.25** — `analytics-service/docs/uml/plantuml/01-use-case.puml`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3.26** — `02-sequence-generate.puml`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3.27** — `03-sequence-download.puml`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3.28** — `04-sequence-ai-kafka.puml`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3.29** — `05-sequence-feign.puml`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3.30** — `06-class.puml`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3.31** — `07-component.puml`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3.32** — `08-deployment.puml` (PostgreSQL, Kafka, GigaChat).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*Текст к рис. 3.26:* на диаграмме показаны параллельные ветки: синхронная генерация PDF через JasperReports и асинхронная публикация в Kafka для AI-обогащения.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Шаблон отчёта и Feign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Файл `medical_report.jrxml` описывает макет PDF: шапка с данными пациента, таблица лекарств, график динамики самочувствия, блок «пищевой анализ», HTML-заключение. Параметры передаются через `ReportDataDto` как единственный элемент коллекции datasource.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**Feign (рис. 3.29).** `FeignConfig` добавляет к каждому запросу заголовки из текущего HTTP-контекста analytics-service, поэтому user-service видит тот же `X-User-Id`, что и при прямом обращении клиента.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**Скачивание (рис. 3.27).** Эндпоинт `/reports/download` позволяет повторно сгенерировать PDF из уже собранного DTO (например, после правки текста заключения в UI) без повторных запросов к user-service.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**Kafka (рис. 3.28).** Consumer группа `analytics-ai-group` обрабатывает сообщения с ключом `userId` для упорядочивания отчётов одного пользователя.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3.6. Разработка сервиса сканирования (scan-service)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3.6.1. Назначение модуля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**scan-service** реализует экспресс-проверку продуктов **до употребления**: по штрихкоду (EAN-13) или по распознанному с этикетки составу (OCR). Сервис получает состав из **Open Food Facts** (или локального кэша), запрашивает профиль аллергенов пользователя через **gateway → user-service** и возвращает оценку риска.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3.6.2. Реализованные классы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Класс</w:t>
            </w:r>
          </w:p>
        </w:tc>
        <w:tc>
          <w:tcPr>
            <w:tcW w:type="dxa" w:w="4844"/>
          </w:tcPr>
          <w:p>
            <w:r>
              <w:t>Ответственность</w:t>
            </w:r>
          </w:p>
        </w:tc>
      </w:tr>
      <w:tr>
        <w:tc>
          <w:tcPr>
            <w:tcW w:type="dxa" w:w="4844"/>
          </w:tcPr>
          <w:p>
            <w:r>
              <w:t>`ScanController`</w:t>
            </w:r>
          </w:p>
        </w:tc>
        <w:tc>
          <w:tcPr>
            <w:tcW w:type="dxa" w:w="4844"/>
          </w:tcPr>
          <w:p>
            <w:r>
              <w:t>REST: `/scan/barcode`, `/scan/label`, добавление в дневник</w:t>
            </w:r>
          </w:p>
        </w:tc>
      </w:tr>
      <w:tr>
        <w:tc>
          <w:tcPr>
            <w:tcW w:type="dxa" w:w="4844"/>
          </w:tcPr>
          <w:p>
            <w:r>
              <w:t>`ProductLookupService`</w:t>
            </w:r>
          </w:p>
        </w:tc>
        <w:tc>
          <w:tcPr>
            <w:tcW w:type="dxa" w:w="4844"/>
          </w:tcPr>
          <w:p>
            <w:r>
              <w:t>Поиск продукта: кэш `product_cache` → HTTP к Open Food Facts</w:t>
            </w:r>
          </w:p>
        </w:tc>
      </w:tr>
      <w:tr>
        <w:tc>
          <w:tcPr>
            <w:tcW w:type="dxa" w:w="4844"/>
          </w:tcPr>
          <w:p>
            <w:r>
              <w:t>`OcrService` / `IngredientParser`</w:t>
            </w:r>
          </w:p>
        </w:tc>
        <w:tc>
          <w:tcPr>
            <w:tcW w:type="dxa" w:w="4844"/>
          </w:tcPr>
          <w:p>
            <w:r>
              <w:t>Распознавание текста состава с изображения</w:t>
            </w:r>
          </w:p>
        </w:tc>
      </w:tr>
      <w:tr>
        <w:tc>
          <w:tcPr>
            <w:tcW w:type="dxa" w:w="4844"/>
          </w:tcPr>
          <w:p>
            <w:r>
              <w:t>`AllergenMatcher`</w:t>
            </w:r>
          </w:p>
        </w:tc>
        <w:tc>
          <w:tcPr>
            <w:tcW w:type="dxa" w:w="4844"/>
          </w:tcPr>
          <w:p>
            <w:r>
              <w:t>Сопоставление ингредиентов с аллергенами профиля</w:t>
            </w:r>
          </w:p>
        </w:tc>
      </w:tr>
      <w:tr>
        <w:tc>
          <w:tcPr>
            <w:tcW w:type="dxa" w:w="4844"/>
          </w:tcPr>
          <w:p>
            <w:r>
              <w:t>`UserProfileClient`</w:t>
            </w:r>
          </w:p>
        </w:tc>
        <w:tc>
          <w:tcPr>
            <w:tcW w:type="dxa" w:w="4844"/>
          </w:tcPr>
          <w:p>
            <w:r>
              <w:t>Feign: `GET /api/user/info`</w:t>
            </w:r>
          </w:p>
        </w:tc>
      </w:tr>
      <w:tr>
        <w:tc>
          <w:tcPr>
            <w:tcW w:type="dxa" w:w="4844"/>
          </w:tcPr>
          <w:p>
            <w:r>
              <w:t>`DiaryClient`</w:t>
            </w:r>
          </w:p>
        </w:tc>
        <w:tc>
          <w:tcPr>
            <w:tcW w:type="dxa" w:w="4844"/>
          </w:tcPr>
          <w:p>
            <w:r>
              <w:t>Feign: `POST /api/feelings/food` (extend-сценарий дневника)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Логика оценки риска формирует DTO `RiskAssessment` (уровень: рекомендуется / с осторожностью / не рекомендуется, список совпавших аллергенов).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3.6.3. Работа с базой данных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**Таблица `product_cache`**</w:t>
      </w:r>
    </w:p>
    <w:p>
      <w:pPr>
        <w:pStyle w:val="ListBullet"/>
      </w:pPr>
      <w:r>
        <w:rPr>
          <w:rFonts w:ascii="Times New Roman" w:hAnsi="Times New Roman"/>
          <w:sz w:val="28"/>
        </w:rPr>
        <w:t>PK: `barcode` (VARCHAR(13));</w:t>
      </w:r>
    </w:p>
    <w:p>
      <w:pPr>
        <w:pStyle w:val="ListBullet"/>
      </w:pPr>
      <w:r>
        <w:rPr>
          <w:rFonts w:ascii="Times New Roman" w:hAnsi="Times New Roman"/>
          <w:sz w:val="28"/>
        </w:rPr>
        <w:t>поля: `product_name`, `ingredients_text`, `allergens_tags[]`, `cached_at`, `expires_at`.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При промахе кэша выполняется HTTP-запрос к внешнему API, результат сохраняется:</w:t>
      </w:r>
    </w:p>
    <w:p>
      <w:r>
        <w:rPr>
          <w:rFonts w:ascii="Consolas" w:hAnsi="Consolas"/>
          <w:sz w:val="22"/>
        </w:rPr>
        <w:t>INSERT INTO product_cache (barcode, product_name, ingredients_text, allergens_tags, cached_at, expires_at)</w:t>
        <w:br/>
        <w:t>VALUES (?, ?, ?, ?, NOW(), NOW() + INTERVAL '7 days')</w:t>
        <w:br/>
        <w:t>ON CONFLICT (barcode) DO UPDATE SET ...;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**Таблица `scan_history`**</w:t>
      </w:r>
    </w:p>
    <w:p>
      <w:r>
        <w:rPr>
          <w:rFonts w:ascii="Consolas" w:hAnsi="Consolas"/>
          <w:sz w:val="22"/>
        </w:rPr>
        <w:t>INSERT INTO scan_history (id, user_id, barcode, risk_level, matched_allergens, scanned_at)</w:t>
        <w:br/>
        <w:t>VALUES (gen_random_uuid(), :userId, :barcode, :risk, :allergens, NOW());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Индексы `(user_id)` и `(user_id, scanned_at)` поддерживают экран «история сканирований» в клиенте.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3.6.4. Диаграммы scan-service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3.33** — `docs/uml/plantuml/scan-service/01-use-case.puml`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3.34** — `02-sequence-barcode.puml`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3.35** — `03-sequence-ocr.puml`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3.36** — `04-sequence-allergen-match.puml`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3.37** — `05-sequence-diary-add.puml`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3.38** — `06-class.puml`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 xml:space="preserve">ВСТАВИТЬ РИСУНОК 3.39** — `07-component.puml`  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ВСТАВИТЬ РИСУНОК 3.40** — `08-deployment.puml`.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*Физическая модель БД:* см. рисунок 2.53 (`database/08-physical-scan.puml`) в главе 2.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Сценарии scan-service по диаграммам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**Штрихкод (рис. 3.34).** Клиент передаёт EAN-13; `ProductLookupService` сначала читает `product_cache`, при истечении `expires_at` — запрос к Open Food Facts, затем upsert в кэш.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**OCR (рис. 3.35).** Альтернативный поток: фото этикетки → `OcrService` → `IngredientParser` (нормализация строки состава) → далее общий путь сопоставления.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**Сопоставление (рис. 3.36).** `AllergenMatcher` выполняет нечёткое сравнение токенов ингредиентов со списками аллергенов и заболеваний из `UserInfoDto` (глютен, орехи, лактоза и т.д.).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**Дневник (рис. 3.37).** Extend-прецедент: после оценки риска пользователь может одним действием создать запись `POST /api/feelings/food` с предзаполненным продуктом.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**Компоненты (рис. 3.39).** scan-service не обращается к user-service напрямую — только через gateway, что сохраняет единую политику безопасности.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3.7. Разработка пользовательского интерфейса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Клиентское приложение (мобильное или web) реализует сценарии, описанные в вариантах использования микросервисов. Взаимодействие — **HTTPS + JSON** только с **gateway-service:8080**.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3.7.1. Основные экраны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Экран</w:t>
            </w:r>
          </w:p>
        </w:tc>
        <w:tc>
          <w:tcPr>
            <w:tcW w:type="dxa" w:w="3230"/>
          </w:tcPr>
          <w:p>
            <w:r>
              <w:t>Вызываемые API</w:t>
            </w:r>
          </w:p>
        </w:tc>
        <w:tc>
          <w:tcPr>
            <w:tcW w:type="dxa" w:w="3230"/>
          </w:tcPr>
          <w:p>
            <w:r>
              <w:t>Микросервис</w:t>
            </w:r>
          </w:p>
        </w:tc>
      </w:tr>
      <w:tr>
        <w:tc>
          <w:tcPr>
            <w:tcW w:type="dxa" w:w="3230"/>
          </w:tcPr>
          <w:p>
            <w:r>
              <w:t>Регистрация / вход</w:t>
            </w:r>
          </w:p>
        </w:tc>
        <w:tc>
          <w:tcPr>
            <w:tcW w:type="dxa" w:w="3230"/>
          </w:tcPr>
          <w:p>
            <w:r>
              <w:t>POST `/auth/register`, `/auth/login`</w:t>
            </w:r>
          </w:p>
        </w:tc>
        <w:tc>
          <w:tcPr>
            <w:tcW w:type="dxa" w:w="3230"/>
          </w:tcPr>
          <w:p>
            <w:r>
              <w:t>auth</w:t>
            </w:r>
          </w:p>
        </w:tc>
      </w:tr>
      <w:tr>
        <w:tc>
          <w:tcPr>
            <w:tcW w:type="dxa" w:w="3230"/>
          </w:tcPr>
          <w:p>
            <w:r>
              <w:t>Профиль и аллергены</w:t>
            </w:r>
          </w:p>
        </w:tc>
        <w:tc>
          <w:tcPr>
            <w:tcW w:type="dxa" w:w="3230"/>
          </w:tcPr>
          <w:p>
            <w:r>
              <w:t>GET/PUT `/api/user/info`</w:t>
            </w:r>
          </w:p>
        </w:tc>
        <w:tc>
          <w:tcPr>
            <w:tcW w:type="dxa" w:w="3230"/>
          </w:tcPr>
          <w:p>
            <w:r>
              <w:t>user</w:t>
            </w:r>
          </w:p>
        </w:tc>
      </w:tr>
      <w:tr>
        <w:tc>
          <w:tcPr>
            <w:tcW w:type="dxa" w:w="3230"/>
          </w:tcPr>
          <w:p>
            <w:r>
              <w:t>Дневник питания</w:t>
            </w:r>
          </w:p>
        </w:tc>
        <w:tc>
          <w:tcPr>
            <w:tcW w:type="dxa" w:w="3230"/>
          </w:tcPr>
          <w:p>
            <w:r>
              <w:t>CRUD `/api/feelings/food`</w:t>
            </w:r>
          </w:p>
        </w:tc>
        <w:tc>
          <w:tcPr>
            <w:tcW w:type="dxa" w:w="3230"/>
          </w:tcPr>
          <w:p>
            <w:r>
              <w:t>user</w:t>
            </w:r>
          </w:p>
        </w:tc>
      </w:tr>
      <w:tr>
        <w:tc>
          <w:tcPr>
            <w:tcW w:type="dxa" w:w="3230"/>
          </w:tcPr>
          <w:p>
            <w:r>
              <w:t>Симптомы и самочувствие</w:t>
            </w:r>
          </w:p>
        </w:tc>
        <w:tc>
          <w:tcPr>
            <w:tcW w:type="dxa" w:w="3230"/>
          </w:tcPr>
          <w:p>
            <w:r>
              <w:t>`/api/feelings/...`, `/api/symptoms/...`</w:t>
            </w:r>
          </w:p>
        </w:tc>
        <w:tc>
          <w:tcPr>
            <w:tcW w:type="dxa" w:w="3230"/>
          </w:tcPr>
          <w:p>
            <w:r>
              <w:t>user</w:t>
            </w:r>
          </w:p>
        </w:tc>
      </w:tr>
      <w:tr>
        <w:tc>
          <w:tcPr>
            <w:tcW w:type="dxa" w:w="3230"/>
          </w:tcPr>
          <w:p>
            <w:r>
              <w:t>Анализ триггеров</w:t>
            </w:r>
          </w:p>
        </w:tc>
        <w:tc>
          <w:tcPr>
            <w:tcW w:type="dxa" w:w="3230"/>
          </w:tcPr>
          <w:p>
            <w:r>
              <w:t>GET `/api/food-analyzer/analyze`</w:t>
            </w:r>
          </w:p>
        </w:tc>
        <w:tc>
          <w:tcPr>
            <w:tcW w:type="dxa" w:w="3230"/>
          </w:tcPr>
          <w:p>
            <w:r>
              <w:t>user</w:t>
            </w:r>
          </w:p>
        </w:tc>
      </w:tr>
      <w:tr>
        <w:tc>
          <w:tcPr>
            <w:tcW w:type="dxa" w:w="3230"/>
          </w:tcPr>
          <w:p>
            <w:r>
              <w:t>Медотчёт PDF</w:t>
            </w:r>
          </w:p>
        </w:tc>
        <w:tc>
          <w:tcPr>
            <w:tcW w:type="dxa" w:w="3230"/>
          </w:tcPr>
          <w:p>
            <w:r>
              <w:t>GET `/reports/generate`</w:t>
            </w:r>
          </w:p>
        </w:tc>
        <w:tc>
          <w:tcPr>
            <w:tcW w:type="dxa" w:w="3230"/>
          </w:tcPr>
          <w:p>
            <w:r>
              <w:t>analytics</w:t>
            </w:r>
          </w:p>
        </w:tc>
      </w:tr>
      <w:tr>
        <w:tc>
          <w:tcPr>
            <w:tcW w:type="dxa" w:w="3230"/>
          </w:tcPr>
          <w:p>
            <w:r>
              <w:t>Сканер штрихкода</w:t>
            </w:r>
          </w:p>
        </w:tc>
        <w:tc>
          <w:tcPr>
            <w:tcW w:type="dxa" w:w="3230"/>
          </w:tcPr>
          <w:p>
            <w:r>
              <w:t>POST `/scan/barcode`</w:t>
            </w:r>
          </w:p>
        </w:tc>
        <w:tc>
          <w:tcPr>
            <w:tcW w:type="dxa" w:w="3230"/>
          </w:tcPr>
          <w:p>
            <w:r>
              <w:t>scan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3.7.2. Хранение токенов на клиенте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После входа клиент сохраняет **access** (короткий срок) и **refresh** (7 суток). Access передаётся в заголовке `Authorization: Bearer ...` при каждом запросе к `/api/**` и `/reports/**`. При **401** клиент вызывает `/auth/refresh` и повторяет запрос.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3.7.3. Визуализация риска (scan)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Экран сканера отображает цветовую индикацию по полю `risk_level` и список `matched_allergens`. Опциональная кнопка «Добавить в дневник» вызывает сценарий рис. 3.37.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ВСТАВИТЬ РИСУНОК 3.41** — макеты экранов клиента (Figma / скриншоты), при наличии.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3.8. Сборка, контейнеризация и развёртывание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Каждый микросервис содержит `Dockerfile` и `docker-compose.yml`. Типовой образ: multi-stage build (Maven → JRE 17). Переменные окружения: `JWT_SECRET`, `INTERNAL_SECRET`, `SPRING_DATASOURCE_*`, адреса Kafka и GigaChat.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Сетевая топология (обобщённо по диаграммам развёртывания 3.8, 3.16, 3.24, 3.32, 3.40):</w:t>
      </w:r>
    </w:p>
    <w:p>
      <w:pPr>
        <w:pStyle w:val="ListBullet"/>
      </w:pPr>
      <w:r>
        <w:rPr>
          <w:rFonts w:ascii="Times New Roman" w:hAnsi="Times New Roman"/>
          <w:sz w:val="28"/>
        </w:rPr>
        <w:t>клиент → **gateway:8080**;</w:t>
      </w:r>
    </w:p>
    <w:p>
      <w:pPr>
        <w:pStyle w:val="ListBullet"/>
      </w:pPr>
      <w:r>
        <w:rPr>
          <w:rFonts w:ascii="Times New Roman" w:hAnsi="Times New Roman"/>
          <w:sz w:val="28"/>
        </w:rPr>
        <w:t>gateway → auth / user / analytics / scan;</w:t>
      </w:r>
    </w:p>
    <w:p>
      <w:pPr>
        <w:pStyle w:val="ListBullet"/>
      </w:pPr>
      <w:r>
        <w:rPr>
          <w:rFonts w:ascii="Times New Roman" w:hAnsi="Times New Roman"/>
          <w:sz w:val="28"/>
        </w:rPr>
        <w:t>analytics → gateway (Feign) → user;</w:t>
      </w:r>
    </w:p>
    <w:p>
      <w:pPr>
        <w:pStyle w:val="ListBullet"/>
      </w:pPr>
      <w:r>
        <w:rPr>
          <w:rFonts w:ascii="Times New Roman" w:hAnsi="Times New Roman"/>
          <w:sz w:val="28"/>
        </w:rPr>
        <w:t>auth → PostgreSQL + Redis;</w:t>
      </w:r>
    </w:p>
    <w:p>
      <w:pPr>
        <w:pStyle w:val="ListBullet"/>
      </w:pPr>
      <w:r>
        <w:rPr>
          <w:rFonts w:ascii="Times New Roman" w:hAnsi="Times New Roman"/>
          <w:sz w:val="28"/>
        </w:rPr>
        <w:t>user → PostgreSQL + MongoDB;</w:t>
      </w:r>
    </w:p>
    <w:p>
      <w:pPr>
        <w:pStyle w:val="ListBullet"/>
      </w:pPr>
      <w:r>
        <w:rPr>
          <w:rFonts w:ascii="Times New Roman" w:hAnsi="Times New Roman"/>
          <w:sz w:val="28"/>
        </w:rPr>
        <w:t>analytics → PostgreSQL + Kafka → GigaChat;</w:t>
      </w:r>
    </w:p>
    <w:p>
      <w:pPr>
        <w:pStyle w:val="ListBullet"/>
      </w:pPr>
      <w:r>
        <w:rPr>
          <w:rFonts w:ascii="Times New Roman" w:hAnsi="Times New Roman"/>
          <w:sz w:val="28"/>
        </w:rPr>
        <w:t>scan → PostgreSQL + Open Food Facts.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b/>
          <w:sz w:val="28"/>
        </w:rPr>
        <w:t>ВСТАВИТЬ РИСУНОК 3.42** — сводная схема развёртывания комплекса (можно составить из `database/03-physical-model-overview.puml` или объединить фрагменты 3.8, 3.16, 3.32).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3.9. Сводная таблица рисунков главы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Рисунок</w:t>
            </w:r>
          </w:p>
        </w:tc>
        <w:tc>
          <w:tcPr>
            <w:tcW w:type="dxa" w:w="3230"/>
          </w:tcPr>
          <w:p>
            <w:r>
              <w:t>Сервис</w:t>
            </w:r>
          </w:p>
        </w:tc>
        <w:tc>
          <w:tcPr>
            <w:tcW w:type="dxa" w:w="3230"/>
          </w:tcPr>
          <w:p>
            <w:r>
              <w:t>Файл PlantUML</w:t>
            </w:r>
          </w:p>
        </w:tc>
      </w:tr>
      <w:tr>
        <w:tc>
          <w:tcPr>
            <w:tcW w:type="dxa" w:w="3230"/>
          </w:tcPr>
          <w:p>
            <w:r>
              <w:t>3.1–3.8</w:t>
            </w:r>
          </w:p>
        </w:tc>
        <w:tc>
          <w:tcPr>
            <w:tcW w:type="dxa" w:w="3230"/>
          </w:tcPr>
          <w:p>
            <w:r>
              <w:t>gateway</w:t>
            </w:r>
          </w:p>
        </w:tc>
        <w:tc>
          <w:tcPr>
            <w:tcW w:type="dxa" w:w="3230"/>
          </w:tcPr>
          <w:p>
            <w:r>
              <w:t>`gateway/docs/uml/plantuml/01`–`08`</w:t>
            </w:r>
          </w:p>
        </w:tc>
      </w:tr>
      <w:tr>
        <w:tc>
          <w:tcPr>
            <w:tcW w:type="dxa" w:w="3230"/>
          </w:tcPr>
          <w:p>
            <w:r>
              <w:t>3.9–3.16</w:t>
            </w:r>
          </w:p>
        </w:tc>
        <w:tc>
          <w:tcPr>
            <w:tcW w:type="dxa" w:w="3230"/>
          </w:tcPr>
          <w:p>
            <w:r>
              <w:t>auth</w:t>
            </w:r>
          </w:p>
        </w:tc>
        <w:tc>
          <w:tcPr>
            <w:tcW w:type="dxa" w:w="3230"/>
          </w:tcPr>
          <w:p>
            <w:r>
              <w:t>`auth-service/plantuml/01`–`08`</w:t>
            </w:r>
          </w:p>
        </w:tc>
      </w:tr>
      <w:tr>
        <w:tc>
          <w:tcPr>
            <w:tcW w:type="dxa" w:w="3230"/>
          </w:tcPr>
          <w:p>
            <w:r>
              <w:t>3.17–3.24</w:t>
            </w:r>
          </w:p>
        </w:tc>
        <w:tc>
          <w:tcPr>
            <w:tcW w:type="dxa" w:w="3230"/>
          </w:tcPr>
          <w:p>
            <w:r>
              <w:t>user</w:t>
            </w:r>
          </w:p>
        </w:tc>
        <w:tc>
          <w:tcPr>
            <w:tcW w:type="dxa" w:w="3230"/>
          </w:tcPr>
          <w:p>
            <w:r>
              <w:t>`user-service/docs/uml/plantuml/01`–`08`</w:t>
            </w:r>
          </w:p>
        </w:tc>
      </w:tr>
      <w:tr>
        <w:tc>
          <w:tcPr>
            <w:tcW w:type="dxa" w:w="3230"/>
          </w:tcPr>
          <w:p>
            <w:r>
              <w:t>3.25–3.32</w:t>
            </w:r>
          </w:p>
        </w:tc>
        <w:tc>
          <w:tcPr>
            <w:tcW w:type="dxa" w:w="3230"/>
          </w:tcPr>
          <w:p>
            <w:r>
              <w:t>analytics</w:t>
            </w:r>
          </w:p>
        </w:tc>
        <w:tc>
          <w:tcPr>
            <w:tcW w:type="dxa" w:w="3230"/>
          </w:tcPr>
          <w:p>
            <w:r>
              <w:t>`analytics-service/docs/uml/plantuml/01`–`08`</w:t>
            </w:r>
          </w:p>
        </w:tc>
      </w:tr>
      <w:tr>
        <w:tc>
          <w:tcPr>
            <w:tcW w:type="dxa" w:w="3230"/>
          </w:tcPr>
          <w:p>
            <w:r>
              <w:t>3.33–3.40</w:t>
            </w:r>
          </w:p>
        </w:tc>
        <w:tc>
          <w:tcPr>
            <w:tcW w:type="dxa" w:w="3230"/>
          </w:tcPr>
          <w:p>
            <w:r>
              <w:t>scan</w:t>
            </w:r>
          </w:p>
        </w:tc>
        <w:tc>
          <w:tcPr>
            <w:tcW w:type="dxa" w:w="3230"/>
          </w:tcPr>
          <w:p>
            <w:r>
              <w:t>`docs/uml/plantuml/scan-service/01`–`08`</w:t>
            </w:r>
          </w:p>
        </w:tc>
      </w:tr>
      <w:tr>
        <w:tc>
          <w:tcPr>
            <w:tcW w:type="dxa" w:w="3230"/>
          </w:tcPr>
          <w:p>
            <w:r>
              <w:t>3.41</w:t>
            </w:r>
          </w:p>
        </w:tc>
        <w:tc>
          <w:tcPr>
            <w:tcW w:type="dxa" w:w="3230"/>
          </w:tcPr>
          <w:p>
            <w:r>
              <w:t>UI</w:t>
            </w:r>
          </w:p>
        </w:tc>
        <w:tc>
          <w:tcPr>
            <w:tcW w:type="dxa" w:w="3230"/>
          </w:tcPr>
          <w:p>
            <w:r>
              <w:t>макеты клиента</w:t>
            </w:r>
          </w:p>
        </w:tc>
      </w:tr>
      <w:tr>
        <w:tc>
          <w:tcPr>
            <w:tcW w:type="dxa" w:w="3230"/>
          </w:tcPr>
          <w:p>
            <w:r>
              <w:t>3.42</w:t>
            </w:r>
          </w:p>
        </w:tc>
        <w:tc>
          <w:tcPr>
            <w:tcW w:type="dxa" w:w="3230"/>
          </w:tcPr>
          <w:p>
            <w:r>
              <w:t>комплекс</w:t>
            </w:r>
          </w:p>
        </w:tc>
        <w:tc>
          <w:tcPr>
            <w:tcW w:type="dxa" w:w="3230"/>
          </w:tcPr>
          <w:p>
            <w:r>
              <w:t>обзор развёртывания</w:t>
            </w:r>
          </w:p>
        </w:tc>
      </w:tr>
    </w:tbl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**Итого: 42 рисунка** (40 UML по сервисам + UI + обзор).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3.10. Выводы по главе 3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В главе 3 выполнена **разработка программного комплекса** Product-allergen в соответствии с проектными решениями главы 2. Реализованы пять микросервисов с разделением ответственности и хранилищ данных (Database per Service).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По каждому модулю:</w:t>
      </w:r>
    </w:p>
    <w:p>
      <w:pPr>
        <w:pStyle w:val="ListBullet"/>
      </w:pPr>
      <w:r>
        <w:rPr>
          <w:rFonts w:ascii="Times New Roman" w:hAnsi="Times New Roman"/>
          <w:sz w:val="28"/>
        </w:rPr>
        <w:t>описана структура классов и REST API;</w:t>
      </w:r>
    </w:p>
    <w:p>
      <w:pPr>
        <w:pStyle w:val="ListBullet"/>
      </w:pPr>
      <w:r>
        <w:rPr>
          <w:rFonts w:ascii="Times New Roman" w:hAnsi="Times New Roman"/>
          <w:sz w:val="28"/>
        </w:rPr>
        <w:t>приведены диаграммы UML (варианты использования, последовательности, классов, компонентов, развёртывания);</w:t>
      </w:r>
    </w:p>
    <w:p>
      <w:pPr>
        <w:pStyle w:val="ListBullet"/>
      </w:pPr>
      <w:r>
        <w:rPr>
          <w:rFonts w:ascii="Times New Roman" w:hAnsi="Times New Roman"/>
          <w:sz w:val="28"/>
        </w:rPr>
        <w:t>зафиксированы обращения к PostgreSQL, MongoDB, Redis, Kafka;</w:t>
      </w:r>
    </w:p>
    <w:p>
      <w:pPr>
        <w:pStyle w:val="ListBullet"/>
      </w:pPr>
      <w:r>
        <w:rPr>
          <w:rFonts w:ascii="Times New Roman" w:hAnsi="Times New Roman"/>
          <w:sz w:val="28"/>
        </w:rPr>
        <w:t>описан клиентский интерфейс и схема развёртывания.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**Результат разработки** — работоспособная программа: пользователь может зарегистрироваться, вести медицинский дневник, получать аналитику и PDF-отчёт, сканировать продукты с оценкой аллергенного риска. Полученная реализация является основой для главы 4 «Тестирование» и внедрения комплекса.</w:t>
      </w:r>
    </w:p>
    <w:p>
      <w:pPr>
        <w:spacing w:line="360" w:lineRule="auto" w:after="0"/>
        <w:ind w:firstLine="709"/>
      </w:pPr>
      <w:r>
        <w:rPr>
          <w:rFonts w:ascii="Times New Roman" w:hAnsi="Times New Roman"/>
          <w:sz w:val="28"/>
        </w:rPr>
        <w:t>*Конец документа. Для Word: откройте `ГЛАВА_3_РАЗРАБОТКА.docx` или сконвертируйте из `.md` скриптом `docs/scripts/md_to_docx.py`.*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