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4F8EF7"/>
          <w:spacing w:val="200"/>
          <w:sz w:val="24"/>
          <w:szCs w:val="24"/>
        </w:rPr>
        <w:t xml:space="preserve">STRALE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Beacon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Product Specification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free agent-readiness scanner that powers Strale's supply-side growth</w:t>
      </w:r>
    </w:p>
    <w:p>
      <w:pPr>
        <w:spacing w:after="100" w:before="100"/>
      </w:pPr>
    </w:p>
    <w:p>
      <w:pPr>
        <w:spacing w:before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Version 1.0  •  March 2026  •  Confidential</w:t>
      </w:r>
    </w:p>
    <w:p>
      <w:pPr>
        <w:spacing w:before="60"/>
      </w:pPr>
      <w:r>
        <w:rPr>
          <w:rFonts w:ascii="Consolas" w:cs="Consolas" w:eastAsia="Consolas" w:hAnsi="Consolas"/>
          <w:color w:val="4F8EF7"/>
          <w:sz w:val="18"/>
          <w:szCs w:val="18"/>
        </w:rPr>
        <w:t xml:space="preserve">scan.strale.io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Contents</w:t>
      </w:r>
    </w:p>
    <w:p>
      <w:pPr>
        <w:spacing w:after="100" w:before="100"/>
      </w:pP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1.  Product Overview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2.  Strategic Purpose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3.  User Journey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4.  Scoring Methodology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5.  Category 1: Discoverability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6.  Category 2: Comprehension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7.  Category 3: Usability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8.  Category 4: Stability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9.  Category 5: Agent Experience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10.  Results Page Design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11.  Landing Page Design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12.  Design System Relationship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13.  Technical Architecture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14.  Strale Integration Points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15.  MVP Scope</w:t>
      </w:r>
    </w:p>
    <w:p>
      <w:pPr>
        <w:tabs>
          <w:tab w:val="right" w:pos="9506"/>
        </w:tabs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16.  Risk Assessment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after="100"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Strale Beacon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scan.strale.io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Free diagnostic tool (no paywall, no gated content)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Scan any URL and assess how ready it is for AI agent discovery and interaction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Output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Five-category radar chart (red/yellow/green per category), detailed findings, actionable recommendations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Relationship to Strale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Strale-branded sub-product. Same entity, same design family. Beacon is the diagnostic; Strale SQS is the destination.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None. Beacon is a growth engine for Strale, not a revenue product.</w:t>
            </w:r>
          </w:p>
        </w:tc>
      </w:tr>
    </w:tbl>
    <w:p>
      <w:pPr>
        <w:spacing w:after="100" w:before="100"/>
      </w:pPr>
    </w:p>
    <w:p>
      <w:pPr>
        <w:pBdr>
          <w:left w:val="single" w:color="4F8EF7" w:sz="12" w:space="8"/>
        </w:pBdr>
        <w:spacing w:after="120" w:before="120" w:line="30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Beacon measures whether agents can find you. Strale’s SQS measures how well you perform once they do.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2. Strategic Purpose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Beacon exists to solve Strale’s cold-start problem. Strale is a marketplace that needs both supply (services accessible to agents) and demand (agents using those services). Beacon attacks the supply side by giving SaaS companies a reason to engage with Strale before they’re ready to list on the marketplace.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Value chain for Strale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Traffic and awareness.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scan is a brand impression for Strale. Shared scores create organic reach without advertising spend.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Supply-side data collection.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scan produces structured intelligence about a SaaS product’s capabilities, API surface, and agent accessibility. Companies hand Strale the data it needs to build its capability catalog.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Supply-side recruitment.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Low-scoring products receive recommendations that include listing on Strale’s marketplace as a natural remediation step.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Demand-side signal.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Aggregate scan data enables “State of Agent-Readiness” reports that attract the developer and agent-builder audience.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Reputation layer shortcut.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Scan data provides a proxy for quality signals before Strale has transaction data, bridging Phase 1 and Phase 2.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3. User Journey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1: Landing page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User arrives at scan.strale.io. Sees a headline, a URL input field, and a “Scan” button. No signup, no explanation needed. They enter their URL and hit scan.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2: Scanning state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Live feed shows checks running in real time. Each check appears as a line item with a green checkmark, yellow warning, or red X as it completes. The user watches their product being evaluated, building anticipation. Total scan time target: under 15 seconds.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3: Results page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results load with the radar chart as the hero visual. Five categories with tier badges visible at a glance. Below: narrative walkthrough, detailed findings per category, and a prioritized action plan. A share button generates a link or pre-composed social post.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4: Action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User either follows self-serve remediation guides or clicks through to Strale’s marketplace to list their capabilities. Optional email capture: “Get notified when your score changes.”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4. Scoring Methodology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Principles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aggregate score. Beacon uses five independent category assessments to avoid competing with Strale’s SQS.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category receives a tier: Green (Ready), Yellow (Partial), or Red (Not Ready).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primary visual is a five-axis radar chart with colored fills per tier.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shareable summary is the radar chart shape plus a count: “3 of 5 areas agent-ready.”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Five categories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 agents find you?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Presence on registries, llms.txt, AI crawler policies, structured data, MCP/A2A endpoints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Comprehension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 agents understand what you do?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API specification quality, documentation accessibility, description specificity, machine-readable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 agents interact with you?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Authentication clarity, signup friction, sandbox availability, SDK presence, error response quality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Stability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 agents depend on you?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API versioning, changelog, status page, rate limit documentation, ToS agent compatibility, security basics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Agent Experience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What happens when an agent actually shows up?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First-contact response, documentation navigability, response consistency, machine-readable support paths</w:t>
            </w:r>
          </w:p>
        </w:tc>
      </w:tr>
    </w:tbl>
    <w:p>
      <w:pPr>
        <w:spacing w:after="100" w:before="100"/>
      </w:pPr>
    </w:p>
    <w:p>
      <w:pPr>
        <w:pBdr>
          <w:left w:val="single" w:color="4F8EF7" w:sz="12" w:space="8"/>
        </w:pBdr>
        <w:spacing w:after="120" w:before="120" w:line="300"/>
        <w:ind w:left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Important distinction: Stability measures operational readiness (infrastructure hygiene). It is deliberately different from Strale’s SQS, which measures verified quality based on real transaction data. Beacon is the precondition; SQS is earned reputation.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5. Category 1: Discoverability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“Can agents find you?”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Checks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1.1 llms.txt presence and quality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HTTP GET /{domain}/llms.txt and /llms-full.txt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Does the file exist? Is it well-formed (follows the emerging llms.txt convention)? Does it contain structured capability descriptions rather than marketing copy? Does it link to detailed documentation?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Failure mode: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File missing, or file exists but contains only a company description with no capability information.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1.2 AI crawler policy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Parse robots.txt for rules addressing known AI crawlers.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Crawlers checked: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GPTBot, ClaudeBot, Claude-Web, PerplexityBot, Google-Extended, Amazonbot, CCBot, Bytespider, cohere-ai, Diffbot.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Output: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Matrix showing each crawler as allowed, blocked, or unaddressed. Flag inconsistencies (e.g., allowing Google-Extended but blocking ClaudeBot).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1.3 Structured data on homepage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Parse homepage HTML for JSON-LD, RDFa, or Microdata.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Look for Schema.org types: SoftwareApplication, WebAPI, APIReference, Product. Evaluate whether structured data describes capabilities or is limited to Organization markup.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1.4 Sitemap and crawlability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HTTP GET /sitemap.xml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Does it exist? Does it include API documentation pages, changelog, and pricing? Or only marketing/blog pages?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1.5 MCP server or A2A Agent Card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HTTP GET /.well-known/mcp.json, /.well-known/agent.json, and other standard discovery endpoints.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Does a machine-discoverable agent interaction endpoint exist?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1.6 Registry presence (v2)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Query Smithery, MCP Market, npm for the product name or domain.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Deferred to v2 due to external API dependencies. MVP checks only for self-hosted discovery endpoints.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Thresholds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llms.txt exists and is well-formed. AI crawlers are allowed. Structured data describes capabilities. MCP or A2A endpoint discoverable. Present on at least one registry (v2).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Some elements present but incomplete. llms.txt exists but is minimal. Structured data exists but only Organization-level. Some AI crawlers blocked inconsistently.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Not 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llms.txt. No structured data describing capabilities. AI crawlers blocked or unaddressed. No MCP/A2A endpoint.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6. Category 2: Comprehension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“Can agents understand what you do?”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2.1 OpenAPI / Swagger specification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common locations: /openapi.json, /swagger.json, /api/openapi.json, /docs/openapi.json, /api-docs, links in HTML source.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Does a spec exist? Is it valid? What version (2.0/3.0/3.1)?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2.2 API documentation accessibility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Crawl for /docs, /api, /developers, /api-reference pages.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documentation publicly accessible without signup? Is it rendered as parseable HTML, or is it gated behind JavaScript-heavy rendering or authentication?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2.3 Description specificity (v2)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Send product self-description to Claude API for evaluation.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the description specific enough to distinguish this product from competitors? Or is it vague marketing copy? Produces a concrete rewrite suggestion.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Deferred to v2 due to API cost. Cached per domain (30-day refresh).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2.4 Endpoint documentation completeness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Parse OpenAPI spec if available.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Percentage of endpoints with descriptions. Percentage of parameters with descriptions and examples. Whether response schemas are defined. Produces a completeness ratio per endpoint.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2.5 Machine-readable pricing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Scan for structured pricing data in OpenAPI extensions, JSON-LD, dedicated endpoints, or well-structured HTML tables.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Can an agent programmatically understand what this service costs? Or is pricing “contact us” only?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Thresholds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OpenAPI spec exists and is &gt;70% complete. Documentation publicly accessible. Descriptions are specific and distinguishable. Pricing is parseable.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Some documentation exists but incomplete or gated behind signup. Descriptions exist but vague. No machine-readable pricing but pricing page is scrapable.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Not 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API specification. Documentation requires authentication. Descriptions are pure marketing copy. Pricing is “contact us” only.</w:t>
            </w:r>
          </w:p>
        </w:tc>
      </w:tr>
    </w:tbl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7. Category 3: Usability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“Can agents actually interact with you?”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3.1 Authentication documentation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Analyze documentation and OpenAPI spec security schemes.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the auth method clearly documented? Is it standard (OAuth 2.0, API key, Bearer token) or custom? Could an agent follow the auth flow programmatically?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3.2 Signup friction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Analyze signup flow from documentation and public-facing pages.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Count human-required steps: web form, email verification, CAPTCHA, phone verification, credit card, manual approval. Each step is a friction point that an autonomous agent cannot navigate.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3.3 Sandbox or test environment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documentation and pricing pages for sandbox references.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there a free tier, sandbox mode, or test API keys available? Can an agent verify functionality before committing?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3.4 Error response quality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Make a safe unauthenticated request to the API base URL or a public endpoint.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the response structured JSON with error codes? Or HTML error page? Does it include machine-readable information about what went wrong?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3.5 SDK and integration availability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npm, PyPI, and documentation for published packages.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Are SDKs published? In which languages? Are framework integrations (LangChain, CrewAI) documented?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Thresholds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Standard auth, low signup friction (API key without human verification), sandbox available, structured errors, SDKs published.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 documented but non-standard. Moderate signup friction (email verification required). No sandbox but free tier exists. Basic error responses.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Not 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 unclear or undocumented. High signup friction (credit card + human verification before any access). No test environment. HTML error pages.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8. Category 4: Stability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“Can agents depend on you?”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4.1 API versioning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Analyze URL patterns, headers, and documentation.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Is the API versioned (v1, v2 in URLs or headers)? Is there a deprecation policy?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4.2 Changelog and status signals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for /changelog, /status, links to statuspage.io or similar.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Does a public changelog exist? How recently updated? Is there a status page with uptime history?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4.3 Rate limit documentation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documentation and response headers from any accessible endpoint.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Are rate limits documented? Do responses include X-RateLimit headers? Is there a path to request higher limits?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4.4 Terms of service — agent compatibility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Fetch and parse ToS and privacy policy pages.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 terms address automated access, bots, or API usage? Flag if terms explicitly prohibit automated access or if they are silent on the topic.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4.5 Security basics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Analyze response headers and connection.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HTTPS enforced? CORS configuration reasonable? Security headers present (CSP, X-Content-Type-Options, Strict-Transport-Security)?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Thresholds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API versioned with deprecation policy. Active changelog. Status page. Rate limits documented with headers. ToS permits automated access. Strong security headers.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Some versioning but no deprecation policy. Changelog exists but sparse. Rate limits exist but not in headers. ToS silent on automated access. Basic security.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Not 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versioning. No changelog. No status page. Undocumented rate limits. ToS prohibits automated access. Missing HTTPS or basic security headers.</w:t>
            </w:r>
          </w:p>
        </w:tc>
      </w:tr>
    </w:tbl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9. Category 5: Agent Experience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“What happens when an agent actually shows up?”</w:t>
      </w:r>
    </w:p>
    <w:p>
      <w:pPr>
        <w:spacing w:after="100" w:before="100"/>
      </w:pP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category is unique because it simulates dynamic interaction rather than checking static artifacts. It measures the end-to-end experience an agent would have when encountering this product for the first time.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5.1 First-contact response quality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HTTP request to API base URL or most obvious public endpoint.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What comes back? Helpful JSON with documentation links? HTML error page? Redirect to login form? Timeout? This is the agent’s first impression.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5.2 Documentation navigability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Starting from homepage, count link hops to reach API documentation.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How many clicks from homepage to API docs? Is the path followable by an automated crawler, or buried behind JavaScript rendering or hamburger menus?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5.3 Response format consistency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If any public endpoints are accessible, analyze response structure.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Are responses consistently JSON? Are content-type headers correct? Does response structure match OpenAPI spec (if one exists)?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5.4 Machine-readable support paths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Check for status API endpoints, support emails in structured data, webhook documentation.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If an agent encounters a problem, is there a programmatic way to report it or check service status? Or is the only path a human chat widget?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Thresholds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First contact returns structured, helpful response. Docs reachable within 2 hops. Consistent JSON responses matching spec. Programmatic support path exists.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First contact returns basic response but not helpful. Docs require 3+ hops or partial JS rendering. Responses mostly consistent. Support path is email only.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Not Ready</w:t>
            </w:r>
          </w:p>
        </w:tc>
        <w:tc>
          <w:tcPr>
            <w:tcW w:type="dxa" w:w="8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First contact returns HTML error or timeout. Docs unreachable by crawler. Inconsistent or HTML responses. No programmatic support path.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10. Results Page Design</w:t>
      </w:r>
    </w:p>
    <w:p>
      <w:pPr>
        <w:spacing w:after="100" w:before="100"/>
      </w:pP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results page is the most important page in the product. It must deliver the assessment clearly, create an emotional response that motivates action, and be shareable. URL format: scan.strale.io/results/[company-name-slug]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Layer 1: Overview (above the fold)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name and URL confirmed at the top.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Radar chart as hero visual. Five axes representing the five categories. Filled area colored green/yellow/red per category tier.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Large enough to screenshot and share independently.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Below the radar chart: five category names with tier badges and one-sentence summaries of findings.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Everything in this layer fits on one screen without scrolling.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Layer 2: The agent’s-eye narrative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simulated agent interaction, written as a narrative walkthrough.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Shows what happened step by step when an agent tried to discover and use this product.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Communicates consequences, not just gaps: “Your product was invisible” rather than “llms.txt missing.”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Collapsible. Condensed version (2–3 paragraphs) shown by default with option to expand.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Layer 3: Detailed findings by category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Five expandable sections, one per category.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check shows: what was looked for, what was found (with specifics), and what to do about 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Recommendations ranked by impact within each category.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Strale marketplace recommendation appears naturally where relevant: “List your API capabilities on Strale’s marketplace to make them discoverable through MCP and A2A protocols.”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Layer 4: Prioritized action plan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 3–5 highest-impact fixes across all categories.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item is a concrete task with a link to a guide or resource.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Strale CTA at the bottom: “Beacon shows you where you stand. Strale helps you get there.”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Share bar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Sticky element with “Share your results” button.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Generates shareable link or pre-composed social post.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Share text: “Just scanned [product] for agent-readiness with Strale Beacon. Here’s what AI agents see.”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Radar chart design notes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Smooth lines, subtle gradient fills per tier color.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Gentle draw animation on load.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Must look good screenshotted on both dark Twitter backgrounds and white LinkedIn posts.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aggregate score displayed — the shape and tier count (“3 of 5 areas agent-ready”) are the summary.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11. Landing Page Design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Strale logo + “Beacon” in header. Minimal navigation (About link, link to strale.io).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Headline: “How visible is your product to AI agents?”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Subline: “Beacon scans your site and shows you exactly what agents see — and what they’re missing.”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Single large input field with placeholder “Enter your URL” and one button: “Scan.”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feature grid, testimonials, or explainers above the fold.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Below the fold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Brief section explaining the five categories (one line each).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Example radar charts from pre-scanned products to show what results look like.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Optional: count of total scans performed as social proof (“2,847 products scanned”).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Scanning state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Live feed showing checks running in real time.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line shows check name and result icon (checkmark, warning, X) as it completes.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Target: full scan in under 15 seconds.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12. Design System Relationship</w:t>
      </w:r>
    </w:p>
    <w:p>
      <w:pPr>
        <w:spacing w:after="100" w:before="100"/>
      </w:pP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Beacon shares Strale’s design system foundations but adapts them for a light-mode, data-forward context. Strale’s website is dark mode; Beacon is light mode.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Shared with Strale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Typography: same typeface family.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Spacing scale: same spacing tokens and layout grid.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Logo: Strale logo with “Beacon” appended as a sub-product name.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Core brand color: same primary, adapted for light-mode contrast (may need darker/more saturated variant).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Border radius, shadow values, and other design tokens.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Different from Strale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Background: white or near-white surfaces (vs. Strale’s dark mode).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Color palette for data: green/yellow/red tier indicators are Beacon-specific functional colors, designed for accessibility and radar chart clarity.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Density: results page is more information-dense than Strale’s marketing pages.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Decoration: minimal. No illustrations or abstract graphics. The radar chart is the visual centerpiece.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Tone: slightly warmer and more accessible than Strale’s technical authority voice.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Practical approach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Beacon imports Strale’s CSS variables / Tailwind config and uses a smaller subset. One design system to maintain, two products inheriting from it. Light-mode variants of brand colors defined as additional tokens.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13. Technical Architecture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Next.js application deployed on Vercel.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page types: landing page, scanning state (could be same page with state transition), and results page.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pages are static once generated (ISR or static generation with on-demand revalidation).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result gets a clean, human-readable URL: scan.strale.io/results/[company-slug]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Scanning engine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Serverless functions (Vercel Edge Functions or API routes) that execute the HTTP-based checks.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check is an independent function that takes a URL and returns structured findings.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Checks run in parallel where possible for speed.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streamed to frontend via Server-Sent Events for the live scanning feed.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Supabase for storing scan results, domain metadata, and email captures.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Schema: domains table (domain, first_scanned, last_scanned), scans table (domain_id, timestamp, results JSON, category tiers), subscribers table (email, domain_id, opt_in_date).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cached per domain. Re-scans overwrite but history is preserved.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Cost profile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HTTP checks: negligible. ~15 requests per scan, all lightweight.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Hosting: Vercel free tier covers significant scale. Supabase free tier for early usage.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v2 AI checks (Claude API): ~$0.01–0.03 per scan. Cached per domain with 30-day refresh to control costs.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 10,000 scans/month with caching: estimated $50–100/month total infrastructure cost.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14. Strale Integration Points</w:t>
      </w:r>
    </w:p>
    <w:p>
      <w:pPr>
        <w:spacing w:after="100" w:before="100"/>
      </w:pP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Beacon connects to Strale in three natural, non-pushy places: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14.1 Results page recommendations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Where a finding maps to a Strale solution, the recommendation includes it alongside self-serve options. Example: “To make your API discoverable by agents, you can add an MCP server (guide) or list your capabilities on Strale’s marketplace (link).” Always offer the DIY path alongside the Strale path.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14.2 Action plan CTA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 the bottom of the prioritized action plan: “Beacon shows you where you stand. Strale helps you get there. List your capabilities on Strale’s marketplace and become accessible to agents today.” Soft, contextual, honest.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14.3 Footer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“Built by the team behind Strale — the trust layer for the agent economy.” Links to strale.io. Present on every page.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14.4 Data pipeline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scan result feeds into Strale’s supply-side database. Products that score well become candidates for proactive outreach. Products that score poorly become leads for remediation that includes Strale onboarding. Aggregate data enables “State of Agent-Readiness” content marketing.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15. MVP Scope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Included in 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Landing page with URL input.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Scanning engine running all HTTP-based checks (~18 checks across 5 categories).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Live scanning feed with real-time status updates.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page with radar chart, category tiers, detailed findings, and action plan.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Shareable results URLs.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Email capture (“Get notified when your score changes”).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stored in Supabase with domain caching.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Deferred to v2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Claude API-powered description quality analysis (check 2.3).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Registry presence checks across Smithery, MCP Market, npm (check 1.6).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Package manager checks for SDKs (check 3.5) — partial in v1, full in v2.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Historical score tracking and trend visualization.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Competitor comparison features.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Embeddable badge/widget for external sites.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“State of Agent-Readiness” aggregate reporting.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16. Risk Assessment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Risk 1: Scoring methodology feels arbitrary or unhelpful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check must produce specific, actionable findings, not just pass/fail. Show what was checked, what was found, and exactly how to fix it. Test the scan against 20+ real products before launch to calibrate thresholds.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Risk 2: Platform giant builds this into existing tools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Speed. Establish the category and methodology before Google adds an agent-readiness audit to Lighthouse. First-mover advantage on the scoring standard is the primary moat.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Risk 3: Market doesn’t care yet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 suggests growing concern among SaaS companies about agent discoverability. Gartner predicts 40% of enterprise applications will embed AI agents by end of 2026. The window is now, but launch timing should coincide with broader awareness moments (industry conferences, major LLM announcements).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Risk 4: Scanned companies object to public results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Allow companies to claim their profile and opt out of public results. Frame the scan as helpful, not punitive. The tone is “here’s how to improve” not “you’re failing.”</w:t>
      </w:r>
    </w:p>
    <w:p>
      <w:pPr>
        <w:spacing w:after="100" w:before="1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Risk 5: Scan produces false positives or misses important signals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Launch as “beta” with a feedback mechanism on each result. Let scanned companies flag inaccurate findings. Use feedback to improve check logic iteratively.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2026-03-22T21:36:33.383Z</dcterms:created>
  <dcterms:modified xsi:type="dcterms:W3CDTF">2026-03-22T21:36:33.384Z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