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SATRAS DOO, Vidikovački venac 104/v-lok. 14 11090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Beograd, Mome Stanojlovića 7A/17, tel:+381 11 2341-007             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   PIB: 100177756    Mat. broj: 17410776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-600074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80000"/>
                          <a:ext cx="691514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ind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t xml:space="preserve">Fattura nr./Račun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fatturazione: {datum_izdavanja}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izdavanja dokumenta)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Pagamento: {valuta_placanja}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(Valuta placanja)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servizio: {datum_prometa}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prometa usluga)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2908300</wp:posOffset>
                </wp:positionH>
                <wp:positionV relativeFrom="paragraph">
                  <wp:posOffset>0</wp:posOffset>
                </wp:positionV>
                <wp:extent cx="3447415" cy="1415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27055" y="3137063"/>
                          <a:ext cx="343789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ime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mesto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P.IVA: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pib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2908300</wp:posOffset>
                </wp:positionH>
                <wp:positionV relativeFrom="paragraph">
                  <wp:posOffset>0</wp:posOffset>
                </wp:positionV>
                <wp:extent cx="3447415" cy="14150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7415" cy="1415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esecuzione del servizio: {mesto_prometa}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prometa)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fatturazzione: {mesto_izdavanja_racuna}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izdavanja racuna)</w:t>
      </w:r>
    </w:p>
    <w:tbl>
      <w:tblPr>
        <w:tblStyle w:val="Table1"/>
        <w:tblW w:w="10998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1980"/>
        <w:gridCol w:w="1710"/>
        <w:tblGridChange w:id="0">
          <w:tblGrid>
            <w:gridCol w:w="7308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Servizio (Vrsta usluge)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5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Sconto IVA (%)</w:t>
              <w:br w:type="textWrapping"/>
              <w:t xml:space="preserve">         %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(Stopa)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6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Importo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(iznos)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br w:type="textWrapping"/>
        <w:t xml:space="preserve">Transporto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Numero di ordine: {broj_naloga1}</w:t>
        <w:br w:type="textWrapping"/>
        <w:t xml:space="preserve">{od1} - {do1}</w:t>
        <w:br w:type="textWrapping"/>
        <w:t xml:space="preserve">Mittente / luogo del carico: {mesto_utovara1}</w:t>
        <w:br w:type="textWrapping"/>
        <w:t xml:space="preserve">Importatore / destinatario: {mesto_primaoca1}</w:t>
        <w:br w:type="textWrapping"/>
        <w:t xml:space="preserve">CMR: {cmr1};  Merce: In base alla fattura commerciale;  Peso: {tezina1}</w:t>
        <w:br w:type="textWrapping"/>
        <w:t xml:space="preserve">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76200</wp:posOffset>
                </wp:positionV>
                <wp:extent cx="1743075" cy="39787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iznos1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76200</wp:posOffset>
                </wp:positionV>
                <wp:extent cx="1743075" cy="397876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7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208.0" w:type="dxa"/>
        <w:jc w:val="left"/>
        <w:tblInd w:w="49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518"/>
        <w:tblGridChange w:id="0">
          <w:tblGrid>
            <w:gridCol w:w="3690"/>
            <w:gridCol w:w="1518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Tottale Fattura 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Vi preghiamo di effettuare il pagamento nei termini indicati sulla fattura.</w:t>
        <w:br w:type="textWrapping"/>
        <w:t xml:space="preserve">Vi chiediamo di non adebitare le spese bancarie a nostro conto.</w:t>
      </w:r>
    </w:p>
    <w:p w:rsidR="00000000" w:rsidDel="00000000" w:rsidP="00000000" w:rsidRDefault="00000000" w:rsidRPr="00000000" w14:paraId="0000000B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Banke</w:t>
      </w:r>
    </w:p>
    <w:p w:rsidR="00000000" w:rsidDel="00000000" w:rsidP="00000000" w:rsidRDefault="00000000" w:rsidRPr="00000000" w14:paraId="0000000C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oo poreskom oslobadjanju: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PDV nije obraiunat nd osnovu ebnd 12, Stav 4. Zakona o PDV-u</w:t>
      </w: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