
<file path=[Content_Types].xml><?xml version="1.0" encoding="utf-8"?>
<Types xmlns="http://schemas.openxmlformats.org/package/2006/content-types">
  <Override ContentType="application/vnd.openxmlformats-officedocument.wordprocessingml.footnotes+xml" PartName="/word/footnotes.xml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endnotes+xml" PartName="/word/endnotes.xml"/>
  <Override ContentType="application/vnd.openxmlformats-officedocument.extended-properties+xml" PartName="/docProps/app.xml"/>
  <Override ContentType="application/vnd.openxmlformats-officedocument.wordprocessingml.settings+xml" PartName="/word/settings.xml"/>
  <Override ContentType="application/vnd.openxmlformats-officedocument.wordprocessingml.footer+xml" PartName="/word/footer1.xml"/>
  <Override ContentType="application/vnd.openxmlformats-officedocument.theme+xml" PartName="/word/theme/theme1.xml"/>
  <Override ContentType="application/vnd.openxmlformats-officedocument.wordprocessingml.fontTable+xml" PartName="/word/fontTable.xml"/>
  <Override ContentType="application/vnd.openxmlformats-officedocument.wordprocessingml.webSettings+xml" PartName="/word/webSettings.xml"/>
  <Override ContentType="application/vnd.openxmlformats-officedocument.wordprocessingml.header+xml" PartName="/word/header1.xml"/>
  <Override ContentType="application/vnd.openxmlformats-package.core-properties+xml" PartName="/docProps/core.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/>
    <w:p/>
    <w:p/>
    <w:p/>
    <w:p>
      <w:pPr>
        <w:pStyle w:val="ReportInformation"/>
        <w:jc w:val="center"/>
      </w:pPr>
      <w:r>
        <w:t>Entity Relationship Diagram Document</w:t>
      </w:r>
    </w:p>
    <w:p>
      <w:pPr>
        <w:pStyle w:val="ReportInformation"/>
      </w:pPr>
      <w:r>
        <w:drawing>
          <wp:inline distB="0" distL="0" distR="0" distT="0">
            <wp:extent cx="3390900" cy="88900"/>
            <wp:effectExtent b="0" l="0" r="0" t="0"/>
            <wp:docPr id="1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/>
    <w:p>
      <w:pPr>
        <w:pStyle w:val="ReportInformation"/>
        <w:jc w:val="center"/>
      </w:pPr>
      <w:r>
        <w:t>
				</w:t>
      </w:r>
    </w:p>
    <w:p>
      <w:pPr>
        <w:pStyle w:val="ReportInformation"/>
        <w:jc w:val="center"/>
        <w:sectPr>
          <w:pgSz w:h="16837" w:w="11905"/>
          <w:pgMar w:bottom="720" w:gutter="0" w:left="720" w:right="720" w:top="720"/>
          <w:pgNumType w:start="1"/>
          <w:pgBorders w:offsetFrom="page">
            <w:top w:color="1569BC" w:space="24" w:sz="18" w:val="single"/>
            <w:left w:color="1569BC" w:space="24" w:sz="18" w:val="single"/>
            <w:bottom w:color="1569BC" w:space="24" w:sz="18" w:val="single"/>
            <w:right w:color="1569BC" w:space="24" w:sz="18" w:val="single"/>
          </w:pgBorders>
          <w:cols w:space="720"/>
          <w:docGrid w:linePitch="360"/>
        </w:sectPr>
      </w:pPr>
      <w:r>
        <w:t>Apostolos</w:t>
      </w:r>
    </w:p>
    <w:p>
      <w:pPr>
        <w:pStyle w:val="Heading1"/>
      </w:pPr>
      <w:bookmarkStart w:id="0" w:name="2NYmqsmGAqBwAWc0"/>
      <w:r>
        <w:t>1. Entity Relationship Diagram</w:t>
      </w:r>
      <w:bookmarkEnd w:id="0"/>
      <w:r>
        <w:rPr>
          <w:rStyle w:val="Heading1"/>
        </w:rPr>
        <w:t> Data Specification</w:t>
      </w:r>
    </w:p>
    <w:p>
      <w:pPr>
        <w:keepNext/>
        <w:pStyle w:val="Heading2"/>
      </w:pPr>
      <w:r>
        <w:drawing>
          <wp:inline distB="0" distL="0" distR="0" distT="0">
            <wp:extent cx="171450" cy="171450"/>
            <wp:effectExtent b="0" l="0" r="0" t="0"/>
            <wp:docPr id="1" name="Imag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.png"/>
                    <pic:cNvPicPr/>
                  </pic:nvPicPr>
                  <pic:blipFill>
                    <a:blip r:embed="rId11"/>
                    <a:srcRect b="4762" t="-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r>
        <w:t>1.1. Company</w:t>
      </w:r>
    </w:p>
    <w:tbl>
      <w:tblPr>
        <w:tblStyle w:val="Summaries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1480"/>
        <w:gridCol w:w="1960"/>
        <w:gridCol w:w="980"/>
        <w:gridCol w:w="980"/>
        <w:gridCol w:w="980"/>
        <w:gridCol w:w="3460"/>
      </w:tblGrid>
      <w:tr>
        <w:trPr>
          <w:tblHeader/>
        </w:trPr>
        <w:tc>
          <w:tcPr>
            <w:tcW w:type="dxa" w:w="1480.0"/>
          </w:tcPr>
          <w:p>
            <w:pPr/>
            <w:r>
              <w:t>Column</w:t>
            </w:r>
          </w:p>
        </w:tc>
        <w:tc>
          <w:tcPr>
            <w:tcW w:type="dxa" w:w="1960.0"/>
          </w:tcPr>
          <w:p>
            <w:pPr/>
            <w:r>
              <w:t>Data Type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PK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Nullable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Unique</w:t>
            </w:r>
          </w:p>
        </w:tc>
        <w:tc>
          <w:tcPr>
            <w:tcW w:type="dxa" w:w="3460.0"/>
          </w:tcPr>
          <w:p>
            <w:pPr/>
            <w:r>
              <w:t> Description</w:t>
            </w:r>
          </w:p>
        </w:tc>
      </w:tr>
      <w:tr>
        <w:tc>
          <w:tcPr>
            <w:tcW w:type="dxa" w:w="1480.0"/>
          </w:tcPr>
          <w:p>
            <w:pPr/>
            <w:r>
              <w:t>Name</w:t>
            </w:r>
          </w:p>
        </w:tc>
        <w:tc>
          <w:tcPr>
            <w:tcW w:type="dxa" w:w="1960.0"/>
          </w:tcPr>
          <w:p>
            <w:pPr/>
            <w:r>
              <w:t>varchar</w:t>
            </w:r>
            <w:r>
              <w:t>(</w:t>
            </w:r>
            <w:r>
              <w:t>20</w:t>
            </w:r>
            <w:r>
              <w:t>)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√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3460.0"/>
          </w:tcPr>
          <w:p/>
        </w:tc>
      </w:tr>
      <w:tr>
        <w:tc>
          <w:tcPr>
            <w:tcW w:type="dxa" w:w="1480.0"/>
          </w:tcPr>
          <w:p>
            <w:pPr/>
            <w:r>
              <w:t>password</w:t>
            </w:r>
          </w:p>
        </w:tc>
        <w:tc>
          <w:tcPr>
            <w:tcW w:type="dxa" w:w="1960.0"/>
          </w:tcPr>
          <w:p>
            <w:pPr/>
            <w:r>
              <w:t>varchar</w:t>
            </w:r>
            <w:r>
              <w:t>(</w:t>
            </w:r>
            <w:r>
              <w:t>20</w:t>
            </w:r>
            <w:r>
              <w:t>)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√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3460.0"/>
          </w:tcPr>
          <w:p/>
        </w:tc>
      </w:tr>
      <w:tr>
        <w:tc>
          <w:tcPr>
            <w:tcW w:type="dxa" w:w="1480.0"/>
          </w:tcPr>
          <w:p>
            <w:pPr/>
            <w:r>
              <w:t>username</w:t>
            </w:r>
          </w:p>
        </w:tc>
        <w:tc>
          <w:tcPr>
            <w:tcW w:type="dxa" w:w="1960.0"/>
          </w:tcPr>
          <w:p>
            <w:pPr/>
            <w:r>
              <w:t>varchar</w:t>
            </w:r>
            <w:r>
              <w:t>(</w:t>
            </w:r>
            <w:r>
              <w:t>20</w:t>
            </w:r>
            <w:r>
              <w:t>)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√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3460.0"/>
          </w:tcPr>
          <w:p/>
        </w:tc>
      </w:tr>
    </w:tbl>
    <w:p>
      <w:pPr>
        <w:keepNext/>
        <w:pStyle w:val="Heading2"/>
      </w:pPr>
      <w:r>
        <w:drawing>
          <wp:inline distB="0" distL="0" distR="0" distT="0">
            <wp:extent cx="171450" cy="171450"/>
            <wp:effectExtent b="0" l="0" r="0" t="0"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2"/>
                    <a:srcRect b="4762" t="-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r>
        <w:t>1.2. Company_Tags</w:t>
      </w:r>
    </w:p>
    <w:tbl>
      <w:tblPr>
        <w:tblStyle w:val="Summaries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1480"/>
        <w:gridCol w:w="1960"/>
        <w:gridCol w:w="980"/>
        <w:gridCol w:w="980"/>
        <w:gridCol w:w="980"/>
        <w:gridCol w:w="3460"/>
      </w:tblGrid>
      <w:tr>
        <w:trPr>
          <w:tblHeader/>
        </w:trPr>
        <w:tc>
          <w:tcPr>
            <w:tcW w:type="dxa" w:w="1480.0"/>
          </w:tcPr>
          <w:p>
            <w:pPr/>
            <w:r>
              <w:t>Column</w:t>
            </w:r>
          </w:p>
        </w:tc>
        <w:tc>
          <w:tcPr>
            <w:tcW w:type="dxa" w:w="1960.0"/>
          </w:tcPr>
          <w:p>
            <w:pPr/>
            <w:r>
              <w:t>Data Type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PK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Nullable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Unique</w:t>
            </w:r>
          </w:p>
        </w:tc>
        <w:tc>
          <w:tcPr>
            <w:tcW w:type="dxa" w:w="3460.0"/>
          </w:tcPr>
          <w:p>
            <w:pPr/>
            <w:r>
              <w:t> Description</w:t>
            </w:r>
          </w:p>
        </w:tc>
      </w:tr>
      <w:tr>
        <w:tc>
          <w:tcPr>
            <w:tcW w:type="dxa" w:w="1480.0"/>
          </w:tcPr>
          <w:p>
            <w:pPr/>
            <w:r>
              <w:t>Company</w:t>
            </w:r>
          </w:p>
        </w:tc>
        <w:tc>
          <w:tcPr>
            <w:tcW w:type="dxa" w:w="1960.0"/>
          </w:tcPr>
          <w:p>
            <w:pPr/>
            <w:r>
              <w:t>varchar</w:t>
            </w:r>
            <w:r>
              <w:t>(</w:t>
            </w:r>
            <w:r>
              <w:t>20</w:t>
            </w:r>
            <w:r>
              <w:t>)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√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3460.0"/>
          </w:tcPr>
          <w:p/>
        </w:tc>
      </w:tr>
      <w:tr>
        <w:tc>
          <w:tcPr>
            <w:tcW w:type="dxa" w:w="1480.0"/>
          </w:tcPr>
          <w:p>
            <w:pPr/>
            <w:r>
              <w:t>Tags</w:t>
            </w:r>
          </w:p>
        </w:tc>
        <w:tc>
          <w:tcPr>
            <w:tcW w:type="dxa" w:w="1960.0"/>
          </w:tcPr>
          <w:p>
            <w:pPr/>
            <w:r>
              <w:t>varchar</w:t>
            </w:r>
            <w:r>
              <w:t>(</w:t>
            </w:r>
            <w:r>
              <w:t>20</w:t>
            </w:r>
            <w:r>
              <w:t>)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√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3460.0"/>
          </w:tcPr>
          <w:p/>
        </w:tc>
      </w:tr>
    </w:tbl>
    <w:p>
      <w:pPr>
        <w:keepNext/>
        <w:pStyle w:val="Heading2"/>
      </w:pPr>
      <w:r>
        <w:drawing>
          <wp:inline distB="0" distL="0" distR="0" distT="0">
            <wp:extent cx="171450" cy="171450"/>
            <wp:effectExtent b="0" l="0" r="0" t="0"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3"/>
                    <a:srcRect b="4762" t="-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r>
        <w:t>1.3. Company_Tolls</w:t>
      </w:r>
    </w:p>
    <w:tbl>
      <w:tblPr>
        <w:tblStyle w:val="Summaries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1480"/>
        <w:gridCol w:w="1960"/>
        <w:gridCol w:w="980"/>
        <w:gridCol w:w="980"/>
        <w:gridCol w:w="980"/>
        <w:gridCol w:w="3460"/>
      </w:tblGrid>
      <w:tr>
        <w:trPr>
          <w:tblHeader/>
        </w:trPr>
        <w:tc>
          <w:tcPr>
            <w:tcW w:type="dxa" w:w="1480.0"/>
          </w:tcPr>
          <w:p>
            <w:pPr/>
            <w:r>
              <w:t>Column</w:t>
            </w:r>
          </w:p>
        </w:tc>
        <w:tc>
          <w:tcPr>
            <w:tcW w:type="dxa" w:w="1960.0"/>
          </w:tcPr>
          <w:p>
            <w:pPr/>
            <w:r>
              <w:t>Data Type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PK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Nullable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Unique</w:t>
            </w:r>
          </w:p>
        </w:tc>
        <w:tc>
          <w:tcPr>
            <w:tcW w:type="dxa" w:w="3460.0"/>
          </w:tcPr>
          <w:p>
            <w:pPr/>
            <w:r>
              <w:t> Description</w:t>
            </w:r>
          </w:p>
        </w:tc>
      </w:tr>
      <w:tr>
        <w:tc>
          <w:tcPr>
            <w:tcW w:type="dxa" w:w="1480.0"/>
          </w:tcPr>
          <w:p>
            <w:pPr/>
            <w:r>
              <w:t>Company</w:t>
            </w:r>
          </w:p>
        </w:tc>
        <w:tc>
          <w:tcPr>
            <w:tcW w:type="dxa" w:w="1960.0"/>
          </w:tcPr>
          <w:p>
            <w:pPr/>
            <w:r>
              <w:t>varchar</w:t>
            </w:r>
            <w:r>
              <w:t>(</w:t>
            </w:r>
            <w:r>
              <w:t>20</w:t>
            </w:r>
            <w:r>
              <w:t>)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√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3460.0"/>
          </w:tcPr>
          <w:p/>
        </w:tc>
      </w:tr>
      <w:tr>
        <w:tc>
          <w:tcPr>
            <w:tcW w:type="dxa" w:w="1480.0"/>
          </w:tcPr>
          <w:p>
            <w:pPr/>
            <w:r>
              <w:t>toll id</w:t>
            </w:r>
          </w:p>
        </w:tc>
        <w:tc>
          <w:tcPr>
            <w:tcW w:type="dxa" w:w="1960.0"/>
          </w:tcPr>
          <w:p>
            <w:pPr/>
            <w:r>
              <w:t>varchar</w:t>
            </w:r>
            <w:r>
              <w:t>(</w:t>
            </w:r>
            <w:r>
              <w:t>20</w:t>
            </w:r>
            <w:r>
              <w:t>)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√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3460.0"/>
          </w:tcPr>
          <w:p/>
        </w:tc>
      </w:tr>
    </w:tbl>
    <w:p>
      <w:pPr>
        <w:keepNext/>
        <w:pStyle w:val="Heading2"/>
      </w:pPr>
      <w:r>
        <w:drawing>
          <wp:inline distB="0" distL="0" distR="0" distT="0">
            <wp:extent cx="171450" cy="171450"/>
            <wp:effectExtent b="0" l="0" r="0" t="0"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4"/>
                    <a:srcRect b="4762" t="-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r>
        <w:t>1.4. Owes</w:t>
      </w:r>
    </w:p>
    <w:tbl>
      <w:tblPr>
        <w:tblStyle w:val="Summaries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1480"/>
        <w:gridCol w:w="1960"/>
        <w:gridCol w:w="980"/>
        <w:gridCol w:w="980"/>
        <w:gridCol w:w="980"/>
        <w:gridCol w:w="3460"/>
      </w:tblGrid>
      <w:tr>
        <w:trPr>
          <w:tblHeader/>
        </w:trPr>
        <w:tc>
          <w:tcPr>
            <w:tcW w:type="dxa" w:w="1480.0"/>
          </w:tcPr>
          <w:p>
            <w:pPr/>
            <w:r>
              <w:t>Column</w:t>
            </w:r>
          </w:p>
        </w:tc>
        <w:tc>
          <w:tcPr>
            <w:tcW w:type="dxa" w:w="1960.0"/>
          </w:tcPr>
          <w:p>
            <w:pPr/>
            <w:r>
              <w:t>Data Type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PK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Nullable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Unique</w:t>
            </w:r>
          </w:p>
        </w:tc>
        <w:tc>
          <w:tcPr>
            <w:tcW w:type="dxa" w:w="3460.0"/>
          </w:tcPr>
          <w:p>
            <w:pPr/>
            <w:r>
              <w:t> Description</w:t>
            </w:r>
          </w:p>
        </w:tc>
      </w:tr>
      <w:tr>
        <w:tc>
          <w:tcPr>
            <w:tcW w:type="dxa" w:w="1480.0"/>
          </w:tcPr>
          <w:p>
            <w:pPr/>
            <w:r>
              <w:t>Amount</w:t>
            </w:r>
          </w:p>
        </w:tc>
        <w:tc>
          <w:tcPr>
            <w:tcW w:type="dxa" w:w="1960.0"/>
          </w:tcPr>
          <w:p>
            <w:pPr/>
            <w:r>
              <w:t>integer</w:t>
            </w:r>
            <w:r>
              <w:t>(</w:t>
            </w:r>
            <w:r>
              <w:t>10</w:t>
            </w:r>
            <w:r>
              <w:t>)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√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3460.0"/>
          </w:tcPr>
          <w:p/>
        </w:tc>
      </w:tr>
      <w:tr>
        <w:tc>
          <w:tcPr>
            <w:tcW w:type="dxa" w:w="1480.0"/>
          </w:tcPr>
          <w:p>
            <w:pPr/>
            <w:r>
              <w:t>CompanyA</w:t>
            </w:r>
          </w:p>
        </w:tc>
        <w:tc>
          <w:tcPr>
            <w:tcW w:type="dxa" w:w="1960.0"/>
          </w:tcPr>
          <w:p>
            <w:pPr/>
            <w:r>
              <w:t>integer</w:t>
            </w:r>
            <w:r>
              <w:t>(</w:t>
            </w:r>
            <w:r>
              <w:t>10</w:t>
            </w:r>
            <w:r>
              <w:t>)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√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3460.0"/>
          </w:tcPr>
          <w:p/>
        </w:tc>
      </w:tr>
      <w:tr>
        <w:tc>
          <w:tcPr>
            <w:tcW w:type="dxa" w:w="1480.0"/>
          </w:tcPr>
          <w:p>
            <w:pPr/>
            <w:r>
              <w:t>CompanyB</w:t>
            </w:r>
          </w:p>
        </w:tc>
        <w:tc>
          <w:tcPr>
            <w:tcW w:type="dxa" w:w="1960.0"/>
          </w:tcPr>
          <w:p>
            <w:pPr/>
            <w:r>
              <w:t>integer</w:t>
            </w:r>
            <w:r>
              <w:t>(</w:t>
            </w:r>
            <w:r>
              <w:t>10</w:t>
            </w:r>
            <w:r>
              <w:t>)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√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3460.0"/>
          </w:tcPr>
          <w:p/>
        </w:tc>
      </w:tr>
    </w:tbl>
    <w:p>
      <w:pPr>
        <w:keepNext/>
        <w:pStyle w:val="Heading2"/>
      </w:pPr>
      <w:r>
        <w:drawing>
          <wp:inline distB="0" distL="0" distR="0" distT="0">
            <wp:extent cx="171450" cy="171450"/>
            <wp:effectExtent b="0" l="0" r="0" t="0"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5"/>
                    <a:srcRect b="4762" t="-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r>
        <w:t>1.5. Tags</w:t>
      </w:r>
    </w:p>
    <w:tbl>
      <w:tblPr>
        <w:tblStyle w:val="Summaries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1480"/>
        <w:gridCol w:w="1960"/>
        <w:gridCol w:w="980"/>
        <w:gridCol w:w="980"/>
        <w:gridCol w:w="980"/>
        <w:gridCol w:w="3460"/>
      </w:tblGrid>
      <w:tr>
        <w:trPr>
          <w:tblHeader/>
        </w:trPr>
        <w:tc>
          <w:tcPr>
            <w:tcW w:type="dxa" w:w="1480.0"/>
          </w:tcPr>
          <w:p>
            <w:pPr/>
            <w:r>
              <w:t>Column</w:t>
            </w:r>
          </w:p>
        </w:tc>
        <w:tc>
          <w:tcPr>
            <w:tcW w:type="dxa" w:w="1960.0"/>
          </w:tcPr>
          <w:p>
            <w:pPr/>
            <w:r>
              <w:t>Data Type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PK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Nullable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Unique</w:t>
            </w:r>
          </w:p>
        </w:tc>
        <w:tc>
          <w:tcPr>
            <w:tcW w:type="dxa" w:w="3460.0"/>
          </w:tcPr>
          <w:p>
            <w:pPr/>
            <w:r>
              <w:t> Description</w:t>
            </w:r>
          </w:p>
        </w:tc>
      </w:tr>
      <w:tr>
        <w:tc>
          <w:tcPr>
            <w:tcW w:type="dxa" w:w="1480.0"/>
          </w:tcPr>
          <w:p>
            <w:pPr/>
            <w:r>
              <w:t>Column</w:t>
            </w:r>
          </w:p>
        </w:tc>
        <w:tc>
          <w:tcPr>
            <w:tcW w:type="dxa" w:w="1960.0"/>
          </w:tcPr>
          <w:p>
            <w:pPr/>
            <w:r>
              <w:t>integer</w:t>
            </w:r>
            <w:r>
              <w:t>(</w:t>
            </w:r>
            <w:r>
              <w:t>10</w:t>
            </w:r>
            <w:r>
              <w:t>)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√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3460.0"/>
          </w:tcPr>
          <w:p/>
        </w:tc>
      </w:tr>
      <w:tr>
        <w:tc>
          <w:tcPr>
            <w:tcW w:type="dxa" w:w="1480.0"/>
          </w:tcPr>
          <w:p>
            <w:pPr/>
            <w:r>
              <w:t>tag id</w:t>
            </w:r>
          </w:p>
        </w:tc>
        <w:tc>
          <w:tcPr>
            <w:tcW w:type="dxa" w:w="1960.0"/>
          </w:tcPr>
          <w:p>
            <w:pPr/>
            <w:r>
              <w:t>integer</w:t>
            </w:r>
            <w:r>
              <w:t>(</w:t>
            </w:r>
            <w:r>
              <w:t>10</w:t>
            </w:r>
            <w:r>
              <w:t>)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√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3460.0"/>
          </w:tcPr>
          <w:p/>
        </w:tc>
      </w:tr>
    </w:tbl>
    <w:p>
      <w:pPr>
        <w:keepNext/>
        <w:pStyle w:val="Heading2"/>
      </w:pPr>
      <w:r>
        <w:drawing>
          <wp:inline distB="0" distL="0" distR="0" distT="0">
            <wp:extent cx="171450" cy="171450"/>
            <wp:effectExtent b="0" l="0" r="0" t="0"/>
            <wp:docPr id="1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6"/>
                    <a:srcRect b="4762" t="-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r>
        <w:t>1.6. Tags_Tolls</w:t>
      </w:r>
    </w:p>
    <w:tbl>
      <w:tblPr>
        <w:tblStyle w:val="Summaries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1480"/>
        <w:gridCol w:w="1960"/>
        <w:gridCol w:w="980"/>
        <w:gridCol w:w="980"/>
        <w:gridCol w:w="980"/>
        <w:gridCol w:w="3460"/>
      </w:tblGrid>
      <w:tr>
        <w:trPr>
          <w:tblHeader/>
        </w:trPr>
        <w:tc>
          <w:tcPr>
            <w:tcW w:type="dxa" w:w="1480.0"/>
          </w:tcPr>
          <w:p>
            <w:pPr/>
            <w:r>
              <w:t>Column</w:t>
            </w:r>
          </w:p>
        </w:tc>
        <w:tc>
          <w:tcPr>
            <w:tcW w:type="dxa" w:w="1960.0"/>
          </w:tcPr>
          <w:p>
            <w:pPr/>
            <w:r>
              <w:t>Data Type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PK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Nullable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Unique</w:t>
            </w:r>
          </w:p>
        </w:tc>
        <w:tc>
          <w:tcPr>
            <w:tcW w:type="dxa" w:w="3460.0"/>
          </w:tcPr>
          <w:p>
            <w:pPr/>
            <w:r>
              <w:t> Description</w:t>
            </w:r>
          </w:p>
        </w:tc>
      </w:tr>
      <w:tr>
        <w:tc>
          <w:tcPr>
            <w:tcW w:type="dxa" w:w="1480.0"/>
          </w:tcPr>
          <w:p>
            <w:pPr/>
            <w:r>
              <w:t>amount</w:t>
            </w:r>
          </w:p>
        </w:tc>
        <w:tc>
          <w:tcPr>
            <w:tcW w:type="dxa" w:w="1960.0"/>
          </w:tcPr>
          <w:p>
            <w:pPr/>
            <w:r>
              <w:t>integer</w:t>
            </w:r>
            <w:r>
              <w:t>(</w:t>
            </w:r>
            <w:r>
              <w:t>10</w:t>
            </w:r>
            <w:r>
              <w:t>)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√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3460.0"/>
          </w:tcPr>
          <w:p/>
        </w:tc>
      </w:tr>
      <w:tr>
        <w:tc>
          <w:tcPr>
            <w:tcW w:type="dxa" w:w="1480.0"/>
          </w:tcPr>
          <w:p>
            <w:pPr/>
            <w:r>
              <w:t>tag id</w:t>
            </w:r>
          </w:p>
        </w:tc>
        <w:tc>
          <w:tcPr>
            <w:tcW w:type="dxa" w:w="1960.0"/>
          </w:tcPr>
          <w:p>
            <w:pPr/>
            <w:r>
              <w:t>varchar</w:t>
            </w:r>
            <w:r>
              <w:t>(</w:t>
            </w:r>
            <w:r>
              <w:t>20</w:t>
            </w:r>
            <w:r>
              <w:t>)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√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3460.0"/>
          </w:tcPr>
          <w:p/>
        </w:tc>
      </w:tr>
      <w:tr>
        <w:tc>
          <w:tcPr>
            <w:tcW w:type="dxa" w:w="1480.0"/>
          </w:tcPr>
          <w:p>
            <w:pPr/>
            <w:r>
              <w:t>timestamp</w:t>
            </w:r>
          </w:p>
        </w:tc>
        <w:tc>
          <w:tcPr>
            <w:tcW w:type="dxa" w:w="1960.0"/>
          </w:tcPr>
          <w:p>
            <w:pPr/>
            <w:r>
              <w:t>date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√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3460.0"/>
          </w:tcPr>
          <w:p/>
        </w:tc>
      </w:tr>
      <w:tr>
        <w:tc>
          <w:tcPr>
            <w:tcW w:type="dxa" w:w="1480.0"/>
          </w:tcPr>
          <w:p>
            <w:pPr/>
            <w:r>
              <w:t>Toll id</w:t>
            </w:r>
          </w:p>
        </w:tc>
        <w:tc>
          <w:tcPr>
            <w:tcW w:type="dxa" w:w="1960.0"/>
          </w:tcPr>
          <w:p>
            <w:pPr/>
            <w:r>
              <w:t>varchar</w:t>
            </w:r>
            <w:r>
              <w:t>(</w:t>
            </w:r>
            <w:r>
              <w:t>20</w:t>
            </w:r>
            <w:r>
              <w:t>)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√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3460.0"/>
          </w:tcPr>
          <w:p/>
        </w:tc>
      </w:tr>
    </w:tbl>
    <w:p>
      <w:pPr>
        <w:keepNext/>
        <w:pStyle w:val="Heading2"/>
      </w:pPr>
      <w:r>
        <w:drawing>
          <wp:inline distB="0" distL="0" distR="0" distT="0">
            <wp:extent cx="171450" cy="171450"/>
            <wp:effectExtent b="0" l="0" r="0" t="0"/>
            <wp:docPr id="13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7"/>
                    <a:srcRect b="4762" t="-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r>
        <w:t>1.7. Tolls</w:t>
      </w:r>
    </w:p>
    <w:tbl>
      <w:tblPr>
        <w:tblStyle w:val="Summaries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1480"/>
        <w:gridCol w:w="1960"/>
        <w:gridCol w:w="980"/>
        <w:gridCol w:w="980"/>
        <w:gridCol w:w="980"/>
        <w:gridCol w:w="3460"/>
      </w:tblGrid>
      <w:tr>
        <w:trPr>
          <w:tblHeader/>
        </w:trPr>
        <w:tc>
          <w:tcPr>
            <w:tcW w:type="dxa" w:w="1480.0"/>
          </w:tcPr>
          <w:p>
            <w:pPr/>
            <w:r>
              <w:t>Column</w:t>
            </w:r>
          </w:p>
        </w:tc>
        <w:tc>
          <w:tcPr>
            <w:tcW w:type="dxa" w:w="1960.0"/>
          </w:tcPr>
          <w:p>
            <w:pPr/>
            <w:r>
              <w:t>Data Type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PK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Nullable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Unique</w:t>
            </w:r>
          </w:p>
        </w:tc>
        <w:tc>
          <w:tcPr>
            <w:tcW w:type="dxa" w:w="3460.0"/>
          </w:tcPr>
          <w:p>
            <w:pPr/>
            <w:r>
              <w:t> Description</w:t>
            </w:r>
          </w:p>
        </w:tc>
      </w:tr>
      <w:tr>
        <w:tc>
          <w:tcPr>
            <w:tcW w:type="dxa" w:w="1480.0"/>
          </w:tcPr>
          <w:p>
            <w:pPr/>
            <w:r>
              <w:t>toll id</w:t>
            </w:r>
          </w:p>
        </w:tc>
        <w:tc>
          <w:tcPr>
            <w:tcW w:type="dxa" w:w="1960.0"/>
          </w:tcPr>
          <w:p>
            <w:pPr/>
            <w:r>
              <w:t>varchar</w:t>
            </w:r>
            <w:r>
              <w:t>(</w:t>
            </w:r>
            <w:r>
              <w:t>20</w:t>
            </w:r>
            <w:r>
              <w:t>)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√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3460.0"/>
          </w:tcPr>
          <w:p/>
        </w:tc>
      </w:tr>
    </w:tbl>
    <w:p>
      <w:pPr>
        <w:keepNext/>
        <w:pStyle w:val="Heading2"/>
      </w:pPr>
      <w:r>
        <w:drawing>
          <wp:inline distB="0" distL="0" distR="0" distT="0">
            <wp:extent cx="171450" cy="171450"/>
            <wp:effectExtent b="0" l="0" r="0" t="0"/>
            <wp:docPr id="15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8"/>
                    <a:srcRect b="4762" t="-4762"/>
                    <a:stretch/>
                  </pic:blipFill>
                  <pic:spPr>
                    <a:xfrm>
                      <a:off x="0" y="0"/>
                      <a:ext cx="1714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 </w:t>
      </w:r>
      <w:r>
        <w:t>1.8. Transactions</w:t>
      </w:r>
    </w:p>
    <w:tbl>
      <w:tblPr>
        <w:tblStyle w:val="Summaries"/>
        <w:tblW w:type="auto" w:w="0"/>
        <w:tblLayout w:type="fixed"/>
        <w:tblInd w:type="dxa" w:w="0"/>
        <w:tblLook w:firstColumn="1" w:firstRow="1" w:lastColumn="0" w:lastRow="0" w:noHBand="0" w:noVBand="1"/>
      </w:tblPr>
      <w:tblGrid>
        <w:gridCol w:w="1480"/>
        <w:gridCol w:w="1960"/>
        <w:gridCol w:w="980"/>
        <w:gridCol w:w="980"/>
        <w:gridCol w:w="980"/>
        <w:gridCol w:w="3460"/>
      </w:tblGrid>
      <w:tr>
        <w:trPr>
          <w:tblHeader/>
        </w:trPr>
        <w:tc>
          <w:tcPr>
            <w:tcW w:type="dxa" w:w="1480.0"/>
          </w:tcPr>
          <w:p>
            <w:pPr/>
            <w:r>
              <w:t>Column</w:t>
            </w:r>
          </w:p>
        </w:tc>
        <w:tc>
          <w:tcPr>
            <w:tcW w:type="dxa" w:w="1960.0"/>
          </w:tcPr>
          <w:p>
            <w:pPr/>
            <w:r>
              <w:t>Data Type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PK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Nullable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Unique</w:t>
            </w:r>
          </w:p>
        </w:tc>
        <w:tc>
          <w:tcPr>
            <w:tcW w:type="dxa" w:w="3460.0"/>
          </w:tcPr>
          <w:p>
            <w:pPr/>
            <w:r>
              <w:t> Description</w:t>
            </w:r>
          </w:p>
        </w:tc>
      </w:tr>
      <w:tr>
        <w:tc>
          <w:tcPr>
            <w:tcW w:type="dxa" w:w="1480.0"/>
          </w:tcPr>
          <w:p>
            <w:pPr/>
            <w:r>
              <w:t>amount</w:t>
            </w:r>
          </w:p>
        </w:tc>
        <w:tc>
          <w:tcPr>
            <w:tcW w:type="dxa" w:w="1960.0"/>
          </w:tcPr>
          <w:p>
            <w:pPr/>
            <w:r>
              <w:t>integer</w:t>
            </w:r>
            <w:r>
              <w:t>(</w:t>
            </w:r>
            <w:r>
              <w:t>10</w:t>
            </w:r>
            <w:r>
              <w:t>)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√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3460.0"/>
          </w:tcPr>
          <w:p/>
        </w:tc>
      </w:tr>
      <w:tr>
        <w:tc>
          <w:tcPr>
            <w:tcW w:type="dxa" w:w="1480.0"/>
          </w:tcPr>
          <w:p>
            <w:pPr/>
            <w:r>
              <w:t>CompanyA</w:t>
            </w:r>
          </w:p>
        </w:tc>
        <w:tc>
          <w:tcPr>
            <w:tcW w:type="dxa" w:w="1960.0"/>
          </w:tcPr>
          <w:p>
            <w:pPr/>
            <w:r>
              <w:t>varchar</w:t>
            </w:r>
            <w:r>
              <w:t>(</w:t>
            </w:r>
            <w:r>
              <w:t>20</w:t>
            </w:r>
            <w:r>
              <w:t>)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√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3460.0"/>
          </w:tcPr>
          <w:p/>
        </w:tc>
      </w:tr>
      <w:tr>
        <w:tc>
          <w:tcPr>
            <w:tcW w:type="dxa" w:w="1480.0"/>
          </w:tcPr>
          <w:p>
            <w:pPr/>
            <w:r>
              <w:t>CompanyB</w:t>
            </w:r>
          </w:p>
        </w:tc>
        <w:tc>
          <w:tcPr>
            <w:tcW w:type="dxa" w:w="1960.0"/>
          </w:tcPr>
          <w:p>
            <w:pPr/>
            <w:r>
              <w:t>varchar</w:t>
            </w:r>
            <w:r>
              <w:t>(</w:t>
            </w:r>
            <w:r>
              <w:t>20</w:t>
            </w:r>
            <w:r>
              <w:t>)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√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3460.0"/>
          </w:tcPr>
          <w:p/>
        </w:tc>
      </w:tr>
      <w:tr>
        <w:tc>
          <w:tcPr>
            <w:tcW w:type="dxa" w:w="1480.0"/>
          </w:tcPr>
          <w:p>
            <w:pPr/>
            <w:r>
              <w:t>timestamp</w:t>
            </w:r>
          </w:p>
        </w:tc>
        <w:tc>
          <w:tcPr>
            <w:tcW w:type="dxa" w:w="1960.0"/>
          </w:tcPr>
          <w:p>
            <w:pPr/>
            <w:r>
              <w:t>date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√</w:t>
            </w:r>
          </w:p>
        </w:tc>
        <w:tc>
          <w:tcPr>
            <w:tcW w:type="dxa" w:w="980.0"/>
          </w:tcPr>
          <w:p>
            <w:pPr>
              <w:jc w:val="center"/>
              <w:jc w:val="center"/>
            </w:pPr>
            <w:r>
              <w:t>χ</w:t>
            </w:r>
          </w:p>
        </w:tc>
        <w:tc>
          <w:tcPr>
            <w:tcW w:type="dxa" w:w="3460.0"/>
          </w:tcPr>
          <w:p/>
        </w:tc>
      </w:tr>
    </w:tbl>
    <w:sectPr>
      <w:pgSz w:h="16837" w:w="11905"/>
      <w:pgMar w:bottom="960" w:gutter="0" w:left="960" w:right="960" w:top="960"/>
      <w:pgNumType w:start="1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compat/>
  <w:rsids>
    <w:rsidRoot w:val="00E10F2E"/>
    <w:rsid w:val="00E10F2E"/>
    <w:rsid w:val="00F27B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bidi="ar-SA" w:eastAsia="en-US" w:val="en-US"/>
      </w:rPr>
    </w:rPrDefault>
    <w:pPrDefault/>
  </w:docDefaults>
  <w:latentStyles w:count="267" w:defLockedState="0" w:defQFormat="0" w:defSemiHidden="0" w:defUIPriority="0" w:defUnhideWhenUsed="0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 w:semiHidden="1" w:unhideWhenUsed="1"/>
    <w:lsdException w:name="heading 6" w:qFormat="1" w:semiHidden="1" w:unhideWhenUsed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toc 1" w:uiPriority="39"/>
    <w:lsdException w:name="toc 2" w:uiPriority="39"/>
    <w:lsdException w:name="toc 3" w:uiPriority="39"/>
    <w:lsdException w:name="caption" w:qFormat="1" w:semiHidden="1" w:unhideWhenUsed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Description"/>
    <w:lsdException w:name="Balloon Text"/>
  </w:latentStyles>
  <w:style w:default="1" w:styleId="Normal" w:type="paragraph">
    <w:name w:val="Normal"/>
    <w:link w:val="NormalChar"/>
    <w:qFormat/>
    <w:rsid w:val="00052F11"/>
    <w:rPr>
      <w:rFonts w:ascii="Calibri" w:cs="Calibri" w:eastAsia="Calibri" w:hAnsi="Calibri"/>
      <w:szCs w:val="24"/>
      <w:lang w:eastAsia="en-GB" w:val="en-GB"/>
      <w:b w:val="0"/>
      <w:i w:val="0"/>
      <w:sz w:val="22"/>
      <w:u w:val="none"/>
    </w:rPr>
    <w:pPr/>
  </w:style>
  <w:style w:styleId="Heading1" w:type="paragraph">
    <w:name w:val="heading 1"/>
    <w:basedOn w:val="Normal"/>
    <w:next w:val="Normal"/>
    <w:link w:val="Heading1Char"/>
    <w:qFormat/>
    <w:rsid w:val="00052F11"/>
    <w:pPr>
      <w:keepNext/>
      <w:spacing w:after="0" w:before="480"/>
      <w:outlineLvl w:val="0"/>
      <w:keepLines/>
    </w:pPr>
    <w:rPr>
      <w:rFonts w:ascii="Cambria" w:cs="Cambria" w:eastAsia="Cambria" w:hAnsi="Cambria"/>
      <w:b/>
      <w:bCs/>
      <w:kern w:val="32"/>
      <w:sz w:val="28"/>
      <w:szCs w:val="32"/>
      <w:i w:val="0"/>
      <w:color w:val="365F91"/>
      <w:u w:val="none"/>
    </w:rPr>
  </w:style>
  <w:style w:styleId="Heading2" w:type="paragraph">
    <w:name w:val="heading 2"/>
    <w:basedOn w:val="Normal"/>
    <w:next w:val="Normal"/>
    <w:link w:val="Heading2Char"/>
    <w:qFormat/>
    <w:rsid w:val="00052F11"/>
    <w:pPr>
      <w:keepNext/>
      <w:spacing w:after="0" w:before="200"/>
      <w:outlineLvl w:val="1"/>
      <w:keepLines/>
    </w:pPr>
    <w:rPr>
      <w:rFonts w:ascii="Cambria" w:cs="Cambria" w:eastAsia="Cambria" w:hAnsi="Cambria"/>
      <w:b/>
      <w:bCs/>
      <w:iCs/>
      <w:sz w:val="26"/>
      <w:szCs w:val="28"/>
      <w:i w:val="0"/>
      <w:color w:val="4F81BD"/>
      <w:u w:val="none"/>
    </w:rPr>
  </w:style>
  <w:style w:styleId="Heading3" w:type="paragraph">
    <w:name w:val="heading 3"/>
    <w:basedOn w:val="Normal"/>
    <w:next w:val="Normal"/>
    <w:link w:val="Heading3Char"/>
    <w:qFormat/>
    <w:rsid w:val="00052F11"/>
    <w:pPr>
      <w:keepNext/>
      <w:spacing w:after="0" w:before="200"/>
      <w:outlineLvl w:val="2"/>
      <w:keepLines/>
    </w:pPr>
    <w:rPr>
      <w:rFonts w:ascii="Cambria" w:cs="Cambria" w:eastAsia="Cambria" w:hAnsi="Cambria"/>
      <w:b/>
      <w:bCs/>
      <w:sz w:val="22"/>
      <w:szCs w:val="26"/>
      <w:i w:val="0"/>
      <w:color w:val="4F81BD"/>
      <w:u w:val="none"/>
    </w:rPr>
  </w:style>
  <w:style w:styleId="Heading4" w:type="paragraph">
    <w:name w:val="heading 4"/>
    <w:basedOn w:val="Normal"/>
    <w:next w:val="Normal"/>
    <w:link w:val="Heading4Char"/>
    <w:qFormat/>
    <w:rsid w:val="00EF7B96"/>
    <w:pPr>
      <w:keepNext/>
      <w:spacing w:after="0" w:before="200"/>
      <w:outlineLvl w:val="3"/>
      <w:keepLines/>
    </w:pPr>
    <w:rPr>
      <w:b/>
      <w:bCs/>
      <w:sz w:val="22"/>
      <w:szCs w:val="28"/>
      <w:rFonts w:ascii="Cambria" w:cs="Cambria" w:eastAsia="Cambria" w:hAnsi="Cambria"/>
      <w:i/>
      <w:color w:val="4F81BD"/>
      <w:u w:val="none"/>
    </w:rPr>
  </w:style>
  <w:style w:styleId="Heading5" w:type="paragraph">
    <w:name w:val="heading 5"/>
    <w:basedOn w:val="Heading4"/>
    <w:next w:val="Normal"/>
    <w:link w:val="Heading5Char"/>
    <w:unhideWhenUsed/>
    <w:qFormat/>
    <w:rsid w:val="00D80F78"/>
    <w:pPr>
      <w:keepLines/>
      <w:spacing w:after="0" w:before="200"/>
      <w:outlineLvl w:val="4"/>
      <w:keepNext/>
    </w:pPr>
    <w:rPr>
      <w:rFonts w:ascii="Cambria" w:asciiTheme="majorHAnsi" w:cs="Cambria" w:cstheme="majorBidi" w:eastAsia="Cambria" w:eastAsiaTheme="majorEastAsia" w:hAnsi="Cambria" w:hAnsiTheme="majorHAnsi"/>
      <w:color w:themeColor="accent1" w:themeShade="7F" w:val="243F60"/>
      <w:b w:val="0"/>
      <w:i w:val="0"/>
      <w:sz w:val="22"/>
      <w:u w:val="none"/>
    </w:rPr>
  </w:style>
  <w:style w:styleId="Heading6" w:type="paragraph">
    <w:name w:val="heading 6"/>
    <w:basedOn w:val="Heading5"/>
    <w:next w:val="Normal"/>
    <w:link w:val="Heading6Char"/>
    <w:unhideWhenUsed/>
    <w:qFormat/>
    <w:rsid w:val="00D80F78"/>
    <w:pPr>
      <w:outlineLvl w:val="5"/>
      <w:keepNext/>
      <w:keepLines/>
      <w:spacing w:after="0" w:before="200"/>
    </w:pPr>
    <w:rPr>
      <w:i/>
      <w:iCs/>
      <w:rFonts w:ascii="Cambria" w:cs="Cambria" w:eastAsia="Cambria" w:hAnsi="Cambria"/>
      <w:b w:val="0"/>
      <w:color w:val="243F60"/>
      <w:sz w:val="22"/>
      <w:u w:val="none"/>
    </w:rPr>
  </w:style>
  <w:style w:styleId="Heading7" w:type="paragraph">
    <w:name w:val="heading 7"/>
    <w:basedOn w:val="Heading6"/>
    <w:next w:val="Normal"/>
    <w:link w:val="Heading7Char"/>
    <w:unhideWhenUsed/>
    <w:qFormat/>
    <w:rsid w:val="00D80F78"/>
    <w:pPr>
      <w:outlineLvl w:val="6"/>
      <w:keepNext/>
      <w:keepLines/>
      <w:spacing w:after="0" w:before="200"/>
    </w:pPr>
    <w:rPr>
      <w:i w:val="0"/>
      <w:iCs w:val="0"/>
      <w:color w:themeColor="text1" w:themeTint="BF" w:val="404040"/>
      <w:rFonts w:ascii="Cambria" w:cs="Cambria" w:eastAsia="Cambria" w:hAnsi="Cambria"/>
      <w:b w:val="0"/>
      <w:sz w:val="22"/>
      <w:u w:val="none"/>
    </w:rPr>
  </w:style>
  <w:style w:styleId="Heading8" w:type="paragraph">
    <w:name w:val="heading 8"/>
    <w:basedOn w:val="Heading7"/>
    <w:next w:val="Normal"/>
    <w:link w:val="Heading8Char"/>
    <w:unhideWhenUsed/>
    <w:qFormat/>
    <w:rsid w:val="009B6E9B"/>
    <w:pPr>
      <w:outlineLvl w:val="7"/>
      <w:keepNext/>
      <w:keepLines/>
      <w:spacing w:after="0" w:before="200"/>
    </w:pPr>
    <w:rPr>
      <w:i w:val="0"/>
      <w:szCs w:val="20"/>
      <w:rFonts w:ascii="Cambria" w:cs="Cambria" w:eastAsia="Cambria" w:hAnsi="Cambria"/>
      <w:b w:val="0"/>
      <w:color w:val="404040"/>
      <w:sz w:val="20"/>
      <w:u w:val="none"/>
    </w:rPr>
  </w:style>
  <w:style w:styleId="Heading9" w:type="paragraph">
    <w:name w:val="heading 9"/>
    <w:basedOn w:val="Heading8"/>
    <w:next w:val="Normal"/>
    <w:link w:val="Heading9Char"/>
    <w:unhideWhenUsed/>
    <w:qFormat/>
    <w:rsid w:val="009B6E9B"/>
    <w:pPr>
      <w:outlineLvl w:val="8"/>
      <w:keepNext/>
      <w:keepLines/>
      <w:spacing w:after="0" w:before="200"/>
    </w:pPr>
    <w:rPr>
      <w:b w:val="0"/>
      <w:iCs/>
      <w:rFonts w:ascii="Cambria" w:cs="Cambria" w:eastAsia="Cambria" w:hAnsi="Cambria"/>
      <w:i/>
      <w:color w:val="404040"/>
      <w:sz w:val="20"/>
      <w:u w:val="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  <w:tblStyleRowBandSize w:val="1"/>
      <w:tblStyleColBandSize w:val="1"/>
    </w:tblPr>
    <w:pPr>
      <w:spacing w:after="0" w:before="0"/>
      <w:ind w:left="0" w:right="0"/>
    </w:pPr>
  </w:style>
  <w:style w:default="1" w:styleId="NoList" w:type="numbering">
    <w:name w:val="No List"/>
    <w:uiPriority w:val="99"/>
    <w:semiHidden/>
    <w:unhideWhenUsed/>
  </w:style>
  <w:style w:customStyle="1" w:styleId="DocumentTitle" w:type="paragraph">
    <w:name w:val="Document Title"/>
    <w:basedOn w:val="Normal"/>
    <w:rsid w:val="00052F11"/>
    <w:pPr>
      <w:jc w:val="center"/>
    </w:pPr>
    <w:rPr>
      <w:b/>
      <w:sz w:val="52"/>
    </w:rPr>
  </w:style>
  <w:style w:customStyle="1" w:styleId="Information" w:type="paragraph">
    <w:name w:val="Information"/>
    <w:basedOn w:val="Normal"/>
    <w:rsid w:val="00052F11"/>
    <w:pPr>
      <w:jc w:val="center"/>
    </w:pPr>
    <w:rPr>
      <w:b/>
      <w:sz w:val="28"/>
      <w:szCs w:val="20"/>
    </w:rPr>
  </w:style>
  <w:style w:customStyle="1" w:styleId="Diagram" w:type="paragraph">
    <w:name w:val="Diagram"/>
    <w:basedOn w:val="Normal"/>
    <w:rsid w:val="00E50A43"/>
  </w:style>
  <w:style w:customStyle="1" w:styleId="ReportTitle" w:type="paragraph">
    <w:name w:val="Report Title"/>
    <w:basedOn w:val="PageTitle"/>
    <w:rsid w:val="007B63B3"/>
    <w:rPr>
      <w:b/>
      <w:sz w:val="48"/>
    </w:rPr>
  </w:style>
  <w:style w:customStyle="1" w:styleId="PageTitle" w:type="paragraph">
    <w:name w:val="Page Title"/>
    <w:basedOn w:val="Normal"/>
    <w:rsid w:val="00052F11"/>
    <w:pPr>
      <w:spacing w:before="240"/>
      <w:jc w:val="center"/>
    </w:pPr>
    <w:rPr>
      <w:sz w:val="40"/>
      <w:szCs w:val="20"/>
    </w:rPr>
  </w:style>
  <w:style w:customStyle="1" w:styleId="HLine" w:type="paragraph">
    <w:name w:val="H Line"/>
    <w:basedOn w:val="DocumentTitle"/>
    <w:rsid w:val="00DF6325"/>
    <w:pPr>
      <w:pBdr>
        <w:bottom w:color="1569BC" w:space="1" w:sz="18" w:val="single"/>
      </w:pBdr>
    </w:pPr>
    <w:rPr>
      <w:bCs/>
      <w:szCs w:val="20"/>
    </w:rPr>
  </w:style>
  <w:style w:customStyle="1" w:styleId="TableHeader" w:type="paragraph">
    <w:name w:val="TableHeader"/>
    <w:basedOn w:val="Normal"/>
    <w:rsid w:val="005A57E0"/>
    <w:pPr>
      <w:spacing w:after="80" w:before="120"/>
      <w:ind w:left="144" w:right="144"/>
    </w:pPr>
    <w:rPr>
      <w:b/>
      <w:color w:val="FFFFFF"/>
      <w:sz w:val="22"/>
    </w:rPr>
  </w:style>
  <w:style w:customStyle="1" w:styleId="TableContent" w:type="paragraph">
    <w:name w:val="TableContent"/>
    <w:basedOn w:val="Normal"/>
    <w:rsid w:val="0070332B"/>
    <w:pPr>
      <w:spacing w:after="40" w:before="80"/>
      <w:ind w:left="144" w:right="144"/>
    </w:pPr>
  </w:style>
  <w:style w:customStyle="1" w:styleId="DiagramType" w:type="paragraph">
    <w:name w:val="DiagramType"/>
    <w:basedOn w:val="Normal"/>
    <w:rsid w:val="00AC0B18"/>
    <w:rPr>
      <w:b/>
      <w:sz w:val="28"/>
    </w:rPr>
  </w:style>
  <w:style w:customStyle="1" w:styleId="ReportInformation" w:type="paragraph">
    <w:name w:val="Report Information"/>
    <w:basedOn w:val="ReportTitle"/>
    <w:rsid w:val="009D6E9A"/>
    <w:rPr>
      <w:sz w:val="32"/>
    </w:rPr>
  </w:style>
  <w:style w:styleId="TOC1" w:type="paragraph">
    <w:name w:val="toc 1"/>
    <w:basedOn w:val="Normal"/>
    <w:next w:val="Normal"/>
    <w:link w:val="TOC1Char"/>
    <w:autoRedefine/>
    <w:uiPriority w:val="39"/>
    <w:rsid w:val="001B17E9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2" w:type="paragraph">
    <w:name w:val="toc 2"/>
    <w:basedOn w:val="Normal"/>
    <w:next w:val="Normal"/>
    <w:link w:val="TOC2Char"/>
    <w:autoRedefine/>
    <w:uiPriority w:val="39"/>
    <w:rsid w:val="001B17E9"/>
    <w:pPr>
      <w:ind w:left="2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" w:type="paragraph">
    <w:name w:val="toc 3"/>
    <w:basedOn w:val="Normal"/>
    <w:next w:val="Normal"/>
    <w:link w:val="TOC3Char"/>
    <w:autoRedefine/>
    <w:uiPriority w:val="39"/>
    <w:rsid w:val="001B17E9"/>
    <w:pPr>
      <w:ind w:left="400"/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yperlink" w:type="character">
    <w:name w:val="Hyperlink"/>
    <w:basedOn w:val="DefaultParagraphFont"/>
    <w:uiPriority w:val="99"/>
    <w:unhideWhenUsed/>
    <w:rsid w:val="001B17E9"/>
    <w:rPr>
      <w:color w:themeColor="hyperlink" w:val="0000FF"/>
      <w:u w:val="single"/>
    </w:rPr>
  </w:style>
  <w:style w:customStyle="1" w:styleId="Heading5Char" w:type="character">
    <w:name w:val="Heading 5 Char"/>
    <w:basedOn w:val="DefaultParagraphFont"/>
    <w:link w:val="Heading5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accent1" w:themeShade="7F" w:val="243F60"/>
      <w:sz w:val="22"/>
      <w:szCs w:val="28"/>
      <w:lang w:eastAsia="en-GB" w:val="en-GB"/>
      <w:i w:val="0"/>
      <w:u w:val="none"/>
    </w:rPr>
    <w:pPr>
      <w:keepNext/>
      <w:keepLines/>
      <w:spacing w:after="0" w:before="200"/>
    </w:pPr>
  </w:style>
  <w:style w:customStyle="1" w:styleId="Heading6Char" w:type="character">
    <w:name w:val="Heading 6 Char"/>
    <w:basedOn w:val="DefaultParagraphFont"/>
    <w:link w:val="Heading6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i/>
      <w:iCs/>
      <w:color w:themeColor="accent1" w:themeShade="7F" w:val="243F60"/>
      <w:sz w:val="22"/>
      <w:szCs w:val="28"/>
      <w:lang w:eastAsia="en-GB" w:val="en-GB"/>
      <w:u w:val="none"/>
    </w:rPr>
    <w:pPr>
      <w:keepNext/>
      <w:keepLines/>
      <w:spacing w:after="0" w:before="200"/>
    </w:pPr>
  </w:style>
  <w:style w:customStyle="1" w:styleId="Heading7Char" w:type="character">
    <w:name w:val="Heading 7 Char"/>
    <w:basedOn w:val="DefaultParagraphFont"/>
    <w:link w:val="Heading7"/>
    <w:rsid w:val="00D80F78"/>
    <w:rPr>
      <w:rFonts w:ascii="Cambria" w:asciiTheme="majorHAnsi" w:cs="Cambria" w:cstheme="majorBidi" w:eastAsia="Cambria" w:eastAsiaTheme="majorEastAsia" w:hAnsi="Cambria" w:hAnsiTheme="majorHAnsi"/>
      <w:b w:val="0"/>
      <w:bCs/>
      <w:color w:themeColor="text1" w:themeTint="BF" w:val="404040"/>
      <w:sz w:val="22"/>
      <w:szCs w:val="28"/>
      <w:lang w:eastAsia="en-GB" w:val="en-GB"/>
      <w:i/>
      <w:u w:val="none"/>
    </w:rPr>
    <w:pPr>
      <w:keepNext/>
      <w:keepLines/>
      <w:spacing w:after="0" w:before="200"/>
    </w:pPr>
  </w:style>
  <w:style w:customStyle="1" w:styleId="Heading8Char" w:type="character">
    <w:name w:val="Heading 8 Char"/>
    <w:basedOn w:val="DefaultParagraphFont"/>
    <w:link w:val="Heading8"/>
    <w:rsid w:val="009B6E9B"/>
    <w:rPr>
      <w:rFonts w:ascii="Cambria" w:asciiTheme="majorHAnsi" w:cs="Cambria" w:cstheme="majorBidi" w:eastAsia="Cambria" w:eastAsiaTheme="majorEastAsia" w:hAnsi="Cambria" w:hAnsiTheme="majorHAnsi"/>
      <w:b w:val="0"/>
      <w:bCs/>
      <w:i w:val="0"/>
      <w:color w:themeColor="text1" w:themeTint="BF" w:val="404040"/>
      <w:sz w:val="20"/>
      <w:lang w:eastAsia="en-GB" w:val="en-GB"/>
      <w:u w:val="none"/>
    </w:rPr>
    <w:pPr>
      <w:keepNext/>
      <w:keepLines/>
      <w:spacing w:after="0" w:before="200"/>
    </w:pPr>
  </w:style>
  <w:style w:customStyle="1" w:styleId="Heading9Char" w:type="character">
    <w:name w:val="Heading 9 Char"/>
    <w:basedOn w:val="DefaultParagraphFont"/>
    <w:link w:val="Heading9"/>
    <w:rsid w:val="009B6E9B"/>
    <w:rPr>
      <w:rFonts w:ascii="Cambria" w:asciiTheme="majorHAnsi" w:cs="Cambria" w:cstheme="majorBidi" w:eastAsia="Cambria" w:eastAsiaTheme="majorEastAsia" w:hAnsi="Cambria" w:hAnsiTheme="majorHAnsi"/>
      <w:bCs/>
      <w:i/>
      <w:iCs/>
      <w:color w:themeColor="text1" w:themeTint="BF" w:val="404040"/>
      <w:sz w:val="20"/>
      <w:lang w:eastAsia="en-GB" w:val="en-GB"/>
      <w:b w:val="0"/>
      <w:u w:val="none"/>
    </w:rPr>
    <w:pPr>
      <w:keepNext/>
      <w:keepLines/>
      <w:spacing w:after="0" w:before="200"/>
    </w:pPr>
  </w:style>
  <w:style w:styleId="Description" w:type="paragraph">
    <w:name w:val="Description"/>
    <w:basedOn w:val="Normal"/>
    <w:link w:val="DescriptionChar"/>
    <w:pPr/>
    <w:rPr>
      <w:rFonts w:ascii="Calibri" w:cs="Calibri" w:eastAsia="Calibri" w:hAnsi="Calibri"/>
      <w:b w:val="0"/>
      <w:i w:val="0"/>
      <w:sz w:val="22"/>
      <w:u w:val="none"/>
    </w:rPr>
  </w:style>
  <w:style w:styleId="DescriptionChar" w:type="character">
    <w:name w:val="Description"/>
    <w:basedOn w:val="Normal"/>
    <w:link w:val="Description"/>
    <w:pPr/>
    <w:rPr>
      <w:rFonts w:ascii="Calibri" w:cs="Calibri" w:eastAsia="Calibri" w:hAnsi="Calibri"/>
      <w:b w:val="0"/>
      <w:i w:val="0"/>
      <w:sz w:val="22"/>
      <w:u w:val="none"/>
    </w:rPr>
  </w:style>
  <w:style w:styleId="TOC2Char" w:type="character">
    <w:name w:val="toc 2"/>
    <w:basedOn w:val="Normal"/>
    <w:link w:val="TOC2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3Char" w:type="character">
    <w:name w:val="toc 3"/>
    <w:basedOn w:val="Normal"/>
    <w:link w:val="TOC3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TOC1Char" w:type="character">
    <w:name w:val="toc 1"/>
    <w:basedOn w:val="Normal"/>
    <w:link w:val="TOC1"/>
    <w:pPr>
      <w:spacing w:after="100"/>
    </w:pPr>
    <w:rPr>
      <w:rFonts w:ascii="Calibri" w:cs="Calibri" w:eastAsia="Calibri" w:hAnsi="Calibri"/>
      <w:b w:val="0"/>
      <w:i w:val="0"/>
      <w:sz w:val="22"/>
      <w:u w:val="none"/>
    </w:rPr>
  </w:style>
  <w:style w:styleId="Heading1Char" w:type="character">
    <w:name w:val="heading 1"/>
    <w:basedOn w:val="Normal"/>
    <w:link w:val="Heading1"/>
    <w:pPr>
      <w:keepNext/>
      <w:keepLines/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Heading2Char" w:type="character">
    <w:name w:val="heading 2"/>
    <w:basedOn w:val="Normal"/>
    <w:link w:val="Heading2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6"/>
      <w:u w:val="none"/>
    </w:rPr>
  </w:style>
  <w:style w:styleId="Heading3Char" w:type="character">
    <w:name w:val="heading 3"/>
    <w:basedOn w:val="Normal"/>
    <w:link w:val="Heading3"/>
    <w:pPr>
      <w:keepNext/>
      <w:keepLines/>
      <w:spacing w:after="0" w:before="200"/>
    </w:pPr>
    <w:rPr>
      <w:rFonts w:ascii="Cambria" w:cs="Cambria" w:eastAsia="Cambria" w:hAnsi="Cambria"/>
      <w:b/>
      <w:i w:val="0"/>
      <w:color w:val="4F81BD"/>
      <w:sz w:val="22"/>
      <w:u w:val="none"/>
    </w:rPr>
  </w:style>
  <w:style w:styleId="Heading4Char" w:type="character">
    <w:name w:val="heading 4"/>
    <w:basedOn w:val="Normal"/>
    <w:link w:val="Heading4"/>
    <w:pPr>
      <w:keepNext/>
      <w:keepLines/>
      <w:spacing w:after="0" w:before="200"/>
    </w:pPr>
    <w:rPr>
      <w:rFonts w:ascii="Cambria" w:cs="Cambria" w:eastAsia="Cambria" w:hAnsi="Cambria"/>
      <w:b/>
      <w:i/>
      <w:color w:val="4F81BD"/>
      <w:sz w:val="22"/>
      <w:u w:val="none"/>
    </w:rPr>
  </w:style>
  <w:style w:styleId="BalloonText" w:type="paragraph">
    <w:name w:val="Balloon Text"/>
    <w:basedOn w:val="Normal"/>
    <w:link w:val="BalloonTextChar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BalloonTextChar" w:type="character">
    <w:name w:val="Balloon Text"/>
    <w:basedOn w:val="Normal"/>
    <w:link w:val="BalloonText"/>
    <w:pPr>
      <w:spacing w:after="0"/>
    </w:pPr>
    <w:rPr>
      <w:rFonts w:ascii="Tahoma" w:cs="Tahoma" w:eastAsia="Tahoma" w:hAnsi="Tahoma"/>
      <w:b w:val="0"/>
      <w:i w:val="0"/>
      <w:sz w:val="16"/>
      <w:u w:val="none"/>
    </w:rPr>
  </w:style>
  <w:style w:styleId="NormalChar" w:type="character">
    <w:name w:val="Normal"/>
    <w:basedOn w:val="Normal"/>
    <w:link w:val="Normal"/>
    <w:pPr/>
    <w:rPr>
      <w:rFonts w:ascii="Calibri" w:cs="Calibri" w:eastAsia="Calibri" w:hAnsi="Calibri"/>
      <w:b w:val="0"/>
      <w:i w:val="0"/>
      <w:sz w:val="22"/>
      <w:u w:val="none"/>
    </w:rPr>
  </w:style>
  <w:style w:styleId="Title" w:type="paragraph">
    <w:name w:val="Title"/>
    <w:basedOn w:val="Normal"/>
    <w:link w:val="TitleChar"/>
    <w:qFormat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TitleChar" w:type="character">
    <w:name w:val="Title"/>
    <w:basedOn w:val="Normal"/>
    <w:link w:val="Title"/>
    <w:pPr>
      <w:spacing w:after="300"/>
    </w:pPr>
    <w:rPr>
      <w:rFonts w:ascii="Cambria" w:cs="Cambria" w:eastAsia="Cambria" w:hAnsi="Cambria"/>
      <w:b w:val="0"/>
      <w:i w:val="0"/>
      <w:color w:val="17365D"/>
      <w:sz w:val="52"/>
      <w:u w:val="none"/>
    </w:rPr>
  </w:style>
  <w:style w:styleId="Subtitle" w:type="paragraph">
    <w:name w:val="Subtitle"/>
    <w:basedOn w:val="Normal"/>
    <w:link w:val="SubtitleChar"/>
    <w:qFormat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SubtitleChar" w:type="character">
    <w:name w:val="Subtitle"/>
    <w:basedOn w:val="Normal"/>
    <w:link w:val="Subtitle"/>
    <w:pPr/>
    <w:rPr>
      <w:rFonts w:ascii="Cambria" w:cs="Cambria" w:eastAsia="Cambria" w:hAnsi="Cambria"/>
      <w:b w:val="0"/>
      <w:i/>
      <w:color w:val="4F81BD"/>
      <w:sz w:val="24"/>
      <w:u w:val="none"/>
    </w:rPr>
  </w:style>
  <w:style w:styleId="NoSpacing" w:type="paragraph">
    <w:name w:val="No Spacing"/>
    <w:basedOn w:val="Normal"/>
    <w:link w:val="NoSpacingChar"/>
    <w:qFormat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NoSpacingChar" w:type="character">
    <w:name w:val="No Spacing"/>
    <w:basedOn w:val="Normal"/>
    <w:link w:val="NoSpacing"/>
    <w:pPr>
      <w:spacing w:after="0"/>
    </w:pPr>
    <w:rPr>
      <w:rFonts w:ascii="Calibri" w:cs="Calibri" w:eastAsia="Calibri" w:hAnsi="Calibri"/>
      <w:b w:val="0"/>
      <w:i w:val="0"/>
      <w:sz w:val="22"/>
      <w:u w:val="none"/>
    </w:rPr>
  </w:style>
  <w:style w:styleId="ListParagraph" w:type="paragraph">
    <w:name w:val="List Paragraph"/>
    <w:basedOn w:val="Normal"/>
    <w:link w:val="ListParagraphChar"/>
    <w:qFormat/>
    <w:pPr/>
    <w:rPr>
      <w:rFonts w:ascii="Calibri" w:cs="Calibri" w:eastAsia="Calibri" w:hAnsi="Calibri"/>
      <w:b w:val="0"/>
      <w:i w:val="0"/>
      <w:sz w:val="22"/>
      <w:u w:val="none"/>
    </w:rPr>
  </w:style>
  <w:style w:styleId="ListParagraphChar" w:type="character">
    <w:name w:val="List Paragraph"/>
    <w:basedOn w:val="Normal"/>
    <w:link w:val="ListParagraph"/>
    <w:pPr/>
    <w:rPr>
      <w:rFonts w:ascii="Calibri" w:cs="Calibri" w:eastAsia="Calibri" w:hAnsi="Calibri"/>
      <w:b w:val="0"/>
      <w:i w:val="0"/>
      <w:sz w:val="22"/>
      <w:u w:val="none"/>
    </w:rPr>
  </w:style>
  <w:style w:styleId="Quote" w:type="paragraph">
    <w:name w:val="Quote"/>
    <w:basedOn w:val="Normal"/>
    <w:link w:val="QuoteChar"/>
    <w:qFormat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QuoteChar" w:type="character">
    <w:name w:val="Quote"/>
    <w:basedOn w:val="Normal"/>
    <w:link w:val="Quote"/>
    <w:pPr/>
    <w:rPr>
      <w:rFonts w:ascii="Calibri" w:cs="Calibri" w:eastAsia="Calibri" w:hAnsi="Calibri"/>
      <w:b w:val="0"/>
      <w:i/>
      <w:color w:val="000000"/>
      <w:sz w:val="22"/>
      <w:u w:val="none"/>
    </w:rPr>
  </w:style>
  <w:style w:styleId="IntenseQuote" w:type="paragraph">
    <w:name w:val="Intense Quote"/>
    <w:basedOn w:val="Normal"/>
    <w:link w:val="IntenseQuoteChar"/>
    <w:qFormat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IntenseQuoteChar" w:type="character">
    <w:name w:val="Intense Quote"/>
    <w:basedOn w:val="Normal"/>
    <w:link w:val="IntenseQuote"/>
    <w:pPr>
      <w:spacing w:after="280" w:before="200"/>
    </w:pPr>
    <w:rPr>
      <w:rFonts w:ascii="Calibri" w:cs="Calibri" w:eastAsia="Calibri" w:hAnsi="Calibri"/>
      <w:b/>
      <w:i/>
      <w:color w:val="4F81BD"/>
      <w:sz w:val="22"/>
      <w:u w:val="none"/>
    </w:rPr>
  </w:style>
  <w:style w:styleId="TOCHeading" w:type="paragraph">
    <w:name w:val="TOC Heading"/>
    <w:basedOn w:val="Normal"/>
    <w:link w:val="TOCHeadingChar"/>
    <w:qFormat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OCHeadingChar" w:type="character">
    <w:name w:val="TOC Heading"/>
    <w:basedOn w:val="Normal"/>
    <w:link w:val="TOCHeading"/>
    <w:pPr>
      <w:spacing w:after="0" w:before="480"/>
    </w:pPr>
    <w:rPr>
      <w:rFonts w:ascii="Cambria" w:cs="Cambria" w:eastAsia="Cambria" w:hAnsi="Cambria"/>
      <w:b/>
      <w:i w:val="0"/>
      <w:color w:val="365F91"/>
      <w:sz w:val="28"/>
      <w:u w:val="none"/>
    </w:rPr>
  </w:style>
  <w:style w:styleId="TableGrid" w:type="table">
    <w:name w:val="Table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LightShading" w:type="table">
    <w:name w:val="Light Shading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8" w:val="single"/>
          <w:left w:val="nil"/>
          <w:bottom w:color="000000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C0C0C0" w:val="clear"/>
      </w:tcPr>
    </w:tblStylePr>
  </w:style>
  <w:style w:styleId="LightShading-Accent1" w:type="table">
    <w:name w:val="Light Shading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8" w:val="single"/>
          <w:left w:val="nil"/>
          <w:bottom w:color="4F81B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D3DFEE" w:val="clear"/>
      </w:tcPr>
    </w:tblStylePr>
  </w:style>
  <w:style w:styleId="LightShading-Accent2" w:type="table">
    <w:name w:val="Light Shading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8" w:val="single"/>
          <w:left w:val="nil"/>
          <w:bottom w:color="C0504D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FD3D2" w:val="clear"/>
      </w:tcPr>
    </w:tblStylePr>
  </w:style>
  <w:style w:styleId="LightShading-Accent3" w:type="table">
    <w:name w:val="Light Shading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8" w:val="single"/>
          <w:left w:val="nil"/>
          <w:bottom w:color="9BBB59" w:space="0" w:sz="8" w:val="single"/>
          <w:right w:val="nil"/>
          <w:insideH w:val="nil"/>
          <w:insideV w:val="nil"/>
        </w:tcBorders>
      </w:tcPr>
    </w:tblStylePr>
    <w:tblStylePr w:type="lastCol">
      <w:rPr>
        <w:b/>
      </w:rPr>
    </w:tblStylePr>
    <w:tblStylePr w:type="band1Horz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color="auto" w:fill="E6EED5" w:val="clear"/>
      </w:tcPr>
    </w:tblStylePr>
  </w:style>
  <w:style w:styleId="LightList" w:type="table">
    <w:name w:val="Light List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00000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Grid" w:type="table">
    <w:name w:val="Light Grid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val="nil"/>
          <w:insideV w:color="000000" w:space="0" w:sz="8" w:val="single"/>
        </w:tcBorders>
      </w:tcPr>
    </w:tblStylePr>
    <w:tblStylePr w:type="lastCol">
      <w:rPr>
        <w:b/>
      </w:rPr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</w:style>
  <w:style w:styleId="LightList-Accent1" w:type="table">
    <w:name w:val="Light List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F81B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styleId="LightList-Accent2" w:type="table">
    <w:name w:val="Light List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C0504D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styleId="LightList-Accent3" w:type="table">
    <w:name w:val="Light List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9BBB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styleId="LightGrid-Accent1" w:type="table">
    <w:name w:val="Light Grid Accent 1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val="nil"/>
          <w:insideV w:color="4F81BD" w:space="0" w:sz="8" w:val="single"/>
        </w:tcBorders>
      </w:tcPr>
    </w:tblStylePr>
    <w:tblStylePr w:type="lastCol">
      <w:rPr>
        <w:b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</w:style>
  <w:style w:styleId="LightGrid-Accent2" w:type="table">
    <w:name w:val="Light Grid Accent 2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val="nil"/>
          <w:insideV w:color="C0504D" w:space="0" w:sz="8" w:val="single"/>
        </w:tcBorders>
      </w:tcPr>
    </w:tblStylePr>
    <w:tblStylePr w:type="lastCol">
      <w:rPr>
        <w:b/>
      </w:rPr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  <w:tblStylePr w:type="band1Vert"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</w:style>
  <w:style w:styleId="LightGrid-Accent3" w:type="table">
    <w:name w:val="Light Grid Accent 3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val="nil"/>
          <w:insideV w:color="9BBB59" w:space="0" w:sz="8" w:val="single"/>
        </w:tcBorders>
      </w:tcPr>
    </w:tblStylePr>
    <w:tblStylePr w:type="lastCol">
      <w:rPr>
        <w:b/>
      </w:rPr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  <w:tblStylePr w:type="band1Vert"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</w:style>
  <w:style w:styleId="Properties" w:type="table">
    <w:name w:val="Propert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Summaries" w:type="table">
    <w:name w:val="Summaries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band1Horz">
      <w:tcPr>
        <w:shd w:color="auto" w:fill="DBE5F1" w:val="clear"/>
      </w:tcPr>
    </w:tblStylePr>
  </w:style>
  <w:style w:styleId="Summaries2" w:type="table">
    <w:name w:val="Summaries2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B8CCE4" w:val="clear"/>
      </w:tcPr>
    </w:tblStylePr>
    <w:tblStylePr w:type="firstCol">
      <w:rPr>
        <w:b/>
      </w:rPr>
    </w:tblStylePr>
    <w:tblStylePr w:type="band1Horz">
      <w:tcPr>
        <w:shd w:color="auto" w:fill="DBE5F1" w:val="clear"/>
      </w:tcPr>
    </w:tblStylePr>
  </w:style>
  <w:style w:styleId="Confirmation" w:type="table">
    <w:name w:val="Confirmation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Col">
      <w:tcPr>
        <w:tcBorders>
          <w:right w:color="943634" w:space="0" w:sz="4" w:val="single"/>
          <w:insideV w:val="nil"/>
        </w:tcBorders>
      </w:tcPr>
    </w:tblStylePr>
  </w:style>
  <w:style w:styleId="Scenario" w:type="table">
    <w:name w:val="Scenario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dashSmallGap"/>
        <w:insideV w:color="BFBFBF" w:space="0" w:sz="4" w:val="dashSmallGap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Horz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1Vert">
      <w:tcPr>
        <w:tcBorders>
          <w:insideH w:color="BFBFBF" w:space="0" w:sz="4" w:val="dashSmallGap"/>
          <w:insideV w:color="BFBFBF" w:space="0" w:sz="4" w:val="dashSmallGap"/>
        </w:tcBorders>
      </w:tcPr>
    </w:tblStylePr>
    <w:tblStylePr w:type="band2Vert">
      <w:tcPr>
        <w:tcBorders>
          <w:insideH w:color="BFBFBF" w:space="0" w:sz="4" w:val="dashSmallGap"/>
          <w:insideV w:color="BFBFBF" w:space="0" w:sz="4" w:val="dashSmallGap"/>
        </w:tcBorders>
      </w:tcPr>
    </w:tblStylePr>
  </w:style>
  <w:style w:styleId="ScenarioNoProcedure" w:type="table">
    <w:name w:val="ScenarioNoProcedure"/>
    <w:basedOn w:val="TableNormal"/>
    <w:pPr>
      <w:spacing w:after="40" w:before="8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</w:style>
  <w:style w:styleId="EmptyTable" w:type="table">
    <w:name w:val="EmptyTable"/>
    <w:basedOn w:val="TableNormal"/>
    <w:pPr>
      <w:spacing w:after="40" w:before="8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</w:style>
  <w:style w:styleId="TableStyle1" w:type="table">
    <w:name w:val="Table Style 1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  <w:sz w:val="20"/>
    </w:r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Style1CenterHeader" w:type="table">
    <w:name w:val="Table Style 1 (Center Header)"/>
    <w:basedOn w:val="TableNormal"/>
    <w:pPr>
      <w:spacing w:after="0" w:before="0"/>
      <w:ind w:left="0" w:right="0"/>
    </w:pPr>
    <w:tblPr>
      <w:tblStyleRowBandSize w:val="1"/>
      <w:tblStyleColBandSize w:val="1"/>
      <w:tblBorders>
        <w:top w:color="DDD9C3" w:space="0" w:sz="4" w:val="single"/>
        <w:left w:color="DDD9C3" w:space="0" w:sz="4" w:val="single"/>
        <w:bottom w:color="DDD9C3" w:space="0" w:sz="4" w:val="single"/>
        <w:right w:color="DDD9C3" w:space="0" w:sz="4" w:val="single"/>
        <w:insideH w:color="DDD9C3" w:space="0" w:sz="4" w:val="single"/>
        <w:insideV w:color="DDD9C3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leNormalSided" w:type="table">
    <w:name w:val="Table Normal (Sided)"/>
    <w:basedOn w:val="TableNormal"/>
    <w:pPr>
      <w:spacing w:after="0" w:before="0"/>
      <w:ind w:left="0" w:right="0"/>
    </w:pPr>
    <w:rPr>
      <w:rFonts w:ascii="Times New Roman" w:cs="Times New Roman" w:eastAsia="Times New Roman" w:hAnsi="Times New Roman"/>
    </w:rPr>
    <w:tblPr>
      <w:tblStyleRowBandSize w:val="1"/>
      <w:tblStyleColBandSize w:val="1"/>
      <w:tblBorders>
        <w:top w:color="D0CECE" w:space="0" w:sz="4" w:val="single"/>
        <w:left w:color="D0CECE" w:space="0" w:sz="4" w:val="single"/>
        <w:bottom w:color="D0CECE" w:space="0" w:sz="4" w:val="single"/>
        <w:right w:color="D0CECE" w:space="0" w:sz="4" w:val="single"/>
        <w:insideH w:color="D0CECE" w:space="0" w:sz="6" w:val="single"/>
        <w:insideV w:color="D0CECE" w:space="0" w:sz="6" w:val="single"/>
      </w:tblBorders>
      <w:tblCellMar>
        <w:top w:type="dxa" w:w="115"/>
        <w:left w:type="dxa" w:w="115"/>
        <w:bottom w:type="dxa" w:w="0"/>
        <w:right w:type="dxa" w:w="115"/>
      </w:tblCellMar>
    </w:tblPr>
    <w:tblStylePr w:type="nwCell">
      <w:rPr>
        <w:b/>
      </w:rPr>
    </w:tblStylePr>
    <w:tblStylePr w:type="firstCol">
      <w:rPr>
        <w:b/>
      </w:rPr>
      <w:tcPr>
        <w:shd w:color="auto" w:fill="D9D9D9" w:val="clear"/>
      </w:tcPr>
    </w:tblStylePr>
  </w:style>
  <w:style w:styleId="LightList-H1" w:type="table">
    <w:name w:val="Light List - H1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262626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2" w:type="table">
    <w:name w:val="Light List - H2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404040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3" w:type="table">
    <w:name w:val="Light List - H3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595959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LightList-H4" w:type="table">
    <w:name w:val="Light List - H4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  <w:color w:val="FFFFFF"/>
      </w:rPr>
      <w:tcPr>
        <w:shd w:color="auto" w:fill="7F7F7F" w:val="clear"/>
      </w:tcPr>
    </w:tblStylePr>
    <w:tblStylePr w:type="firstCol">
      <w:rPr>
        <w:b/>
      </w:rPr>
    </w:tblStylePr>
    <w:tblStylePr w:type="lastRow">
      <w:rPr>
        <w:b/>
      </w:rPr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lastCol">
      <w:rPr>
        <w:b/>
      </w:rPr>
    </w:tblStylePr>
    <w:tblStylePr w:type="band1Horz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styleId="ETLTable" w:type="table">
    <w:name w:val="ETLTable"/>
    <w:basedOn w:val="TableNormal"/>
    <w:pPr>
      <w:spacing w:after="0" w:before="0"/>
      <w:ind w:left="144" w:right="144"/>
    </w:pPr>
    <w:tblPr>
      <w:tblStyleRowBandSize w:val="1"/>
      <w:tblStyleColBandSize w:val="1"/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  <w:tcPr>
        <w:shd w:color="auto" w:fill="ADDA90" w:val="clear"/>
      </w:tcPr>
    </w:tblStylePr>
    <w:tblStylePr w:type="band1Horz">
      <w:tcPr>
        <w:shd w:color="auto" w:fill="E7F9DB" w:val="clear"/>
      </w:tcPr>
    </w:tblStylePr>
  </w:style>
  <w:style w:styleId="Confirmationwithheader" w:type="table">
    <w:name w:val="Confirmation (with header)"/>
    <w:basedOn w:val="TableNormal"/>
    <w:pPr>
      <w:spacing w:after="0" w:before="0"/>
      <w:ind w:left="144" w:right="144"/>
    </w:pPr>
    <w:tblPr>
      <w:tblStyleRowBandSize w:val="1"/>
      <w:tblStyleColBandSize w:val="1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0"/>
        <w:bottom w:type="dxa" w:w="0"/>
        <w:right w:type="dxa" w:w="0"/>
      </w:tblCellMar>
    </w:tblPr>
    <w:tblStylePr w:type="firstRow">
      <w:rPr>
        <w:b/>
      </w:rPr>
    </w:tblStylePr>
    <w:tblStylePr w:type="firstCol">
      <w:tcPr>
        <w:tcBorders>
          <w:right w:color="943634" w:space="0" w:sz="4" w:val="single"/>
          <w:insideV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
<Relationships xmlns="http://schemas.openxmlformats.org/package/2006/relationships"><Relationship Id="rId3" Target="webSettings.xml" Type="http://schemas.openxmlformats.org/officeDocument/2006/relationships/webSettings"></Relationship><Relationship Id="rId2" Target="settings.xml" Type="http://schemas.openxmlformats.org/officeDocument/2006/relationships/settings"></Relationship><Relationship Id="rId1" Target="styles.xml" Type="http://schemas.openxmlformats.org/officeDocument/2006/relationships/styles"></Relationship><Relationship Id="rId5" Target="theme/theme1.xml" Type="http://schemas.openxmlformats.org/officeDocument/2006/relationships/theme"></Relationship><Relationship Id="rId4" Target="fontTable.xml" Type="http://schemas.openxmlformats.org/officeDocument/2006/relationships/fontTable"></Relationship><Relationship Id="rId6" Target="numbering.xml" Type="http://schemas.openxmlformats.org/officeDocument/2006/relationships/numbering"></Relationship><Relationship Id="rId11" Target="media/Image0.png" Type="http://schemas.openxmlformats.org/officeDocument/2006/relationships/image"></Relationship><Relationship Id="rId12" Target="media/Image1.png" Type="http://schemas.openxmlformats.org/officeDocument/2006/relationships/image"></Relationship><Relationship Id="rId13" Target="media/Image2.png" Type="http://schemas.openxmlformats.org/officeDocument/2006/relationships/image"></Relationship><Relationship Id="rId14" Target="media/Image3.png" Type="http://schemas.openxmlformats.org/officeDocument/2006/relationships/image"></Relationship><Relationship Id="rId15" Target="media/Image4.png" Type="http://schemas.openxmlformats.org/officeDocument/2006/relationships/image"></Relationship><Relationship Id="rId16" Target="media/Image5.png" Type="http://schemas.openxmlformats.org/officeDocument/2006/relationships/image"></Relationship><Relationship Id="rId17" Target="media/Image6.png" Type="http://schemas.openxmlformats.org/officeDocument/2006/relationships/image"></Relationship><Relationship Id="rId18" Target="media/Image7.png" Type="http://schemas.openxmlformats.org/officeDocument/2006/relationships/image"></Relationship><Relationship Id="rId19" Target="media/Image8.png" Type="http://schemas.openxmlformats.org/officeDocument/2006/relationships/image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>Training XP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Entity Relationship Diagram Document</dc:title>
  <dc:subject>
	</dc:subject>
  <dc:creator>Apostolos</dc:creator>
  <cp:keywords>
	</cp:keywords>
  <dc:description/>
  <cp:lastModifiedBy>Apostolos</cp:lastModifiedBy>
  <cp:revision>1</cp:revision>
  <dcterms:created xsi:type="dcterms:W3CDTF">2024-11-25T11:22:26+02:00</dcterms:created>
  <dcterms:modified xsi:type="dcterms:W3CDTF">2024-11-25T11:22:26+02:00</dcterms:modified>
</cp:coreProperties>
</file>

<file path=docProps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</w:numbering>
</file>