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Learning Signatures of Good Writing — Final Report</w:t>
      </w:r>
    </w:p>
    <w:p>
      <w:pPr>
        <w:pStyle w:val="Heading1"/>
      </w:pPr>
      <w:r>
        <w:t>Executive Summary</w:t>
      </w:r>
    </w:p>
    <w:p>
      <w:r>
        <w:t>Great prose and poetry ride a cadence: mostly focused choices, punctuated by purposeful spikes of surprise that turn the scene or idea, followed by a short cooldown that grounds what just happened. Spikes align with content words and rhetorical pivots (not punctuation), with larger sustained shifts every few sentences or lines.</w:t>
        <w:br/>
        <w:br/>
        <w:t>Our analysis measured token-level distributions (p_true, entropy, rank, nucleus width), cadence statistics (spike rate, inter-peak intervals, cooldown entropy drop), cohesion (order vs shuffled), and token-class contexts. We then built a cadence-aware sampler (HF + MLX) that enforces per-phase top_p/temperature, content-aware spikes, cooldowns, and optional rhyme/line nudges.</w:t>
      </w:r>
    </w:p>
    <w:p>
      <w:pPr>
        <w:pStyle w:val="Heading1"/>
      </w:pPr>
      <w:r>
        <w:t>Principles</w:t>
      </w:r>
    </w:p>
    <w:p>
      <w:pPr>
        <w:pStyle w:val="ListBullet"/>
      </w:pPr>
      <w:r>
        <w:t>Cadence, not chaos: base focus → spike → cooldown → repeat</w:t>
      </w:r>
    </w:p>
    <w:p>
      <w:pPr>
        <w:pStyle w:val="ListBullet"/>
      </w:pPr>
      <w:r>
        <w:t>Spike on content pivots; defer punctuation/newline</w:t>
      </w:r>
    </w:p>
    <w:p>
      <w:pPr>
        <w:pStyle w:val="ListBullet"/>
      </w:pPr>
      <w:r>
        <w:t>Sustained shifts every 1–3 lines/sentences</w:t>
      </w:r>
    </w:p>
    <w:p>
      <w:pPr>
        <w:pStyle w:val="ListBullet"/>
      </w:pPr>
      <w:r>
        <w:t>Order matters: negative cohesion delta (original &gt; shuffled)</w:t>
      </w:r>
    </w:p>
    <w:p>
      <w:pPr>
        <w:pStyle w:val="ListBullet"/>
      </w:pPr>
      <w:r>
        <w:t>Genre dials: denser spikes for poetry; gentler cadence for prose</w:t>
      </w:r>
    </w:p>
    <w:p>
      <w:pPr>
        <w:pStyle w:val="Heading1"/>
      </w:pPr>
      <w:r>
        <w:t>How to Read These Signatures</w:t>
      </w:r>
    </w:p>
    <w:p>
      <w:r>
        <w:t>How to read the signatures: Surprisal/entropy show focus vs openness; spike rate and IPI (inter-peak interval) capture rhythm; cooldown entropy drop shows consolidation after turns; cohesion delta quantifies how much word order matters in an author; content vs punctuation alignment around spikes shows whether turns land on meaningful tokens.</w:t>
      </w:r>
    </w:p>
    <w:p>
      <w:pPr>
        <w:pStyle w:val="Heading1"/>
      </w:pPr>
      <w:r>
        <w:t>Findings by Genre and Author</w:t>
      </w:r>
    </w:p>
    <w:p>
      <w:r>
        <w:t>Findings by genre and author:</w:t>
      </w:r>
    </w:p>
    <w:p>
      <w:r>
        <w:t>- Sonnets: medium spike density, clear quatrain cadence, a volta near line 9; strong end-words and rhyme.</w:t>
      </w:r>
    </w:p>
    <w:p>
      <w:r>
        <w:t>- Dickinson: higher micro-turn density with short cooldowns; punctuation tolerance (dashes) around content spikes.</w:t>
      </w:r>
    </w:p>
    <w:p>
      <w:r>
        <w:t>- Imagist free verse: moderate spike density but stronger spike intensity; concrete nouns/verbs; sparse function words.</w:t>
      </w:r>
    </w:p>
    <w:p>
      <w:r>
        <w:t>- Whitman/long-line: lower spike density with stanza-level sustained shifts; broader swell windows rather than frequent micro-spikes.</w:t>
      </w:r>
    </w:p>
    <w:p>
      <w:r>
        <w:t>- Wodehouse: playful but coherent cadence; frequent callbacks and entity threading; negative cohesion delta is notable.</w:t>
      </w:r>
    </w:p>
    <w:p>
      <w:r>
        <w:t>- Hemingway: simpler clauses with steadier cadence; fewer spikes, stronger cooldown consolidation; high cohesion.</w:t>
      </w:r>
    </w:p>
    <w:p>
      <w:pPr>
        <w:pStyle w:val="Heading1"/>
      </w:pPr>
      <w:r>
        <w:t>Best Practices — Target Bands</w:t>
      </w:r>
    </w:p>
    <w:p>
      <w:pPr>
        <w:pStyle w:val="ListBullet"/>
      </w:pPr>
      <w:r>
        <w:t>Base top_p ≈ 0.88–0.92, temperature ≈ 0.7–0.85</w:t>
      </w:r>
    </w:p>
    <w:p>
      <w:pPr>
        <w:pStyle w:val="ListBullet"/>
      </w:pPr>
      <w:r>
        <w:t>Spike top_p ≈ 0.95–0.98, temperature ≈ 0.95–1.08; require content token</w:t>
      </w:r>
    </w:p>
    <w:p>
      <w:pPr>
        <w:pStyle w:val="ListBullet"/>
      </w:pPr>
      <w:r>
        <w:t>Cooldown top_p ≈ 0.80–0.86, temperature ≈ 0.6–0.75 for 3–8 tokens</w:t>
      </w:r>
    </w:p>
    <w:p>
      <w:pPr>
        <w:pStyle w:val="ListBullet"/>
      </w:pPr>
      <w:r>
        <w:t>Target spike interval: poetry 8–16; prose 14–24 (tune by author)</w:t>
      </w:r>
    </w:p>
    <w:p>
      <w:pPr>
        <w:pStyle w:val="ListBullet"/>
      </w:pPr>
      <w:r>
        <w:t>After spike: look for cooldown entropy drop ≥ 1.0 bits (3-token window)</w:t>
      </w:r>
    </w:p>
    <w:p>
      <w:pPr>
        <w:pStyle w:val="ListBullet"/>
      </w:pPr>
      <w:r>
        <w:t>Maintain content alignment: spike-next-content-rate high; avoid back-to-back punctuation surprises</w:t>
      </w:r>
    </w:p>
    <w:p>
      <w:pPr>
        <w:pStyle w:val="Heading1"/>
      </w:pPr>
      <w:r>
        <w:t>Illustrations</w:t>
      </w:r>
    </w:p>
    <w:p>
      <w:pPr>
        <w:pStyle w:val="Heading1"/>
      </w:pPr>
      <w:r>
        <w:t>Generated Snippets (Normal vs Fixed-Up)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