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Calibri" w:hAnsi="Calibri"/>
          <w:b/>
          <w:color w:val="0B2545"/>
          <w:sz w:val="46"/>
        </w:rPr>
        <w:t>Grocery Slip &amp; Shared Household Tracker</w:t>
      </w:r>
    </w:p>
    <w:p>
      <w:pPr>
        <w:spacing w:after="240"/>
      </w:pPr>
      <w:r>
        <w:rPr>
          <w:rFonts w:ascii="Calibri" w:hAnsi="Calibri"/>
          <w:b w:val="0"/>
          <w:color w:val="555555"/>
          <w:sz w:val="26"/>
        </w:rPr>
        <w:t>Product research, requirements, architecture, and critical decisions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Document role</w:t>
            </w:r>
          </w:p>
        </w:tc>
        <w:tc>
          <w:tcPr>
            <w:tcW w:type="dxa" w:w="7128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Rule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This document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A durable reference for research, product scope, requirements, flows, data design, privacy, and approved decisions. It is updated when those decisions change.</w:t>
            </w:r>
          </w:p>
        </w:tc>
      </w:tr>
      <w:tr>
        <w:tc>
          <w:tcPr>
            <w:tcW w:type="dxa" w:w="25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GroceryLedger Change Log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The dated implementation record: code changes, migrations, tests, releases, verification outcomes, defects, and operational follow-up.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Executive view</w:t>
      </w:r>
    </w:p>
    <w:p>
      <w:pPr>
        <w:spacing w:after="120" w:line="264" w:lineRule="auto"/>
      </w:pPr>
      <w:r>
        <w:rPr>
          <w:rFonts w:ascii="Calibri" w:hAnsi="Calibri"/>
          <w:sz w:val="21"/>
        </w:rPr>
        <w:t>The idea has genuine value for roommates, couples, and families who repeatedly buy mixed groceries: one receipt should create a fair shared balance and a useful “possible buys” list. The market is not empty—Tricount covers free group splitting, Splitwise covers receipt/item splitting as a paid feature, and Grocy/pantry apps cover stock, barcodes, expiry, and shopping lists. The opportunity is the integrated, privacy-conscious bridge from reviewed receipt to shared ledger to low-confidence replenishment cue.</w:t>
      </w:r>
    </w:p>
    <w:p>
      <w:pPr>
        <w:spacing w:after="120" w:line="264" w:lineRule="auto"/>
      </w:pPr>
      <w:r>
        <w:rPr>
          <w:rFonts w:ascii="Calibri" w:hAnsi="Calibri"/>
          <w:b/>
          <w:sz w:val="21"/>
        </w:rPr>
        <w:t xml:space="preserve">Honest product constraint: </w:t>
      </w:r>
      <w:r>
        <w:rPr>
          <w:rFonts w:ascii="Calibri" w:hAnsi="Calibri"/>
          <w:sz w:val="21"/>
        </w:rPr>
        <w:t>Do not market this as an all-knowing pantry AI. A receipt proves a purchase, not consumption or remaining stock. The product should be explicit about evidence, ask for lightweight confirmation, and describe outputs as possible buys or estimates.</w:t>
      </w: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Confirmed product scope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Area</w:t>
            </w:r>
          </w:p>
        </w:tc>
        <w:tc>
          <w:tcPr>
            <w:tcW w:type="dxa" w:w="7560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Approved direction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Initial users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Ekta and Ritesh in India. INR is the initial currency.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Surfaces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iPhone app and a browser version for multi-device shared use.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Primary jobs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Split shared groceries and household costs; track balances and settlements; review likely restocks.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Expense types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Groceries, Food, Wi-Fi, Water, Household, and Other. Food/bills affect balances but do not create grocery-restock evidence.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Receipt input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PDF first. PDFs are processed locally in the chosen browser/device; raw PDFs and extracted receipt text are not stored or synced.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Shared-item rule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Equal split is the default for a shared expense. A reviewed item/expense can be personal and excluded from the other member’s share.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Settlements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Record a Splitwise-style payment between members; do not collect money or retain payment instruments/references.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Prediction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Suggestions, not certainty. Use the latest two distinct purchase dates for a tracked item; later incorporate more confirmed evidence.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Notifications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User chooses frequency. Message is neutral (“review possible buys”), never a claim that an item is definitely exhausted.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Privacy and data-minimisation policy</w:t>
      </w:r>
    </w:p>
    <w:p>
      <w:pPr>
        <w:spacing w:after="120" w:line="264" w:lineRule="auto"/>
      </w:pPr>
      <w:r>
        <w:rPr>
          <w:rFonts w:ascii="Calibri" w:hAnsi="Calibri"/>
          <w:sz w:val="21"/>
        </w:rPr>
        <w:t>The system stores reviewed ledger information only. It intentionally does not store raw PDFs, raw extracted receipt text, street address, payment method, payment reference, payment status, bank/card/UPI information, or a recipient email for household invites. Authentication identity is handled by Supabase Auth; an email address is not copied into the ledger tables.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24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May be retained</w:t>
            </w:r>
          </w:p>
        </w:tc>
        <w:tc>
          <w:tcPr>
            <w:tcW w:type="dxa" w:w="4824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Must not be retained</w:t>
            </w:r>
          </w:p>
        </w:tc>
      </w:tr>
      <w:tr>
        <w:tc>
          <w:tcPr>
            <w:tcW w:type="dxa" w:w="48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Household UUID/name; membership role; reviewed merchant/label; category; amount; date; payer identity; personal/restock flags; estimate date; settlement amount/date; opaque duplicate fingerprints; audit action/type/time.</w:t>
            </w:r>
          </w:p>
        </w:tc>
        <w:tc>
          <w:tcPr>
            <w:tcW w:type="dxa" w:w="48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Receipt files or receipt text; customer/address information; payment method or transaction reference; bank/card/UPI information; payment status; email invite recipient or email body.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/>
          <w:b/>
          <w:sz w:val="21"/>
        </w:rPr>
        <w:t xml:space="preserve">Duplicate rule: </w:t>
      </w:r>
      <w:r>
        <w:rPr>
          <w:rFonts w:ascii="Calibri" w:hAnsi="Calibri"/>
          <w:sz w:val="21"/>
        </w:rPr>
        <w:t>Local PDF duplicate protection uses hashes of the selected file and normalized local receipt text. The database keeps only the two hashes and the reviewed purchase; this prevents a second member importing the same bill from double-counting it without uploading the source receipt.</w:t>
      </w: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Market research and positioning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00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Product</w:t>
            </w:r>
          </w:p>
        </w:tc>
        <w:tc>
          <w:tcPr>
            <w:tcW w:type="dxa" w:w="3456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What it already solves</w:t>
            </w:r>
          </w:p>
        </w:tc>
        <w:tc>
          <w:tcPr>
            <w:tcW w:type="dxa" w:w="4392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Gap Grocery Ledger should address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Tricount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Free shared expenses, custom splits, settle-up.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No receipt-to-inventory/replenishment workflow.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Splitwise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Group debts and paid receipt itemisation.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No household restock intelligence; broad group-edit model is unsuitable for the selected permission model.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Grocy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Open-source inventory, stock thresholds, barcodes, expiry.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High entry effort and no receipt-led shared-balance focus.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Pantry Check / NoWaste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Inventory, expiry and shopping list cues.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No integrated roommate settlement or personal-item allocation.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/>
          <w:b/>
          <w:sz w:val="21"/>
        </w:rPr>
        <w:t xml:space="preserve">Recommended thesis: </w:t>
      </w:r>
      <w:r>
        <w:rPr>
          <w:rFonts w:ascii="Calibri" w:hAnsi="Calibri"/>
          <w:sz w:val="21"/>
        </w:rPr>
        <w:t>Position the product as a “shared household ledger with gentle restock cues.” The differentiator is not receipt parsing alone. It is a transparent, low-effort loop: receipt/manual entry → review and ownership correction → balance → repeat-item evidence → suggested next buy.</w:t>
      </w: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Experience flow</w:t>
      </w:r>
    </w:p>
    <w:p>
      <w:pPr>
        <w:spacing w:after="120" w:line="264" w:lineRule="auto"/>
      </w:pPr>
      <w:r>
        <w:rPr>
          <w:rFonts w:ascii="Calibri" w:hAnsi="Calibri"/>
          <w:sz w:val="21"/>
        </w:rPr>
        <w:t>The site deliberately uses stages so that authentication and household management do not compete with the ledger.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00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Stage</w:t>
            </w:r>
          </w:p>
        </w:tc>
        <w:tc>
          <w:tcPr>
            <w:tcW w:type="dxa" w:w="4752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What the user sees</w:t>
            </w:r>
          </w:p>
        </w:tc>
        <w:tc>
          <w:tcPr>
            <w:tcW w:type="dxa" w:w="3096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Primary action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1. Account gate</w:t>
            </w:r>
          </w:p>
        </w:tc>
        <w:tc>
          <w:tcPr>
            <w:tcW w:type="dxa" w:w="47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Only sign up/sign in and the privacy promise.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Request a passwordless email link and open it in the intended browser.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2. Household picker</w:t>
            </w:r>
          </w:p>
        </w:tc>
        <w:tc>
          <w:tcPr>
            <w:tcW w:type="dxa" w:w="47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Only the account’s active households plus Create / Join.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Create a new household or join with an invite code.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3. Selected ledger</w:t>
            </w:r>
          </w:p>
        </w:tc>
        <w:tc>
          <w:tcPr>
            <w:tcW w:type="dxa" w:w="47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Balances, expenses, settlements, restock cues, and an active-household switcher.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Add/review an expense, import a local PDF, settle, or switch household.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4. Household settings</w:t>
            </w:r>
          </w:p>
        </w:tc>
        <w:tc>
          <w:tcPr>
            <w:tcW w:type="dxa" w:w="47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Members, roles, invite actions, admin requests, archive/recovery controls.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Invite, copy code, manage membership or lifecycle according to role.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/>
          <w:b/>
          <w:sz w:val="21"/>
        </w:rPr>
        <w:t xml:space="preserve">Session decision: </w:t>
      </w:r>
      <w:r>
        <w:rPr>
          <w:rFonts w:ascii="Calibri" w:hAnsi="Calibri"/>
          <w:sz w:val="21"/>
        </w:rPr>
        <w:t>A successful browser sign-in persists through reloads, tab switches, and normal browser reopening. Sign-in is required again only after explicit sign-out, cleared site data, or an expired/revoked session. This is safer and less frustrating than forcing a sign-in whenever a tab closes.</w:t>
      </w: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Household roles and lifecycle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728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7920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Permissions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Owner</w:t>
            </w:r>
          </w:p>
        </w:tc>
        <w:tc>
          <w:tcPr>
            <w:tcW w:type="dxa" w:w="7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Manages all household settings, members, role decisions, archive/restore, recovery, ownership transfer, and permanent deletion after the recovery period.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Admin</w:t>
            </w:r>
          </w:p>
        </w:tc>
        <w:tc>
          <w:tcPr>
            <w:tcW w:type="dxa" w:w="7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May invite/add/remove members and manage household membership. An Admin is appointed by Owner approval.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Member</w:t>
            </w:r>
          </w:p>
        </w:tc>
        <w:tc>
          <w:tcPr>
            <w:tcW w:type="dxa" w:w="7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May add, edit, archive, restore, or delete only their own expenses/settlements; may request Admin access.</w:t>
            </w:r>
          </w:p>
        </w:tc>
      </w:tr>
    </w:tbl>
    <w:p>
      <w:pPr>
        <w:spacing w:after="40"/>
      </w:pP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Visible household names are not unique. Household UUIDs and invite codes are the identifiers, so different users may safely use the same name.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One account may belong to multiple households and can switch between them.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A member cannot be removed while their balance is unsettled; this prevents orphaned debt.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Archive makes a household read-only. The Owner can restore it during a 30-day recovery period; permanent deletion is allowed only afterwards and never deletes an authentication identity.</w:t>
      </w: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ERD — approved logical model</w:t>
      </w:r>
    </w:p>
    <w:p>
      <w:pPr>
        <w:spacing w:after="120" w:line="264" w:lineRule="auto"/>
      </w:pPr>
      <w:r>
        <w:rPr>
          <w:rFonts w:ascii="Calibri" w:hAnsi="Calibri"/>
          <w:sz w:val="21"/>
        </w:rPr>
        <w:t>This is the logical data model. It records only reviewed ledger data and supporting access/lifecycle records; it is not a receipt-storage model.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76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Entity</w:t>
            </w:r>
          </w:p>
        </w:tc>
        <w:tc>
          <w:tcPr>
            <w:tcW w:type="dxa" w:w="7272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Key relationships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Auth user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Supabase Auth identity. One user has many household memberships; no duplicate profile/email table is required for the ledger.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Household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One household has many members, invites, purchases, settlements, import fingerprints, and activity records.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Household member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Joins one user to one household and assigns Owner, Admin, or Member role.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Purchase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Belongs to one household and is created by one member. Carries reviewed split/restock/category fields; may reference one local-only import reservation.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Settlement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Belongs to one household; records payer, receiver, amount and date.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Household invite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Belongs to one household; created by Owner/Admin; code-based join without storing an invitee email.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Admin request / activity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Belongs to one household; captures a role request or minimal action trail using opaque IDs, not receipt content.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Invoice import</w:t>
            </w:r>
          </w:p>
        </w:tc>
        <w:tc>
          <w:tcPr>
            <w:tcW w:type="dxa" w:w="72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Belongs to one household and keeps file/content fingerprints only; enforces one reviewed import per bill.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DRD — essential record definitions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232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Record</w:t>
            </w:r>
          </w:p>
        </w:tc>
        <w:tc>
          <w:tcPr>
            <w:tcW w:type="dxa" w:w="7416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Required attributes / purpose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Household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id (UUID), name (non-unique), created_by, created_at, archive/recovery fields.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Membership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household_id, user_id, role, joined_at. Unique by household + user.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Purchase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id, household_id, created_by, label/merchant, category, amount, purchase date, paid_by, is_personal, track_for_restock, optional estimated_use_by, created/archived metadata.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Settlement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id, household_id, created_by, payer, receiver, amount, settled date, archived metadata. No payment mode/reference field.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Invite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id, household_id, code, created_by, created/expires/used metadata. No recipient email field.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Import fingerprint</w:t>
            </w:r>
          </w:p>
        </w:tc>
        <w:tc>
          <w:tcPr>
            <w:tcW w:type="dxa" w:w="74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household_id, file_hash, content_hash, purchase_id. Hashes support duplicate protection only; no file/text payload.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Restock and expiry design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A grocery/household item must be explicitly tracked for restock; Food and personal items are excluded.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The first cadence estimate is the interval between the latest two distinct purchase dates. Same-day duplicate evidence withholds a prediction.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With longer confirmed history, present a robust median/range rather than a simplistic average, together with the evidence count.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A user-entered estimated use-by date takes precedence over cadence. It is always labelled “estimated,” not a known package expiry.</w:t>
      </w:r>
    </w:p>
    <w:p>
      <w:pPr>
        <w:pStyle w:val="ListBullet"/>
        <w:spacing w:after="60" w:line="259" w:lineRule="auto"/>
      </w:pPr>
      <w:r>
        <w:rPr>
          <w:rFonts w:ascii="Calibri" w:hAnsi="Calibri"/>
          <w:sz w:val="20"/>
        </w:rPr>
        <w:t>Later enrichment may use barcode/product catalog information or package-label scans, but it must be opt-in and must distinguish generic shelf-life guidance from the item’s actual expiry date.</w:t>
      </w: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Open design questions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72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Question</w:t>
            </w:r>
          </w:p>
        </w:tc>
        <w:tc>
          <w:tcPr>
            <w:tcW w:type="dxa" w:w="5976"/>
            <w:shd w:fill="EAF1F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Current direction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How should invite delivery work?</w:t>
            </w:r>
          </w:p>
        </w:tc>
        <w:tc>
          <w:tcPr>
            <w:tcW w:type="dxa" w:w="59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Use copy-code and a prefilled device mail draft; the app does not send/store recipient email.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How should barcode lookup be introduced?</w:t>
            </w:r>
          </w:p>
        </w:tc>
        <w:tc>
          <w:tcPr>
            <w:tcW w:type="dxa" w:w="59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Only after a consented product-data provider is selected, with a source/last-updated label and no claim that it provides the actual package expiry.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What should notification defaults be?</w:t>
            </w:r>
          </w:p>
        </w:tc>
        <w:tc>
          <w:tcPr>
            <w:tcW w:type="dxa" w:w="59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No default frequency. Each user chooses Off, Daily, or Weekly and a time.</w:t>
            </w:r>
          </w:p>
        </w:tc>
      </w:tr>
      <w:tr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When should item-level parsing be trusted?</w:t>
            </w:r>
          </w:p>
        </w:tc>
        <w:tc>
          <w:tcPr>
            <w:tcW w:type="dxa" w:w="59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sz w:val="18"/>
              </w:rPr>
              <w:t>Never silently. Parsing remains a reviewed draft; low-confidence labels/totals need explicit confirmation.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Calibri" w:hAnsi="Calibri"/>
          <w:b/>
          <w:color w:val="2E74B5"/>
          <w:sz w:val="32"/>
        </w:rPr>
        <w:t>Sources</w:t>
      </w:r>
    </w:p>
    <w:p>
      <w:pPr>
        <w:spacing w:after="60" w:line="240" w:lineRule="auto"/>
      </w:pPr>
      <w:r>
        <w:rPr>
          <w:rFonts w:ascii="Calibri" w:hAnsi="Calibri"/>
          <w:b/>
          <w:color w:val="1F4D78"/>
          <w:sz w:val="17"/>
        </w:rPr>
        <w:t xml:space="preserve">Tricount — </w:t>
      </w:r>
      <w:r>
        <w:rPr>
          <w:rFonts w:ascii="Calibri" w:hAnsi="Calibri"/>
          <w:b w:val="0"/>
          <w:color w:val="464646"/>
          <w:sz w:val="17"/>
        </w:rPr>
        <w:t>Shared-expense positioning and split features. https://tricount.com/en-in/ | https://tricount.com/expense-tracker-features</w:t>
      </w:r>
    </w:p>
    <w:p>
      <w:pPr>
        <w:spacing w:after="60" w:line="240" w:lineRule="auto"/>
      </w:pPr>
      <w:r>
        <w:rPr>
          <w:rFonts w:ascii="Calibri" w:hAnsi="Calibri"/>
          <w:b/>
          <w:color w:val="1F4D78"/>
          <w:sz w:val="17"/>
        </w:rPr>
        <w:t xml:space="preserve">Splitwise — </w:t>
      </w:r>
      <w:r>
        <w:rPr>
          <w:rFonts w:ascii="Calibri" w:hAnsi="Calibri"/>
          <w:b w:val="0"/>
          <w:color w:val="464646"/>
          <w:sz w:val="17"/>
        </w:rPr>
        <w:t>Receipt scanning/itemisation and subscription positioning. https://www.splitwise.com/pro | https://www.splitwise.com/subscriptions/new</w:t>
      </w:r>
    </w:p>
    <w:p>
      <w:pPr>
        <w:spacing w:after="60" w:line="240" w:lineRule="auto"/>
      </w:pPr>
      <w:r>
        <w:rPr>
          <w:rFonts w:ascii="Calibri" w:hAnsi="Calibri"/>
          <w:b/>
          <w:color w:val="1F4D78"/>
          <w:sz w:val="17"/>
        </w:rPr>
        <w:t xml:space="preserve">Grocy — </w:t>
      </w:r>
      <w:r>
        <w:rPr>
          <w:rFonts w:ascii="Calibri" w:hAnsi="Calibri"/>
          <w:b w:val="0"/>
          <w:color w:val="464646"/>
          <w:sz w:val="17"/>
        </w:rPr>
        <w:t>Open-source stock, barcode, expiry, and shopping-list functionality. https://grocy.info/</w:t>
      </w:r>
    </w:p>
    <w:p>
      <w:pPr>
        <w:spacing w:after="60" w:line="240" w:lineRule="auto"/>
      </w:pPr>
      <w:r>
        <w:rPr>
          <w:rFonts w:ascii="Calibri" w:hAnsi="Calibri"/>
          <w:b/>
          <w:color w:val="1F4D78"/>
          <w:sz w:val="17"/>
        </w:rPr>
        <w:t xml:space="preserve">Pantry Check / NoWaste — </w:t>
      </w:r>
      <w:r>
        <w:rPr>
          <w:rFonts w:ascii="Calibri" w:hAnsi="Calibri"/>
          <w:b w:val="0"/>
          <w:color w:val="464646"/>
          <w:sz w:val="17"/>
        </w:rPr>
        <w:t>Consumer pantry and expiry/restock approaches. https://pantrycheck.com/ | https://www.nowasteapp.com/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95959"/>
        <w:sz w:val="16"/>
      </w:rPr>
      <w:t>Grocery Slip &amp; Shared Household Tracker  •  Decision reference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95959"/>
        <w:sz w:val="17"/>
      </w:rPr>
      <w:t>PROJECT HUB  |  PRODUCT &amp; DESIGN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