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keepNext/>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keepNext/>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keepNext/>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keepNext/>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keepNext/>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keepNext/>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keepNext/>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keepNext/>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keepNext/>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keepNext/>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keepNext/>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keepNext/>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keepNext/>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keepNext/>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keepNext/>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keepNext/>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keepNext/>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keepNext/>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keepNext/>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keepNext/>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keepNext/>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keepNext/>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keepNext/>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keepNext/>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keepNext/>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keepNext/>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keepNext/>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keepNext/>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keepNext/>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keepNext/>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keepNext/>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p>
      <w:pPr>
        <w:keepNext/>
        <w:spacing w:before="160" w:after="80"/>
      </w:pPr>
      <w:r>
        <w:rPr>
          <w:rFonts w:ascii="Calibri" w:hAnsi="Calibri"/>
          <w:b/>
          <w:color w:val="2E74B5"/>
          <w:sz w:val="26"/>
        </w:rPr>
        <w:t>14 July 2026, 13:14 IST — Multi-household lifecycle and permission model agreed</w:t>
      </w:r>
    </w:p>
    <w:p>
      <w:pPr>
        <w:spacing w:after="80" w:line="252" w:lineRule="auto"/>
      </w:pPr>
      <w:r>
        <w:rPr>
          <w:rFonts w:ascii="Calibri" w:hAnsi="Calibri"/>
          <w:b w:val="0"/>
          <w:sz w:val="20"/>
        </w:rPr>
        <w:t>Decision: one signed-in account may belong to multiple households. A visible household name is not unique and must never be used as identity; the existing UUID household ID and unique invite code identify the household, so different people may safely use the same name.</w:t>
      </w:r>
    </w:p>
    <w:p>
      <w:pPr>
        <w:spacing w:after="80" w:line="252" w:lineRule="auto"/>
      </w:pPr>
      <w:r>
        <w:rPr>
          <w:rFonts w:ascii="Calibri" w:hAnsi="Calibri"/>
          <w:b w:val="0"/>
          <w:sz w:val="20"/>
        </w:rPr>
        <w:t>Approved roles: Owner manages everything; Owner or explicitly appointed Admin may add/remove members; Members may add, edit, or delete only entries they created and may request Admin access from the Owner. Owner alone controls role changes, archive, restore, and permanent deletion. A member with an unpaid balance must settle before removal so balances cannot become orphaned.</w:t>
      </w:r>
    </w:p>
    <w:p>
      <w:pPr>
        <w:spacing w:after="80" w:line="252" w:lineRule="auto"/>
      </w:pPr>
      <w:r>
        <w:rPr>
          <w:rFonts w:ascii="Calibri" w:hAnsi="Calibri"/>
          <w:b w:val="0"/>
          <w:sz w:val="20"/>
        </w:rPr>
        <w:t>Lifecycle: archive is a read-only, recoverable household state; restore returns it to normal use. Permanent deletion follows a recovery period and must purge the household ledger rather than auth identities. The current test household has not been removed while the lifecycle design is under discussion.</w:t>
      </w:r>
    </w:p>
    <w:p>
      <w:pPr>
        <w:spacing w:after="80" w:line="252" w:lineRule="auto"/>
      </w:pPr>
      <w:r>
        <w:rPr>
          <w:rFonts w:ascii="Calibri" w:hAnsi="Calibri"/>
          <w:b w:val="0"/>
          <w:sz w:val="20"/>
        </w:rPr>
        <w:t>Flow decision pending implementation: sign-in is a dedicated first screen. After authentication, users without a household see only Create or Join; users with households land in the last active household and use a household switcher. Dashboard, expenses, restock, settlements, and settings do not render behind authentication or onboarding.</w:t>
      </w:r>
    </w:p>
    <w:p>
      <w:pPr>
        <w:spacing w:after="80" w:line="252" w:lineRule="auto"/>
      </w:pPr>
      <w:r>
        <w:rPr>
          <w:rFonts w:ascii="Calibri" w:hAnsi="Calibri"/>
          <w:b w:val="0"/>
          <w:sz w:val="20"/>
        </w:rPr>
        <w:t>Reference: current Splitwise help describes group-wide bill editing/deletion and no special admin roles, plus group removal/deletion/recovery flows. Grocery Ledger intentionally differs with Owner/Admin/Member controls and an activity audit trail, while retaining the clear group-settings and settled-before-removal concepts.</w:t>
      </w:r>
    </w:p>
    <w:p>
      <w:pPr>
        <w:keepNext/>
        <w:spacing w:before="160" w:after="80"/>
      </w:pPr>
      <w:r>
        <w:rPr>
          <w:rFonts w:ascii="Calibri" w:hAnsi="Calibri"/>
          <w:b/>
          <w:color w:val="2E74B5"/>
          <w:sz w:val="26"/>
        </w:rPr>
        <w:t>14 July 2026, 14:05 IST — Approved multi-household lifecycle implemented for web handoff</w:t>
      </w:r>
    </w:p>
    <w:p>
      <w:pPr>
        <w:spacing w:after="80" w:line="252" w:lineRule="auto"/>
      </w:pPr>
      <w:r>
        <w:rPr>
          <w:rFonts w:ascii="Calibri" w:hAnsi="Calibri"/>
          <w:b w:val="0"/>
          <w:sz w:val="20"/>
        </w:rPr>
        <w:t>What changed: added supabase/multi-household-lifecycle.sql as a new, idempotent migration for the existing project. It adds Owner/Admin/Member roles, multiple household membership per account, member admin requests, owner-only approval and ownership transfer, manager-controlled member removal after the member balance is settled, and a narrow activity table containing action names and opaque IDs only.</w:t>
      </w:r>
    </w:p>
    <w:p>
      <w:pPr>
        <w:spacing w:after="80" w:line="252" w:lineRule="auto"/>
      </w:pPr>
      <w:r>
        <w:rPr>
          <w:rFonts w:ascii="Calibri" w:hAnsi="Calibri"/>
          <w:b w:val="0"/>
          <w:sz w:val="20"/>
        </w:rPr>
        <w:t>Lifecycle: a household may be archived only by its Owner when every active member balance is zero. Archive is read-only and sets a 30-day recovery deadline. Only the Owner can restore within that period; permanent deletion is deliberately unavailable until the deadline and purges the household ledger/memberships rather than an auth identity. Visible household names are explicitly non-unique.</w:t>
      </w:r>
    </w:p>
    <w:p>
      <w:pPr>
        <w:spacing w:after="80" w:line="252" w:lineRule="auto"/>
      </w:pPr>
      <w:r>
        <w:rPr>
          <w:rFonts w:ascii="Calibri" w:hAnsi="Calibri"/>
          <w:b w:val="0"/>
          <w:sz w:val="20"/>
        </w:rPr>
        <w:t>Website flow: replaced the mixed sign-in/dashboard rendering with separate sign-in, household-picker, and selected-household dashboard states. A signed-in account can create, join, select, and switch among multiple households. The dashboard exposes local PDF import, entry archive/restore, household settings, invite actions, role requests, and archive/recovery controls according to role.</w:t>
      </w:r>
    </w:p>
    <w:p>
      <w:pPr>
        <w:spacing w:after="80" w:line="252" w:lineRule="auto"/>
      </w:pPr>
      <w:r>
        <w:rPr>
          <w:rFonts w:ascii="Calibri" w:hAnsi="Calibri"/>
          <w:b w:val="0"/>
          <w:sz w:val="20"/>
        </w:rPr>
        <w:t>Verification and operator action: JavaScript syntax checks passed with the bundled Node runtime; four automated static tests passed, covering staged flow, role/recovery SQL, privacy PDF safeguards, and the prior web controls. The new migration has not yet run against the live Supabase project, so it must be run once in a new SQL Editor tab before the live Page can exercise these controls. Do not rerun schema.sql because its original policy names are intentionally one-time only.</w:t>
      </w:r>
    </w:p>
    <w:p>
      <w:pPr>
        <w:keepNext/>
        <w:spacing w:before="160" w:after="80"/>
      </w:pPr>
      <w:r>
        <w:rPr>
          <w:rFonts w:ascii="Calibri" w:hAnsi="Calibri"/>
          <w:b/>
          <w:color w:val="2E74B5"/>
          <w:sz w:val="26"/>
        </w:rPr>
        <w:t>14 July 2026, 14:25 IST — Lifecycle migration retry hardening</w:t>
      </w:r>
    </w:p>
    <w:p>
      <w:pPr>
        <w:spacing w:after="80" w:line="252" w:lineRule="auto"/>
      </w:pPr>
      <w:r>
        <w:rPr>
          <w:rFonts w:ascii="Calibri" w:hAnsi="Calibri"/>
          <w:b w:val="0"/>
          <w:sz w:val="20"/>
        </w:rPr>
        <w:t>Finding: applying the lifecycle migration to the existing Supabase project stopped at a permission-cleanup statement because an older remove_household_member function signature was absent. The database therefore did not complete the lifecycle migration. This was an avoidable migration-compatibility defect, not a household deletion.</w:t>
      </w:r>
    </w:p>
    <w:p>
      <w:pPr>
        <w:spacing w:after="80" w:line="252" w:lineRule="auto"/>
      </w:pPr>
      <w:r>
        <w:rPr>
          <w:rFonts w:ascii="Calibri" w:hAnsi="Calibri"/>
          <w:b w:val="0"/>
          <w:sz w:val="20"/>
        </w:rPr>
        <w:t>Repair: permission cleanup now checks whether each legacy function signature exists before attempting a revoke, so both early test databases and the current database can proceed safely. The migration also now grants and guards settlement updates, which are required for the promised archive/restore behaviour of settlement entries.</w:t>
      </w:r>
    </w:p>
    <w:p>
      <w:pPr>
        <w:spacing w:after="80" w:line="252" w:lineRule="auto"/>
      </w:pPr>
      <w:r>
        <w:rPr>
          <w:rFonts w:ascii="Calibri" w:hAnsi="Calibri"/>
          <w:b w:val="0"/>
          <w:sz w:val="20"/>
        </w:rPr>
        <w:t>Verification and next action: JavaScript syntax, SQL whitespace checks, and four automated static tests pass locally. This change has not yet been applied to Supabase or pushed to GitHub Pages. Re-open the local multi-household-lifecycle.sql file, replace the failed SQL Editor tab contents with the corrected version, and run it once; do not run the baseline schema again.</w:t>
      </w:r>
    </w:p>
    <w:p>
      <w:pPr>
        <w:keepNext/>
        <w:spacing w:before="160" w:after="80"/>
      </w:pPr>
      <w:r>
        <w:rPr>
          <w:rFonts w:ascii="Calibri" w:hAnsi="Calibri"/>
          <w:b/>
          <w:color w:val="2E74B5"/>
          <w:sz w:val="26"/>
        </w:rPr>
        <w:t>14 July 2026, 14:38 IST — Lifecycle grant signature correction</w:t>
      </w:r>
    </w:p>
    <w:p>
      <w:pPr>
        <w:spacing w:after="80" w:line="252" w:lineRule="auto"/>
      </w:pPr>
      <w:r>
        <w:rPr>
          <w:rFonts w:ascii="Calibri" w:hAnsi="Calibri"/>
          <w:b w:val="0"/>
          <w:sz w:val="20"/>
        </w:rPr>
        <w:t>Finding: the retry run exposed a second signature mismatch in the same migration. The final authenticated EXECUTE grant named remove_household_member(uuid), while the function correctly takes both a household UUID and a member UUID. PostgreSQL therefore stopped the migration at the grant statement.</w:t>
      </w:r>
    </w:p>
    <w:p>
      <w:pPr>
        <w:spacing w:after="80" w:line="252" w:lineRule="auto"/>
      </w:pPr>
      <w:r>
        <w:rPr>
          <w:rFonts w:ascii="Calibri" w:hAnsi="Calibri"/>
          <w:b w:val="0"/>
          <w:sz w:val="20"/>
        </w:rPr>
        <w:t>Repair: corrected the grant to remove_household_member(uuid, uuid). The automated lifecycle test now explicitly asserts that the exact two-argument grant is present, in addition to the legacy-safe conditional revoke.</w:t>
      </w:r>
    </w:p>
    <w:p>
      <w:pPr>
        <w:spacing w:after="80" w:line="252" w:lineRule="auto"/>
      </w:pPr>
      <w:r>
        <w:rPr>
          <w:rFonts w:ascii="Calibri" w:hAnsi="Calibri"/>
          <w:b w:val="0"/>
          <w:sz w:val="20"/>
        </w:rPr>
        <w:t>Verification and next action: this correction is verified only by static checks until the complete revised file is run in Supabase. Replace the whole SQL Editor contents from the local migration file again; do not try to run only the visible final lines, because the migration is designed to reapply safely as a complete unit.</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