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spacing w:before="160" w:after="80"/>
      </w:pPr>
      <w:r>
        <w:rPr>
          <w:rFonts w:ascii="Calibri" w:hAnsi="Calibri"/>
          <w:b/>
          <w:color w:val="2E74B5"/>
          <w:sz w:val="26"/>
        </w:rPr>
        <w:t>13 July 2026, 16:05 IST — Sign-in retry time</w:t>
      </w:r>
    </w:p>
    <w:p>
      <w:pPr>
        <w:spacing w:after="80" w:line="252" w:lineRule="auto"/>
      </w:pPr>
      <w:r>
        <w:rPr>
          <w:rFonts w:ascii="Calibri" w:hAnsi="Calibri"/>
          <w:b w:val="0"/>
          <w:sz w:val="20"/>
        </w:rPr>
        <w:t>What changed: replaced the generic email-rate-limit explanation with a disabled retry button and a specific local time for the next request. The time is calculated from the one-hour Free-plan window after the browser receives a rate-limit response, is remembered across reloads in that browser, and re-enables automatically. It is explicitly a client-side estimate because the email service does not provide a reset timestamp.</w:t>
      </w:r>
    </w:p>
    <w:p>
      <w:pPr>
        <w:spacing w:before="160" w:after="80"/>
      </w:pPr>
      <w:r>
        <w:rPr>
          <w:rFonts w:ascii="Calibri" w:hAnsi="Calibri"/>
          <w:b/>
          <w:color w:val="2E74B5"/>
          <w:sz w:val="26"/>
        </w:rPr>
        <w:t>13 July 2026, 16:15 IST — Data API privilege verification repair</w:t>
      </w:r>
    </w:p>
    <w:p>
      <w:pPr>
        <w:spacing w:after="80" w:line="252" w:lineRule="auto"/>
      </w:pPr>
      <w:r>
        <w:rPr>
          <w:rFonts w:ascii="Calibri" w:hAnsi="Calibri"/>
          <w:b w:val="0"/>
          <w:sz w:val="20"/>
        </w:rPr>
        <w:t>Correction: the earlier table-grant migration returned SQL success but a signed-in second Mac still received “permission denied for table household_members.” Therefore SQL completion alone is not accepted as verification. The repair now also grants authenticated usage on the public schema, asks PostgREST to reload its schema/privilege cache, and returns four effective-privilege checks. The shared-ledger test remains incomplete until those checks are true and the second Mac can read its membership without an error.</w:t>
      </w:r>
    </w:p>
    <w:p>
      <w:pPr>
        <w:spacing w:before="160" w:after="80"/>
      </w:pPr>
      <w:r>
        <w:rPr>
          <w:rFonts w:ascii="Calibri" w:hAnsi="Calibri"/>
          <w:b/>
          <w:color w:val="2E74B5"/>
          <w:sz w:val="26"/>
        </w:rPr>
        <w:t>13 July 2026, 16:25 IST — Second-Mac membership read verified</w:t>
      </w:r>
    </w:p>
    <w:p>
      <w:pPr>
        <w:spacing w:after="80" w:line="252" w:lineRule="auto"/>
      </w:pPr>
      <w:r>
        <w:rPr>
          <w:rFonts w:ascii="Calibri" w:hAnsi="Calibri"/>
          <w:b w:val="0"/>
          <w:sz w:val="20"/>
        </w:rPr>
        <w:t>Verification: the effective-privilege query returned true for public-schema usage, membership read, purchase access, and settlement access. After refresh, the second Mac reached the signed-in “Create or join a household” state with no table-permission message. This confirms the membership-read repair; household creation, invite joining, expense creation, and cross-device refresh remain the next live checks.</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