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spacing w:before="160" w:after="80"/>
      </w:pPr>
      <w:r>
        <w:rPr>
          <w:rFonts w:ascii="Calibri" w:hAnsi="Calibri"/>
          <w:b/>
          <w:color w:val="2E74B5"/>
          <w:sz w:val="26"/>
        </w:rPr>
        <w:t>13 July 2026, 16:25 IST — Second-Mac membership read verified</w:t>
      </w:r>
    </w:p>
    <w:p>
      <w:pPr>
        <w:spacing w:after="80" w:line="252" w:lineRule="auto"/>
      </w:pPr>
      <w:r>
        <w:rPr>
          <w:rFonts w:ascii="Calibri" w:hAnsi="Calibri"/>
          <w:b w:val="0"/>
          <w:sz w:val="20"/>
        </w:rPr>
        <w:t>Verification: the effective-privilege query returned true for public-schema usage, membership read, purchase access, and settlement access. After refresh, the second Mac reached the signed-in “Create or join a household” state with no table-permission message. This confirms the membership-read repair; household creation, invite joining, expense creation, and cross-device refresh remain the next live checks.</w:t>
      </w:r>
    </w:p>
    <w:p>
      <w:pPr>
        <w:spacing w:before="160" w:after="80"/>
      </w:pPr>
      <w:r>
        <w:rPr>
          <w:rFonts w:ascii="Calibri" w:hAnsi="Calibri"/>
          <w:b/>
          <w:color w:val="2E74B5"/>
          <w:sz w:val="26"/>
        </w:rPr>
        <w:t>13 July 2026, 16:35 IST — Owner email invite action</w:t>
      </w:r>
    </w:p>
    <w:p>
      <w:pPr>
        <w:spacing w:after="80" w:line="252" w:lineRule="auto"/>
      </w:pPr>
      <w:r>
        <w:rPr>
          <w:rFonts w:ascii="Calibri" w:hAnsi="Calibri"/>
          <w:b w:val="0"/>
          <w:sz w:val="20"/>
        </w:rPr>
        <w:t>What changed: a household owner now sees Email invite and Copy code actions after creating or joining their household. Email invite opens the device’s own mail composer with the project URL and invite code prefilled; it does not send mail automatically and Grocery Ledger stores no recipient email address or email content. This lets the Mac 2 owner invite Mac 1 without using the rate-limited authentication email service.</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p>
      <w:pPr>
        <w:spacing w:before="160" w:after="80"/>
      </w:pPr>
      <w:r>
        <w:rPr>
          <w:rFonts w:ascii="Calibri" w:hAnsi="Calibri"/>
          <w:b/>
          <w:color w:val="2E74B5"/>
          <w:sz w:val="26"/>
        </w:rPr>
        <w:t>13 July 2026, 16:50 IST — Local-only PDF import with atomic duplicate protection</w:t>
      </w:r>
    </w:p>
    <w:p>
      <w:pPr>
        <w:spacing w:after="80" w:line="252" w:lineRule="auto"/>
      </w:pPr>
      <w:r>
        <w:rPr>
          <w:rFonts w:ascii="Calibri" w:hAnsi="Calibri"/>
          <w:b w:val="0"/>
          <w:sz w:val="20"/>
        </w:rPr>
        <w:t>What changed: the shared website now offers Import PDF after a person has joined a household. PDF.js reads a selected receipt entirely in that browser; the user must review and edit the proposed label, amount, date, category, personal flag, and restock flag before saving. The raw PDF and its extracted text are discarded, never uploaded to Supabase, and never put in the GitHub repository.</w:t>
      </w:r>
    </w:p>
    <w:p>
      <w:pPr>
        <w:spacing w:after="80" w:line="252" w:lineRule="auto"/>
      </w:pPr>
      <w:r>
        <w:rPr>
          <w:rFonts w:ascii="Calibri" w:hAnsi="Calibri"/>
          <w:b w:val="0"/>
          <w:sz w:val="20"/>
        </w:rPr>
        <w:t>Duplicate safeguard: the browser derives two SHA-256 fingerprints locally—one from the PDF bytes and one from normalized extracted text. Supabase stores only those fingerprints in invoice_imports. A guarded import_purchase database function atomically reserves both fingerprints and creates the reviewed expense, so two members importing the same bill at the same time cannot double-count it. It also catches a re-exported/copy PDF when its readable receipt content is unchanged.</w:t>
      </w:r>
    </w:p>
    <w:p>
      <w:pPr>
        <w:spacing w:after="80" w:line="252" w:lineRule="auto"/>
      </w:pPr>
      <w:r>
        <w:rPr>
          <w:rFonts w:ascii="Calibri" w:hAnsi="Calibri"/>
          <w:b w:val="0"/>
          <w:sz w:val="20"/>
        </w:rPr>
        <w:t>Limit and operator action: the first PDF pass can only suggest a date and likely total, so the review step is mandatory and it does not claim line-item accuracy. The owner must run supabase/add-local-pdf-imports.sql once before this feature can save imports. JavaScript syntax and local browser loading are verified; a full end-to-end upload must be performed after the migration on the live site.</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