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keepNext/>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keepNext/>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keepNext/>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keepNext/>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keepNext/>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keepNext/>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keepNext/>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keepNext/>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keepNext/>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keepNext/>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keepNext/>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keepNext/>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keepNext/>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keepNext/>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keepNext/>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p>
      <w:pPr>
        <w:keepNext/>
        <w:spacing w:before="160" w:after="80"/>
      </w:pPr>
      <w:r>
        <w:rPr>
          <w:rFonts w:ascii="Calibri" w:hAnsi="Calibri"/>
          <w:b/>
          <w:color w:val="2E74B5"/>
          <w:sz w:val="26"/>
        </w:rPr>
        <w:t>13 July 2026, 12:54 IST — Public browser tester deployed</w:t>
      </w:r>
    </w:p>
    <w:p>
      <w:pPr>
        <w:spacing w:after="80" w:line="252" w:lineRule="auto"/>
      </w:pPr>
      <w:r>
        <w:rPr>
          <w:rFonts w:ascii="Calibri" w:hAnsi="Calibri"/>
          <w:b w:val="0"/>
          <w:sz w:val="20"/>
        </w:rPr>
        <w:t>What changed: the real project repository was connected to GitHub using SSH, its local and remote histories were merged, and the static docs/ package was published from the main branch through GitHub Pages.</w:t>
      </w:r>
    </w:p>
    <w:p>
      <w:pPr>
        <w:spacing w:after="80" w:line="252" w:lineRule="auto"/>
      </w:pPr>
      <w:r>
        <w:rPr>
          <w:rFonts w:ascii="Calibri" w:hAnsi="Calibri"/>
          <w:b w:val="0"/>
          <w:sz w:val="20"/>
        </w:rPr>
        <w:t>Verification: the live Grocery Ledger tester rendered successfully at https://ektadhan.github.io/359/. The rendered page shows the browser-only privacy promise, manual expense and settlement controls, a balance summary, and a restock cue. No receipt PDFs, addresses, payment modes, card information, or UPI details are part of the deployed static site.</w:t>
      </w:r>
    </w:p>
    <w:p>
      <w:pPr>
        <w:keepNext/>
        <w:spacing w:before="160" w:after="80"/>
      </w:pPr>
      <w:r>
        <w:rPr>
          <w:rFonts w:ascii="Calibri" w:hAnsi="Calibri"/>
          <w:b/>
          <w:color w:val="2E74B5"/>
          <w:sz w:val="26"/>
        </w:rPr>
        <w:t>13 July 2026, 13:12 IST — Browser settlement validation repaired</w:t>
      </w:r>
    </w:p>
    <w:p>
      <w:pPr>
        <w:spacing w:after="80" w:line="252" w:lineRule="auto"/>
      </w:pPr>
      <w:r>
        <w:rPr>
          <w:rFonts w:ascii="Calibri" w:hAnsi="Calibri"/>
          <w:b w:val="0"/>
          <w:sz w:val="20"/>
        </w:rPr>
        <w:t>What changed: corrected the static web settlement form so the hidden required purchase-label field is no longer validated while recording a payment. Previously, browser validation silently blocked Save for a settlement because that field was irrelevant but still required.</w:t>
      </w:r>
    </w:p>
    <w:p>
      <w:pPr>
        <w:spacing w:after="80" w:line="252" w:lineRule="auto"/>
      </w:pPr>
      <w:r>
        <w:rPr>
          <w:rFonts w:ascii="Calibri" w:hAnsi="Calibri"/>
          <w:b w:val="0"/>
          <w:sz w:val="20"/>
        </w:rPr>
        <w:t>Verification: on a clean local static preview, loaded demo data and recorded Ekta paying Rs 300.00. The dialog closed, the confirmation read “Settlement recorded on this browser only,” and the balance changed from Ekta owing Ritesh Rs 367.00 to Rs 67.00. This correction must be committed and pushed before it reaches the public tester.</w:t>
      </w:r>
    </w:p>
    <w:p>
      <w:pPr>
        <w:keepNext/>
        <w:spacing w:before="160" w:after="80"/>
      </w:pPr>
      <w:r>
        <w:rPr>
          <w:rFonts w:ascii="Calibri" w:hAnsi="Calibri"/>
          <w:b/>
          <w:color w:val="2E74B5"/>
          <w:sz w:val="26"/>
        </w:rPr>
        <w:t>13 July 2026, 13:18 IST — Browser dialog Close and Cancel repaired</w:t>
      </w:r>
    </w:p>
    <w:p>
      <w:pPr>
        <w:spacing w:after="80" w:line="252" w:lineRule="auto"/>
      </w:pPr>
      <w:r>
        <w:rPr>
          <w:rFonts w:ascii="Calibri" w:hAnsi="Calibri"/>
          <w:b w:val="0"/>
          <w:sz w:val="20"/>
        </w:rPr>
        <w:t>What changed: converted the settlement dialog Close and Cancel controls to explicit non-submitting buttons. Before this repair, native form validation also blocked those controls whenever the hidden purchase label was required.</w:t>
      </w:r>
    </w:p>
    <w:p>
      <w:pPr>
        <w:spacing w:after="80" w:line="252" w:lineRule="auto"/>
      </w:pPr>
      <w:r>
        <w:rPr>
          <w:rFonts w:ascii="Calibri" w:hAnsi="Calibri"/>
          <w:b w:val="0"/>
          <w:sz w:val="20"/>
        </w:rPr>
        <w:t>Verification: opened the settlement dialog in a local static preview, tested Close, reopened it, then tested Cancel. Both actions dismissed the dialog with zero dialog instances remaining. The prior Save verification remains valid. This second correction must be included in the same follow-up commit and push.</w:t>
      </w:r>
    </w:p>
    <w:p>
      <w:pPr>
        <w:keepNext/>
        <w:spacing w:before="160" w:after="80"/>
      </w:pPr>
      <w:r>
        <w:rPr>
          <w:rFonts w:ascii="Calibri" w:hAnsi="Calibri"/>
          <w:b/>
          <w:color w:val="2E74B5"/>
          <w:sz w:val="26"/>
        </w:rPr>
        <w:t>13 July 2026, 13:40 IST — Shared ledger architecture approved</w:t>
      </w:r>
    </w:p>
    <w:p>
      <w:pPr>
        <w:spacing w:after="80" w:line="252" w:lineRule="auto"/>
      </w:pPr>
      <w:r>
        <w:rPr>
          <w:rFonts w:ascii="Calibri" w:hAnsi="Calibri"/>
          <w:b w:val="0"/>
          <w:sz w:val="20"/>
        </w:rPr>
        <w:t>Decision: the website will become a two-person shared ledger for Ekta and Ritesh, rather than remain a single-device browser-only tool. Supabase Free was selected as the backend, with passwordless email magic links or one-time codes for separate sign-in.</w:t>
      </w:r>
    </w:p>
    <w:p>
      <w:pPr>
        <w:spacing w:after="80" w:line="252" w:lineRule="auto"/>
      </w:pPr>
      <w:r>
        <w:rPr>
          <w:rFonts w:ascii="Calibri" w:hAnsi="Calibri"/>
          <w:b w:val="0"/>
          <w:sz w:val="20"/>
        </w:rPr>
        <w:t>Privacy boundary: the backend may hold account identity, household membership, reviewed ledger entries, settlement records, and restock settings. It must not hold raw receipt PDFs, addresses, payment mode, card/UPI details, bank details, or payment references. Row Level Security must ensure that only household members can access that household data.</w:t>
      </w:r>
    </w:p>
    <w:p>
      <w:pPr>
        <w:spacing w:after="80" w:line="252" w:lineRule="auto"/>
      </w:pPr>
      <w:r>
        <w:rPr>
          <w:rFonts w:ascii="Calibri" w:hAnsi="Calibri"/>
          <w:b w:val="0"/>
          <w:sz w:val="20"/>
        </w:rPr>
        <w:t>Next dependency: Ekta must create the Supabase project and supply only its project URL and publishable/anon key. No service-role key, secret, password, or email code should be shared with Codex.</w:t>
      </w:r>
    </w:p>
    <w:p>
      <w:pPr>
        <w:keepNext/>
        <w:spacing w:before="160" w:after="80"/>
      </w:pPr>
      <w:r>
        <w:rPr>
          <w:rFonts w:ascii="Calibri" w:hAnsi="Calibri"/>
          <w:b/>
          <w:color w:val="2E74B5"/>
          <w:sz w:val="26"/>
        </w:rPr>
        <w:t>13 July 2026, 13:42 IST — Secure shared-sync schema prepared</w:t>
      </w:r>
    </w:p>
    <w:p>
      <w:pPr>
        <w:spacing w:after="80" w:line="252" w:lineRule="auto"/>
      </w:pPr>
      <w:r>
        <w:rPr>
          <w:rFonts w:ascii="Calibri" w:hAnsi="Calibri"/>
          <w:b w:val="0"/>
          <w:sz w:val="20"/>
        </w:rPr>
        <w:t>What changed: added supabase/schema.sql for the approved shared-ledger design. It creates households, household membership, reviewed purchases, and settlements; supports one-time-code/magic-link authenticated users; provides household create/join RPCs; enables Row Level Security; and registers the shared tables for real-time updates.</w:t>
      </w:r>
    </w:p>
    <w:p>
      <w:pPr>
        <w:spacing w:after="80" w:line="252" w:lineRule="auto"/>
      </w:pPr>
      <w:r>
        <w:rPr>
          <w:rFonts w:ascii="Calibri" w:hAnsi="Calibri"/>
          <w:b w:val="0"/>
          <w:sz w:val="20"/>
        </w:rPr>
        <w:t>Security verification: the schema contains no columns for receipts, address, payment mode, payment reference, bank/card/UPI detail, or database secrets. Access is scoped to household membership. The project owner ran it successfully in the Supabase SQL Editor; the public website remains disconnected until authentication redirect settings and sign-in verification are complete.</w:t>
      </w:r>
    </w:p>
    <w:p>
      <w:pPr>
        <w:keepNext/>
        <w:spacing w:before="160" w:after="80"/>
      </w:pPr>
      <w:r>
        <w:rPr>
          <w:rFonts w:ascii="Calibri" w:hAnsi="Calibri"/>
          <w:b/>
          <w:color w:val="2E74B5"/>
          <w:sz w:val="26"/>
        </w:rPr>
        <w:t>13 July 2026, 14:08 IST — Shared web sign-in and sync client added</w:t>
      </w:r>
    </w:p>
    <w:p>
      <w:pPr>
        <w:spacing w:after="80" w:line="252" w:lineRule="auto"/>
      </w:pPr>
      <w:r>
        <w:rPr>
          <w:rFonts w:ascii="Calibri" w:hAnsi="Calibri"/>
          <w:b w:val="0"/>
          <w:sz w:val="20"/>
        </w:rPr>
        <w:t>What changed: configured the static website with the Supabase project URL and publishable key, added passwordless email sign-in, household create/join via invite code, household-scoped purchases and settlements, payment history, and real-time ledger reloads. The UI now makes it clear that each person records only purchases and payments they made.</w:t>
      </w:r>
    </w:p>
    <w:p>
      <w:pPr>
        <w:spacing w:after="80" w:line="252" w:lineRule="auto"/>
      </w:pPr>
      <w:r>
        <w:rPr>
          <w:rFonts w:ascii="Calibri" w:hAnsi="Calibri"/>
          <w:b w:val="0"/>
          <w:sz w:val="20"/>
        </w:rPr>
        <w:t>Verification: the local static preview loaded the sign-in interface without console errors. Public deployment is intentionally pending: Supabase Authentication must first be configured with the GitHub Pages URL as its Site URL and redirect URL, then the implementation needs a signed-in two-device verification.</w:t>
      </w:r>
    </w:p>
    <w:p>
      <w:pPr>
        <w:keepNext/>
        <w:spacing w:before="160" w:after="80"/>
      </w:pPr>
      <w:r>
        <w:rPr>
          <w:rFonts w:ascii="Calibri" w:hAnsi="Calibri"/>
          <w:b/>
          <w:color w:val="2E74B5"/>
          <w:sz w:val="26"/>
        </w:rPr>
        <w:t>13 July 2026, 14:28 IST — Supabase function-permission hardening</w:t>
      </w:r>
    </w:p>
    <w:p>
      <w:pPr>
        <w:spacing w:after="80" w:line="252" w:lineRule="auto"/>
      </w:pPr>
      <w:r>
        <w:rPr>
          <w:rFonts w:ascii="Calibri" w:hAnsi="Calibri"/>
          <w:b w:val="0"/>
          <w:sz w:val="20"/>
        </w:rPr>
        <w:t>Finding: Supabase Security Advisor correctly reported that PostgreSQL functions can receive broad EXECUTE privileges by default. The initial schema used SECURITY DEFINER for controlled household creation/join and its RLS membership helper, so the default grants produced warnings even though each function checked auth.uid().</w:t>
      </w:r>
    </w:p>
    <w:p>
      <w:pPr>
        <w:spacing w:after="80" w:line="252" w:lineRule="auto"/>
      </w:pPr>
      <w:r>
        <w:rPr>
          <w:rFonts w:ascii="Calibri" w:hAnsi="Calibri"/>
          <w:b w:val="0"/>
          <w:sz w:val="20"/>
        </w:rPr>
        <w:t>What changed: added supabase/harden-function-permissions.sql and updated the baseline schema. The hardening migration revokes EXECUTE from public, anonymous, and ordinary signed-in roles for all existing public functions (including the dashboard-generated rls_auto_enable helper), prevents future public functions from inheriting broad permissions, moves the RLS helper to a non-exposed private schema, and re-grants only authenticated access to the guarded create_household and join_household RPCs.</w:t>
      </w:r>
    </w:p>
    <w:p>
      <w:pPr>
        <w:spacing w:after="80" w:line="252" w:lineRule="auto"/>
      </w:pPr>
      <w:r>
        <w:rPr>
          <w:rFonts w:ascii="Calibri" w:hAnsi="Calibri"/>
          <w:b w:val="0"/>
          <w:sz w:val="20"/>
        </w:rPr>
        <w:t>Required operator action: run the hardening migration once in Supabase SQL Editor, then recheck Security Advisor. The advisor may still flag the two signed-in SECURITY DEFINER RPCs; that is expected because signed-in users must call them. Their scope is restricted by auth.uid(), fixed search paths, RLS, and explicit grants. Two-device authentication and data-sync verification remain pending.</w:t>
      </w:r>
    </w:p>
    <w:p>
      <w:pPr>
        <w:keepNext/>
        <w:spacing w:before="160" w:after="80"/>
      </w:pPr>
      <w:r>
        <w:rPr>
          <w:rFonts w:ascii="Calibri" w:hAnsi="Calibri"/>
          <w:b/>
          <w:color w:val="2E74B5"/>
          <w:sz w:val="26"/>
        </w:rPr>
        <w:t>13 July 2026, 14:50 IST — Cross-browser email-code sign-in</w:t>
      </w:r>
    </w:p>
    <w:p>
      <w:pPr>
        <w:spacing w:after="80" w:line="252" w:lineRule="auto"/>
      </w:pPr>
      <w:r>
        <w:rPr>
          <w:rFonts w:ascii="Calibri" w:hAnsi="Calibri"/>
          <w:b w:val="0"/>
          <w:sz w:val="20"/>
        </w:rPr>
        <w:t>Finding: magic links establish a session in the browser that consumes the link. That is normal passwordless-auth behaviour but fails the project requirement that either person should be able to choose any browser/device without a browser handoff.</w:t>
      </w:r>
    </w:p>
    <w:p>
      <w:pPr>
        <w:spacing w:after="80" w:line="252" w:lineRule="auto"/>
      </w:pPr>
      <w:r>
        <w:rPr>
          <w:rFonts w:ascii="Calibri" w:hAnsi="Calibri"/>
          <w:b w:val="0"/>
          <w:sz w:val="20"/>
        </w:rPr>
        <w:t>What changed: replaced the web client’s magic-link-only screen with an email one-time-code flow. The user requests a code, then enters the code in the chosen browser; the client verifies it with Supabase Auth. Added supabase/email-otp-template.html for the Supabase Magic Link email template, which sends the code and a neutral link to open the website rather than a session-carrying link.</w:t>
      </w:r>
    </w:p>
    <w:p>
      <w:pPr>
        <w:spacing w:after="80" w:line="252" w:lineRule="auto"/>
      </w:pPr>
      <w:r>
        <w:rPr>
          <w:rFonts w:ascii="Calibri" w:hAnsi="Calibri"/>
          <w:b w:val="0"/>
          <w:sz w:val="20"/>
        </w:rPr>
        <w:t>Required operator action and verification limit: paste the supplied template into Supabase Authentication &gt; Email Templates &gt; Magic Link and save it, then send a new code on each Mac. The client code passes JavaScript syntax validation; live two-device sign-in, household join, purchase sync, and settlement sync must be verified after deployment.</w:t>
      </w:r>
    </w:p>
    <w:p>
      <w:pPr>
        <w:keepNext/>
        <w:spacing w:before="160" w:after="80"/>
      </w:pPr>
      <w:r>
        <w:rPr>
          <w:rFonts w:ascii="Calibri" w:hAnsi="Calibri"/>
          <w:b/>
          <w:color w:val="2E74B5"/>
          <w:sz w:val="26"/>
        </w:rPr>
        <w:t>13 July 2026, 15:15 IST — Free-plan email-template correction</w:t>
      </w:r>
    </w:p>
    <w:p>
      <w:pPr>
        <w:spacing w:after="80" w:line="252" w:lineRule="auto"/>
      </w:pPr>
      <w:r>
        <w:rPr>
          <w:rFonts w:ascii="Calibri" w:hAnsi="Calibri"/>
          <w:b w:val="0"/>
          <w:sz w:val="20"/>
        </w:rPr>
        <w:t>Finding: the Supabase Free project’s default email sender does not permit custom email-template edits; the dashboard correctly requires custom SMTP for that. Therefore the proposed code-template route cannot be used without introducing another provider or cost.</w:t>
      </w:r>
    </w:p>
    <w:p>
      <w:pPr>
        <w:spacing w:after="80" w:line="252" w:lineRule="auto"/>
      </w:pPr>
      <w:r>
        <w:rPr>
          <w:rFonts w:ascii="Calibri" w:hAnsi="Calibri"/>
          <w:b w:val="0"/>
          <w:sz w:val="20"/>
        </w:rPr>
        <w:t>Correction: restored the supported default magic-link flow and made the browser boundary explicit in the sign-in UI. Any browser is supported: copy the unconsumed email sign-in link and paste it into the address bar of the browser where the session is wanted. The link then creates the session there. No custom SMTP, password, or additional data collection is required.</w:t>
      </w:r>
    </w:p>
    <w:p>
      <w:pPr>
        <w:spacing w:after="80" w:line="252" w:lineRule="auto"/>
      </w:pPr>
      <w:r>
        <w:rPr>
          <w:rFonts w:ascii="Calibri" w:hAnsi="Calibri"/>
          <w:b w:val="0"/>
          <w:sz w:val="20"/>
        </w:rPr>
        <w:t>Verification status: this restores the official Free-plan-compatible flow. The corrected JavaScript syntax must be checked and the public website redeployed before the two-Mac authentication and shared-ledger test is repeated.</w:t>
      </w:r>
    </w:p>
    <w:p>
      <w:pPr>
        <w:keepNext/>
        <w:spacing w:before="160" w:after="80"/>
      </w:pPr>
      <w:r>
        <w:rPr>
          <w:rFonts w:ascii="Calibri" w:hAnsi="Calibri"/>
          <w:b/>
          <w:color w:val="2E74B5"/>
          <w:sz w:val="26"/>
        </w:rPr>
        <w:t>13 July 2026, 15:35 IST — Shared-login feedback and database-access repair</w:t>
      </w:r>
    </w:p>
    <w:p>
      <w:pPr>
        <w:spacing w:after="80" w:line="252" w:lineRule="auto"/>
      </w:pPr>
      <w:r>
        <w:rPr>
          <w:rFonts w:ascii="Calibri" w:hAnsi="Calibri"/>
          <w:b w:val="0"/>
          <w:sz w:val="20"/>
        </w:rPr>
        <w:t>Finding: a live test showed no visible confirmation after requesting a sign-in link, leaving the action ambiguous. A separate signed-in second Mac displayed “permission denied for table household_members.” The latter is a table-privilege gap: RLS policies existed, but authenticated Data API requests also require table-level privileges before those policies can evaluate.</w:t>
      </w:r>
    </w:p>
    <w:p>
      <w:pPr>
        <w:spacing w:after="80" w:line="252" w:lineRule="auto"/>
      </w:pPr>
      <w:r>
        <w:rPr>
          <w:rFonts w:ascii="Calibri" w:hAnsi="Calibri"/>
          <w:b w:val="0"/>
          <w:sz w:val="20"/>
        </w:rPr>
        <w:t>What changed: the sign-in panel now displays immediate in-place Sending, Sent, and error states and disables the button while the request is in flight. Added explicit authenticated SELECT access to the four reviewed-ledger tables and only the write grants used by purchases/settlements. RLS remains enabled and continues to limit rows to household members. Added supabase/grant-ledger-table-access.sql for the already-created database and updated the baseline schema.</w:t>
      </w:r>
    </w:p>
    <w:p>
      <w:pPr>
        <w:spacing w:after="80" w:line="252" w:lineRule="auto"/>
      </w:pPr>
      <w:r>
        <w:rPr>
          <w:rFonts w:ascii="Calibri" w:hAnsi="Calibri"/>
          <w:b w:val="0"/>
          <w:sz w:val="20"/>
        </w:rPr>
        <w:t>Required operator action and verification limit: run the new grant repair once in the Supabase SQL Editor, then deploy the web update. JavaScript syntax is checked locally; actual two-Mac membership loading, invite joining, expense creation, settlement creation, and real-time sync must be verified after the SQL and deployment complete.</w:t>
      </w:r>
    </w:p>
    <w:p>
      <w:pPr>
        <w:keepNext/>
        <w:spacing w:before="160" w:after="80"/>
      </w:pPr>
      <w:r>
        <w:rPr>
          <w:rFonts w:ascii="Calibri" w:hAnsi="Calibri"/>
          <w:b/>
          <w:color w:val="2E74B5"/>
          <w:sz w:val="26"/>
        </w:rPr>
        <w:t>13 July 2026, 15:50 IST — Sign-in UI clarity pass</w:t>
      </w:r>
    </w:p>
    <w:p>
      <w:pPr>
        <w:spacing w:after="80" w:line="252" w:lineRule="auto"/>
      </w:pPr>
      <w:r>
        <w:rPr>
          <w:rFonts w:ascii="Calibri" w:hAnsi="Calibri"/>
          <w:b w:val="0"/>
          <w:sz w:val="20"/>
        </w:rPr>
        <w:t>What changed: shortened the sign-in explanation, added a focused responsive sign-in layout, and gave the feedback state a clear visual hierarchy. The button now changes to Sending while disabled; success is a green message card; errors are an orange message card. The Supabase Free email-rate error is translated into an actionable wait/use-your-newest-link explanation instead of raw API wording.</w:t>
      </w:r>
    </w:p>
    <w:p>
      <w:pPr>
        <w:keepNext/>
        <w:spacing w:before="160" w:after="80"/>
      </w:pPr>
      <w:r>
        <w:rPr>
          <w:rFonts w:ascii="Calibri" w:hAnsi="Calibri"/>
          <w:b/>
          <w:color w:val="2E74B5"/>
          <w:sz w:val="26"/>
        </w:rPr>
        <w:t>13 July 2026, 16:05 IST — Sign-in retry time</w:t>
      </w:r>
    </w:p>
    <w:p>
      <w:pPr>
        <w:spacing w:after="80" w:line="252" w:lineRule="auto"/>
      </w:pPr>
      <w:r>
        <w:rPr>
          <w:rFonts w:ascii="Calibri" w:hAnsi="Calibri"/>
          <w:b w:val="0"/>
          <w:sz w:val="20"/>
        </w:rPr>
        <w:t>What changed: replaced the generic email-rate-limit explanation with a disabled retry button and a specific local time for the next request. The time is calculated from the one-hour Free-plan window after the browser receives a rate-limit response, is remembered across reloads in that browser, and re-enables automatically. It is explicitly a client-side estimate because the email service does not provide a reset timestamp.</w:t>
      </w:r>
    </w:p>
    <w:p>
      <w:pPr>
        <w:keepNext/>
        <w:spacing w:before="160" w:after="80"/>
      </w:pPr>
      <w:r>
        <w:rPr>
          <w:rFonts w:ascii="Calibri" w:hAnsi="Calibri"/>
          <w:b/>
          <w:color w:val="2E74B5"/>
          <w:sz w:val="26"/>
        </w:rPr>
        <w:t>13 July 2026, 16:15 IST — Data API privilege verification repair</w:t>
      </w:r>
    </w:p>
    <w:p>
      <w:pPr>
        <w:spacing w:after="80" w:line="252" w:lineRule="auto"/>
      </w:pPr>
      <w:r>
        <w:rPr>
          <w:rFonts w:ascii="Calibri" w:hAnsi="Calibri"/>
          <w:b w:val="0"/>
          <w:sz w:val="20"/>
        </w:rPr>
        <w:t>Correction: the earlier table-grant migration returned SQL success but a signed-in second Mac still received “permission denied for table household_members.” Therefore SQL completion alone is not accepted as verification. The repair now also grants authenticated usage on the public schema, asks PostgREST to reload its schema/privilege cache, and returns four effective-privilege checks. The shared-ledger test remains incomplete until those checks are true and the second Mac can read its membership without an error.</w:t>
      </w:r>
    </w:p>
    <w:p>
      <w:pPr>
        <w:keepNext/>
        <w:spacing w:before="160" w:after="80"/>
      </w:pPr>
      <w:r>
        <w:rPr>
          <w:rFonts w:ascii="Calibri" w:hAnsi="Calibri"/>
          <w:b/>
          <w:color w:val="2E74B5"/>
          <w:sz w:val="26"/>
        </w:rPr>
        <w:t>13 July 2026, 16:25 IST — Second-Mac membership read verified</w:t>
      </w:r>
    </w:p>
    <w:p>
      <w:pPr>
        <w:spacing w:after="80" w:line="252" w:lineRule="auto"/>
      </w:pPr>
      <w:r>
        <w:rPr>
          <w:rFonts w:ascii="Calibri" w:hAnsi="Calibri"/>
          <w:b w:val="0"/>
          <w:sz w:val="20"/>
        </w:rPr>
        <w:t>Verification: the effective-privilege query returned true for public-schema usage, membership read, purchase access, and settlement access. After refresh, the second Mac reached the signed-in “Create or join a household” state with no table-permission message. This confirms the membership-read repair; household creation, invite joining, expense creation, and cross-device refresh remain the next live checks.</w:t>
      </w:r>
    </w:p>
    <w:p>
      <w:pPr>
        <w:keepNext/>
        <w:spacing w:before="160" w:after="80"/>
      </w:pPr>
      <w:r>
        <w:rPr>
          <w:rFonts w:ascii="Calibri" w:hAnsi="Calibri"/>
          <w:b/>
          <w:color w:val="2E74B5"/>
          <w:sz w:val="26"/>
        </w:rPr>
        <w:t>13 July 2026, 16:35 IST — Owner email invite action</w:t>
      </w:r>
    </w:p>
    <w:p>
      <w:pPr>
        <w:spacing w:after="80" w:line="252" w:lineRule="auto"/>
      </w:pPr>
      <w:r>
        <w:rPr>
          <w:rFonts w:ascii="Calibri" w:hAnsi="Calibri"/>
          <w:b w:val="0"/>
          <w:sz w:val="20"/>
        </w:rPr>
        <w:t>What changed: a household owner now sees Email invite and Copy code actions after creating or joining their household. Email invite opens the device’s own mail composer with the project URL and invite code prefilled; it does not send mail automatically and Grocery Ledger stores no recipient email address or email content. This lets the Mac 2 owner invite Mac 1 without using the rate-limited authentication email service.</w:t>
      </w:r>
    </w:p>
    <w:p>
      <w:pPr>
        <w:spacing w:after="80" w:line="252" w:lineRule="auto"/>
      </w:pPr>
      <w:r>
        <w:rPr>
          <w:rFonts w:ascii="Calibri" w:hAnsi="Calibri"/>
          <w:b w:val="0"/>
          <w:sz w:val="20"/>
        </w:rPr>
        <w:t>Why: live screenshots showed that the original message was easy to miss and the unchanged button made a successful send feel unresponsive. This pass makes the authentication state visible at the point of action without changing the data, privacy, or permission model.</w:t>
      </w:r>
    </w:p>
    <w:p>
      <w:pPr>
        <w:keepNext/>
        <w:spacing w:before="160" w:after="80"/>
      </w:pPr>
      <w:r>
        <w:rPr>
          <w:rFonts w:ascii="Calibri" w:hAnsi="Calibri"/>
          <w:b/>
          <w:color w:val="2E74B5"/>
          <w:sz w:val="26"/>
        </w:rPr>
        <w:t>13 July 2026, 16:50 IST — Local-only PDF import with atomic duplicate protection</w:t>
      </w:r>
    </w:p>
    <w:p>
      <w:pPr>
        <w:spacing w:after="80" w:line="252" w:lineRule="auto"/>
      </w:pPr>
      <w:r>
        <w:rPr>
          <w:rFonts w:ascii="Calibri" w:hAnsi="Calibri"/>
          <w:b w:val="0"/>
          <w:sz w:val="20"/>
        </w:rPr>
        <w:t>What changed: the shared website now offers Import PDF after a person has joined a household. PDF.js reads a selected receipt entirely in that browser; the user must review and edit the proposed label, amount, date, category, personal flag, and restock flag before saving. The raw PDF and its extracted text are discarded, never uploaded to Supabase, and never put in the GitHub repository.</w:t>
      </w:r>
    </w:p>
    <w:p>
      <w:pPr>
        <w:spacing w:after="80" w:line="252" w:lineRule="auto"/>
      </w:pPr>
      <w:r>
        <w:rPr>
          <w:rFonts w:ascii="Calibri" w:hAnsi="Calibri"/>
          <w:b w:val="0"/>
          <w:sz w:val="20"/>
        </w:rPr>
        <w:t>Duplicate safeguard: the browser derives two SHA-256 fingerprints locally—one from the PDF bytes and one from normalized extracted text. Supabase stores only those fingerprints in invoice_imports. A guarded import_purchase database function atomically reserves both fingerprints and creates the reviewed expense, so two members importing the same bill at the same time cannot double-count it. It also catches a re-exported/copy PDF when its readable receipt content is unchanged.</w:t>
      </w:r>
    </w:p>
    <w:p>
      <w:pPr>
        <w:spacing w:after="80" w:line="252" w:lineRule="auto"/>
      </w:pPr>
      <w:r>
        <w:rPr>
          <w:rFonts w:ascii="Calibri" w:hAnsi="Calibri"/>
          <w:b w:val="0"/>
          <w:sz w:val="20"/>
        </w:rPr>
        <w:t>Limit and operator action: the first PDF pass can only suggest a date and likely total, so the review step is mandatory and it does not claim line-item accuracy. The owner must run supabase/add-local-pdf-imports.sql once before this feature can save imports. JavaScript syntax and local browser loading are verified; a full end-to-end upload must be performed after the migration on the live site.</w:t>
      </w:r>
    </w:p>
    <w:p>
      <w:pPr>
        <w:keepNext/>
        <w:spacing w:before="160" w:after="80"/>
      </w:pPr>
      <w:r>
        <w:rPr>
          <w:rFonts w:ascii="Calibri" w:hAnsi="Calibri"/>
          <w:b/>
          <w:color w:val="2E74B5"/>
          <w:sz w:val="26"/>
        </w:rPr>
        <w:t>14 July 2026, 13:14 IST — Multi-household lifecycle and permission model agreed</w:t>
      </w:r>
    </w:p>
    <w:p>
      <w:pPr>
        <w:spacing w:after="80" w:line="252" w:lineRule="auto"/>
      </w:pPr>
      <w:r>
        <w:rPr>
          <w:rFonts w:ascii="Calibri" w:hAnsi="Calibri"/>
          <w:b w:val="0"/>
          <w:sz w:val="20"/>
        </w:rPr>
        <w:t>Decision: one signed-in account may belong to multiple households. A visible household name is not unique and must never be used as identity; the existing UUID household ID and unique invite code identify the household, so different people may safely use the same name.</w:t>
      </w:r>
    </w:p>
    <w:p>
      <w:pPr>
        <w:spacing w:after="80" w:line="252" w:lineRule="auto"/>
      </w:pPr>
      <w:r>
        <w:rPr>
          <w:rFonts w:ascii="Calibri" w:hAnsi="Calibri"/>
          <w:b w:val="0"/>
          <w:sz w:val="20"/>
        </w:rPr>
        <w:t>Approved roles: Owner manages everything; Owner or explicitly appointed Admin may add/remove members; Members may add, edit, or delete only entries they created and may request Admin access from the Owner. Owner alone controls role changes, archive, restore, and permanent deletion. A member with an unpaid balance must settle before removal so balances cannot become orphaned.</w:t>
      </w:r>
    </w:p>
    <w:p>
      <w:pPr>
        <w:spacing w:after="80" w:line="252" w:lineRule="auto"/>
      </w:pPr>
      <w:r>
        <w:rPr>
          <w:rFonts w:ascii="Calibri" w:hAnsi="Calibri"/>
          <w:b w:val="0"/>
          <w:sz w:val="20"/>
        </w:rPr>
        <w:t>Lifecycle: archive is a read-only, recoverable household state; restore returns it to normal use. Permanent deletion follows a recovery period and must purge the household ledger rather than auth identities. The current test household has not been removed while the lifecycle design is under discussion.</w:t>
      </w:r>
    </w:p>
    <w:p>
      <w:pPr>
        <w:spacing w:after="80" w:line="252" w:lineRule="auto"/>
      </w:pPr>
      <w:r>
        <w:rPr>
          <w:rFonts w:ascii="Calibri" w:hAnsi="Calibri"/>
          <w:b w:val="0"/>
          <w:sz w:val="20"/>
        </w:rPr>
        <w:t>Flow decision pending implementation: sign-in is a dedicated first screen. After authentication, users without a household see only Create or Join; users with households land in the last active household and use a household switcher. Dashboard, expenses, restock, settlements, and settings do not render behind authentication or onboarding.</w:t>
      </w:r>
    </w:p>
    <w:p>
      <w:pPr>
        <w:spacing w:after="80" w:line="252" w:lineRule="auto"/>
      </w:pPr>
      <w:r>
        <w:rPr>
          <w:rFonts w:ascii="Calibri" w:hAnsi="Calibri"/>
          <w:b w:val="0"/>
          <w:sz w:val="20"/>
        </w:rPr>
        <w:t>Reference: current Splitwise help describes group-wide bill editing/deletion and no special admin roles, plus group removal/deletion/recovery flows. Grocery Ledger intentionally differs with Owner/Admin/Member controls and an activity audit trail, while retaining the clear group-settings and settled-before-removal concepts.</w:t>
      </w:r>
    </w:p>
    <w:p>
      <w:pPr>
        <w:keepNext/>
        <w:spacing w:before="160" w:after="80"/>
      </w:pPr>
      <w:r>
        <w:rPr>
          <w:rFonts w:ascii="Calibri" w:hAnsi="Calibri"/>
          <w:b/>
          <w:color w:val="2E74B5"/>
          <w:sz w:val="26"/>
        </w:rPr>
        <w:t>14 July 2026, 14:05 IST — Approved multi-household lifecycle implemented for web handoff</w:t>
      </w:r>
    </w:p>
    <w:p>
      <w:pPr>
        <w:spacing w:after="80" w:line="252" w:lineRule="auto"/>
      </w:pPr>
      <w:r>
        <w:rPr>
          <w:rFonts w:ascii="Calibri" w:hAnsi="Calibri"/>
          <w:b w:val="0"/>
          <w:sz w:val="20"/>
        </w:rPr>
        <w:t>What changed: added supabase/multi-household-lifecycle.sql as a new, idempotent migration for the existing project. It adds Owner/Admin/Member roles, multiple household membership per account, member admin requests, owner-only approval and ownership transfer, manager-controlled member removal after the member balance is settled, and a narrow activity table containing action names and opaque IDs only.</w:t>
      </w:r>
    </w:p>
    <w:p>
      <w:pPr>
        <w:spacing w:after="80" w:line="252" w:lineRule="auto"/>
      </w:pPr>
      <w:r>
        <w:rPr>
          <w:rFonts w:ascii="Calibri" w:hAnsi="Calibri"/>
          <w:b w:val="0"/>
          <w:sz w:val="20"/>
        </w:rPr>
        <w:t>Lifecycle: a household may be archived only by its Owner when every active member balance is zero. Archive is read-only and sets a 30-day recovery deadline. Only the Owner can restore within that period; permanent deletion is deliberately unavailable until the deadline and purges the household ledger/memberships rather than an auth identity. Visible household names are explicitly non-unique.</w:t>
      </w:r>
    </w:p>
    <w:p>
      <w:pPr>
        <w:spacing w:after="80" w:line="252" w:lineRule="auto"/>
      </w:pPr>
      <w:r>
        <w:rPr>
          <w:rFonts w:ascii="Calibri" w:hAnsi="Calibri"/>
          <w:b w:val="0"/>
          <w:sz w:val="20"/>
        </w:rPr>
        <w:t>Website flow: replaced the mixed sign-in/dashboard rendering with separate sign-in, household-picker, and selected-household dashboard states. A signed-in account can create, join, select, and switch among multiple households. The dashboard exposes local PDF import, entry archive/restore, household settings, invite actions, role requests, and archive/recovery controls according to role.</w:t>
      </w:r>
    </w:p>
    <w:p>
      <w:pPr>
        <w:spacing w:after="80" w:line="252" w:lineRule="auto"/>
      </w:pPr>
      <w:r>
        <w:rPr>
          <w:rFonts w:ascii="Calibri" w:hAnsi="Calibri"/>
          <w:b w:val="0"/>
          <w:sz w:val="20"/>
        </w:rPr>
        <w:t>Verification and operator action: JavaScript syntax checks passed with the bundled Node runtime; four automated static tests passed, covering staged flow, role/recovery SQL, privacy PDF safeguards, and the prior web controls. The new migration has not yet run against the live Supabase project, so it must be run once in a new SQL Editor tab before the live Page can exercise these controls. Do not rerun schema.sql because its original policy names are intentionally one-time only.</w:t>
      </w:r>
    </w:p>
    <w:p>
      <w:pPr>
        <w:keepNext/>
        <w:spacing w:before="160" w:after="80"/>
      </w:pPr>
      <w:r>
        <w:rPr>
          <w:rFonts w:ascii="Calibri" w:hAnsi="Calibri"/>
          <w:b/>
          <w:color w:val="2E74B5"/>
          <w:sz w:val="26"/>
        </w:rPr>
        <w:t>14 July 2026, 14:25 IST — Lifecycle migration retry hardening</w:t>
      </w:r>
    </w:p>
    <w:p>
      <w:pPr>
        <w:spacing w:after="80" w:line="252" w:lineRule="auto"/>
      </w:pPr>
      <w:r>
        <w:rPr>
          <w:rFonts w:ascii="Calibri" w:hAnsi="Calibri"/>
          <w:b w:val="0"/>
          <w:sz w:val="20"/>
        </w:rPr>
        <w:t>Finding: applying the lifecycle migration to the existing Supabase project stopped at a permission-cleanup statement because an older remove_household_member function signature was absent. The database therefore did not complete the lifecycle migration. This was an avoidable migration-compatibility defect, not a household deletion.</w:t>
      </w:r>
    </w:p>
    <w:p>
      <w:pPr>
        <w:spacing w:after="80" w:line="252" w:lineRule="auto"/>
      </w:pPr>
      <w:r>
        <w:rPr>
          <w:rFonts w:ascii="Calibri" w:hAnsi="Calibri"/>
          <w:b w:val="0"/>
          <w:sz w:val="20"/>
        </w:rPr>
        <w:t>Repair: permission cleanup now checks whether each legacy function signature exists before attempting a revoke, so both early test databases and the current database can proceed safely. The migration also now grants and guards settlement updates, which are required for the promised archive/restore behaviour of settlement entries.</w:t>
      </w:r>
    </w:p>
    <w:p>
      <w:pPr>
        <w:spacing w:after="80" w:line="252" w:lineRule="auto"/>
      </w:pPr>
      <w:r>
        <w:rPr>
          <w:rFonts w:ascii="Calibri" w:hAnsi="Calibri"/>
          <w:b w:val="0"/>
          <w:sz w:val="20"/>
        </w:rPr>
        <w:t>Verification and next action: JavaScript syntax, SQL whitespace checks, and four automated static tests pass locally. This change has not yet been applied to Supabase or pushed to GitHub Pages. Re-open the local multi-household-lifecycle.sql file, replace the failed SQL Editor tab contents with the corrected version, and run it once; do not run the baseline schema again.</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