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pPr>
        <w:spacing w:after="120" w:line="264" w:lineRule="auto"/>
      </w:pPr>
      <w:r>
        <w:rPr>
          <w:rFonts w:ascii="Calibri" w:hAnsi="Calibri"/>
          <w:b/>
          <w:sz w:val="21"/>
        </w:rPr>
        <w:t xml:space="preserve">Local-only PDF import and duplicate prevention — 13 July 2026, 16:50 IST: </w:t>
      </w:r>
      <w:r>
        <w:rPr>
          <w:rFonts w:ascii="Calibri" w:hAnsi="Calibri"/>
          <w:sz w:val="21"/>
        </w:rPr>
        <w:t>The browser website now supports a local-only PDF intake path for a signed-in household member. PDF.js reads the selected PDF inside that browser, offers only editable draft fields, and discards the raw PDF and extracted text. Supabase receives neither the file nor text; it receives only two SHA-256 duplicate fingerprints plus the user-reviewed ledger entry. An atomic database import function reserves the fingerprints and writes the purchase in one transaction, preventing concurrent or repeat imports of the same receipt from double-counting. The first parser intentionally proposes only a likely total/date and requires review; it is not item-level invoice accounting yet. The owner must apply supabase/add-local-pdf-imports.sql before the new control can save an imported expense.</w:t>
      </w:r>
    </w:p>
    <w:p>
      <w:pPr>
        <w:spacing w:after="120" w:line="264" w:lineRule="auto"/>
      </w:pPr>
      <w:r>
        <w:rPr>
          <w:rFonts w:ascii="Calibri" w:hAnsi="Calibri"/>
          <w:b/>
          <w:sz w:val="21"/>
        </w:rPr>
        <w:t xml:space="preserve">Multi-household flow and Splitwise comparison — 14 July 2026, 13:14 IST: </w:t>
      </w:r>
      <w:r>
        <w:rPr>
          <w:rFonts w:ascii="Calibri" w:hAnsi="Calibri"/>
          <w:sz w:val="21"/>
        </w:rPr>
        <w:t>The approved shared-use direction is a multi-household account: an account can hold several independently named ledgers, while UUID/invite-code identity—not the visible name—prevents collisions. The website must use a staged flow: dedicated sign-in; then Create/Join only if no active household; then a selected-household dashboard with a switcher for other households. Owner/Admin/Member controls are deliberately stricter than Splitwise: Owner manages all settings and roles; Owner or appointed Admin manages membership; Members manage only their own entries and can request Admin access. Archived households are read-only and recoverable; permanent deletion follows a recovery window. Splitwise’s own help documents a contrasting wiki-style model in which group members can edit/delete bills and it has no special admin permissions, while also using group settings, settlement-before-removal, and deleted-group recovery patterns. Grocery Ledger should borrow the navigation/lifecycle clarity but not the broad edit permission.</w:t>
      </w:r>
    </w:p>
    <w:p>
      <w:pPr>
        <w:spacing w:after="120" w:line="264" w:lineRule="auto"/>
      </w:pPr>
      <w:r>
        <w:rPr>
          <w:rFonts w:ascii="Calibri" w:hAnsi="Calibri"/>
          <w:b/>
          <w:sz w:val="21"/>
        </w:rPr>
        <w:t xml:space="preserve">Implemented web lifecycle direction — 14 July 2026, 14:05 IST: </w:t>
      </w:r>
      <w:r>
        <w:rPr>
          <w:rFonts w:ascii="Calibri" w:hAnsi="Calibri"/>
          <w:sz w:val="21"/>
        </w:rPr>
        <w:t>The approved implementation now makes those design choices concrete: the browser begins with sign-in only, follows with a multi-household picker, then renders one selected ledger. The access model is Owner/Admin/Member rather than Splitwise’s wiki-style group permissions. A household is recoverably archived for 30 days only after all balances are settled; permanent removal is delayed until the recovery window ends. Members can archive/restore their own entries, while an Owner/Admin can manage another member’s entry. The server migration is idempotent and must be run once after the earlier schema migrations; the original schema should not be re-run because its policy definitions are intentionally not repeatable.</w:t>
      </w:r>
    </w:p>
    <w:p>
      <w:pPr>
        <w:spacing w:after="120" w:line="264" w:lineRule="auto"/>
      </w:pPr>
      <w:r>
        <w:rPr>
          <w:rFonts w:ascii="Calibri" w:hAnsi="Calibri"/>
          <w:b/>
          <w:sz w:val="21"/>
        </w:rPr>
        <w:t xml:space="preserve">Migration safety correction — 14 July 2026, 14:25 IST: </w:t>
      </w:r>
      <w:r>
        <w:rPr>
          <w:rFonts w:ascii="Calibri" w:hAnsi="Calibri"/>
          <w:sz w:val="21"/>
        </w:rPr>
        <w:t>A live apply revealed that compatibility matters even for a “new” migration: an earlier environment did not have one legacy member-removal function signature, so an unconditional REVOKE stopped the run. The migration now conditionally revokes only functions that exist, making reruns safe across the project’s already-created database state. Settlement archive/restore also requires a guarded UPDATE policy plus table grant; those are now explicit. This does not widen row access: RLS still limits members to their own entries and managers to household management.</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