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keepNext/>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keepNext/>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keepNext/>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keepNext/>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keepNext/>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keepNext/>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keepNext/>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keepNext/>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keepNext/>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keepNext/>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keepNext/>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keepNext/>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keepNext/>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keepNext/>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keepNext/>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keepNext/>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keepNext/>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keepNext/>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keepNext/>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keepNext/>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keepNext/>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keepNext/>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p>
      <w:pPr>
        <w:keepNext/>
        <w:spacing w:before="160" w:after="80"/>
      </w:pPr>
      <w:r>
        <w:rPr>
          <w:rFonts w:ascii="Calibri" w:hAnsi="Calibri"/>
          <w:b/>
          <w:color w:val="2E74B5"/>
          <w:sz w:val="26"/>
        </w:rPr>
        <w:t>13 July 2026, 14:50 IST — Cross-browser email-code sign-in</w:t>
      </w:r>
    </w:p>
    <w:p>
      <w:pPr>
        <w:spacing w:after="80" w:line="252" w:lineRule="auto"/>
      </w:pPr>
      <w:r>
        <w:rPr>
          <w:rFonts w:ascii="Calibri" w:hAnsi="Calibri"/>
          <w:b w:val="0"/>
          <w:sz w:val="20"/>
        </w:rPr>
        <w:t>Finding: magic links establish a session in the browser that consumes the link. That is normal passwordless-auth behaviour but fails the project requirement that either person should be able to choose any browser/device without a browser handoff.</w:t>
      </w:r>
    </w:p>
    <w:p>
      <w:pPr>
        <w:spacing w:after="80" w:line="252" w:lineRule="auto"/>
      </w:pPr>
      <w:r>
        <w:rPr>
          <w:rFonts w:ascii="Calibri" w:hAnsi="Calibri"/>
          <w:b w:val="0"/>
          <w:sz w:val="20"/>
        </w:rPr>
        <w:t>What changed: replaced the web client’s magic-link-only screen with an email one-time-code flow. The user requests a code, then enters the code in the chosen browser; the client verifies it with Supabase Auth. Added supabase/email-otp-template.html for the Supabase Magic Link email template, which sends the code and a neutral link to open the website rather than a session-carrying link.</w:t>
      </w:r>
    </w:p>
    <w:p>
      <w:pPr>
        <w:spacing w:after="80" w:line="252" w:lineRule="auto"/>
      </w:pPr>
      <w:r>
        <w:rPr>
          <w:rFonts w:ascii="Calibri" w:hAnsi="Calibri"/>
          <w:b w:val="0"/>
          <w:sz w:val="20"/>
        </w:rPr>
        <w:t>Required operator action and verification limit: paste the supplied template into Supabase Authentication &gt; Email Templates &gt; Magic Link and save it, then send a new code on each Mac. The client code passes JavaScript syntax validation; live two-device sign-in, household join, purchase sync, and settlement sync must be verified after deployment.</w:t>
      </w:r>
    </w:p>
    <w:p>
      <w:pPr>
        <w:keepNext/>
        <w:spacing w:before="160" w:after="80"/>
      </w:pPr>
      <w:r>
        <w:rPr>
          <w:rFonts w:ascii="Calibri" w:hAnsi="Calibri"/>
          <w:b/>
          <w:color w:val="2E74B5"/>
          <w:sz w:val="26"/>
        </w:rPr>
        <w:t>13 July 2026, 15:15 IST — Free-plan email-template correction</w:t>
      </w:r>
    </w:p>
    <w:p>
      <w:pPr>
        <w:spacing w:after="80" w:line="252" w:lineRule="auto"/>
      </w:pPr>
      <w:r>
        <w:rPr>
          <w:rFonts w:ascii="Calibri" w:hAnsi="Calibri"/>
          <w:b w:val="0"/>
          <w:sz w:val="20"/>
        </w:rPr>
        <w:t>Finding: the Supabase Free project’s default email sender does not permit custom email-template edits; the dashboard correctly requires custom SMTP for that. Therefore the proposed code-template route cannot be used without introducing another provider or cost.</w:t>
      </w:r>
    </w:p>
    <w:p>
      <w:pPr>
        <w:spacing w:after="80" w:line="252" w:lineRule="auto"/>
      </w:pPr>
      <w:r>
        <w:rPr>
          <w:rFonts w:ascii="Calibri" w:hAnsi="Calibri"/>
          <w:b w:val="0"/>
          <w:sz w:val="20"/>
        </w:rPr>
        <w:t>Correction: restored the supported default magic-link flow and made the browser boundary explicit in the sign-in UI. Any browser is supported: copy the unconsumed email sign-in link and paste it into the address bar of the browser where the session is wanted. The link then creates the session there. No custom SMTP, password, or additional data collection is required.</w:t>
      </w:r>
    </w:p>
    <w:p>
      <w:pPr>
        <w:spacing w:after="80" w:line="252" w:lineRule="auto"/>
      </w:pPr>
      <w:r>
        <w:rPr>
          <w:rFonts w:ascii="Calibri" w:hAnsi="Calibri"/>
          <w:b w:val="0"/>
          <w:sz w:val="20"/>
        </w:rPr>
        <w:t>Verification status: this restores the official Free-plan-compatible flow. The corrected JavaScript syntax must be checked and the public website redeployed before the two-Mac authentication and shared-ledger test is repeated.</w:t>
      </w:r>
    </w:p>
    <w:p>
      <w:pPr>
        <w:keepNext/>
        <w:spacing w:before="160" w:after="80"/>
      </w:pPr>
      <w:r>
        <w:rPr>
          <w:rFonts w:ascii="Calibri" w:hAnsi="Calibri"/>
          <w:b/>
          <w:color w:val="2E74B5"/>
          <w:sz w:val="26"/>
        </w:rPr>
        <w:t>13 July 2026, 15:35 IST — Shared-login feedback and database-access repair</w:t>
      </w:r>
    </w:p>
    <w:p>
      <w:pPr>
        <w:spacing w:after="80" w:line="252" w:lineRule="auto"/>
      </w:pPr>
      <w:r>
        <w:rPr>
          <w:rFonts w:ascii="Calibri" w:hAnsi="Calibri"/>
          <w:b w:val="0"/>
          <w:sz w:val="20"/>
        </w:rPr>
        <w:t>Finding: a live test showed no visible confirmation after requesting a sign-in link, leaving the action ambiguous. A separate signed-in second Mac displayed “permission denied for table household_members.” The latter is a table-privilege gap: RLS policies existed, but authenticated Data API requests also require table-level privileges before those policies can evaluate.</w:t>
      </w:r>
    </w:p>
    <w:p>
      <w:pPr>
        <w:spacing w:after="80" w:line="252" w:lineRule="auto"/>
      </w:pPr>
      <w:r>
        <w:rPr>
          <w:rFonts w:ascii="Calibri" w:hAnsi="Calibri"/>
          <w:b w:val="0"/>
          <w:sz w:val="20"/>
        </w:rPr>
        <w:t>What changed: the sign-in panel now displays immediate in-place Sending, Sent, and error states and disables the button while the request is in flight. Added explicit authenticated SELECT access to the four reviewed-ledger tables and only the write grants used by purchases/settlements. RLS remains enabled and continues to limit rows to household members. Added supabase/grant-ledger-table-access.sql for the already-created database and updated the baseline schema.</w:t>
      </w:r>
    </w:p>
    <w:p>
      <w:pPr>
        <w:spacing w:after="80" w:line="252" w:lineRule="auto"/>
      </w:pPr>
      <w:r>
        <w:rPr>
          <w:rFonts w:ascii="Calibri" w:hAnsi="Calibri"/>
          <w:b w:val="0"/>
          <w:sz w:val="20"/>
        </w:rPr>
        <w:t>Required operator action and verification limit: run the new grant repair once in the Supabase SQL Editor, then deploy the web update. JavaScript syntax is checked locally; actual two-Mac membership loading, invite joining, expense creation, settlement creation, and real-time sync must be verified after the SQL and deployment complete.</w:t>
      </w:r>
    </w:p>
    <w:p>
      <w:pPr>
        <w:keepNext/>
        <w:spacing w:before="160" w:after="80"/>
      </w:pPr>
      <w:r>
        <w:rPr>
          <w:rFonts w:ascii="Calibri" w:hAnsi="Calibri"/>
          <w:b/>
          <w:color w:val="2E74B5"/>
          <w:sz w:val="26"/>
        </w:rPr>
        <w:t>13 July 2026, 15:50 IST — Sign-in UI clarity pass</w:t>
      </w:r>
    </w:p>
    <w:p>
      <w:pPr>
        <w:spacing w:after="80" w:line="252" w:lineRule="auto"/>
      </w:pPr>
      <w:r>
        <w:rPr>
          <w:rFonts w:ascii="Calibri" w:hAnsi="Calibri"/>
          <w:b w:val="0"/>
          <w:sz w:val="20"/>
        </w:rPr>
        <w:t>What changed: shortened the sign-in explanation, added a focused responsive sign-in layout, and gave the feedback state a clear visual hierarchy. The button now changes to Sending while disabled; success is a green message card; errors are an orange message card. The Supabase Free email-rate error is translated into an actionable wait/use-your-newest-link explanation instead of raw API wording.</w:t>
      </w:r>
    </w:p>
    <w:p>
      <w:pPr>
        <w:keepNext/>
        <w:spacing w:before="160" w:after="80"/>
      </w:pPr>
      <w:r>
        <w:rPr>
          <w:rFonts w:ascii="Calibri" w:hAnsi="Calibri"/>
          <w:b/>
          <w:color w:val="2E74B5"/>
          <w:sz w:val="26"/>
        </w:rPr>
        <w:t>13 July 2026, 16:05 IST — Sign-in retry time</w:t>
      </w:r>
    </w:p>
    <w:p>
      <w:pPr>
        <w:spacing w:after="80" w:line="252" w:lineRule="auto"/>
      </w:pPr>
      <w:r>
        <w:rPr>
          <w:rFonts w:ascii="Calibri" w:hAnsi="Calibri"/>
          <w:b w:val="0"/>
          <w:sz w:val="20"/>
        </w:rPr>
        <w:t>What changed: replaced the generic email-rate-limit explanation with a disabled retry button and a specific local time for the next request. The time is calculated from the one-hour Free-plan window after the browser receives a rate-limit response, is remembered across reloads in that browser, and re-enables automatically. It is explicitly a client-side estimate because the email service does not provide a reset timestamp.</w:t>
      </w:r>
    </w:p>
    <w:p>
      <w:pPr>
        <w:keepNext/>
        <w:spacing w:before="160" w:after="80"/>
      </w:pPr>
      <w:r>
        <w:rPr>
          <w:rFonts w:ascii="Calibri" w:hAnsi="Calibri"/>
          <w:b/>
          <w:color w:val="2E74B5"/>
          <w:sz w:val="26"/>
        </w:rPr>
        <w:t>13 July 2026, 16:15 IST — Data API privilege verification repair</w:t>
      </w:r>
    </w:p>
    <w:p>
      <w:pPr>
        <w:spacing w:after="80" w:line="252" w:lineRule="auto"/>
      </w:pPr>
      <w:r>
        <w:rPr>
          <w:rFonts w:ascii="Calibri" w:hAnsi="Calibri"/>
          <w:b w:val="0"/>
          <w:sz w:val="20"/>
        </w:rPr>
        <w:t>Correction: the earlier table-grant migration returned SQL success but a signed-in second Mac still received “permission denied for table household_members.” Therefore SQL completion alone is not accepted as verification. The repair now also grants authenticated usage on the public schema, asks PostgREST to reload its schema/privilege cache, and returns four effective-privilege checks. The shared-ledger test remains incomplete until those checks are true and the second Mac can read its membership without an error.</w:t>
      </w:r>
    </w:p>
    <w:p>
      <w:pPr>
        <w:keepNext/>
        <w:spacing w:before="160" w:after="80"/>
      </w:pPr>
      <w:r>
        <w:rPr>
          <w:rFonts w:ascii="Calibri" w:hAnsi="Calibri"/>
          <w:b/>
          <w:color w:val="2E74B5"/>
          <w:sz w:val="26"/>
        </w:rPr>
        <w:t>13 July 2026, 16:25 IST — Second-Mac membership read verified</w:t>
      </w:r>
    </w:p>
    <w:p>
      <w:pPr>
        <w:spacing w:after="80" w:line="252" w:lineRule="auto"/>
      </w:pPr>
      <w:r>
        <w:rPr>
          <w:rFonts w:ascii="Calibri" w:hAnsi="Calibri"/>
          <w:b w:val="0"/>
          <w:sz w:val="20"/>
        </w:rPr>
        <w:t>Verification: the effective-privilege query returned true for public-schema usage, membership read, purchase access, and settlement access. After refresh, the second Mac reached the signed-in “Create or join a household” state with no table-permission message. This confirms the membership-read repair; household creation, invite joining, expense creation, and cross-device refresh remain the next live checks.</w:t>
      </w:r>
    </w:p>
    <w:p>
      <w:pPr>
        <w:keepNext/>
        <w:spacing w:before="160" w:after="80"/>
      </w:pPr>
      <w:r>
        <w:rPr>
          <w:rFonts w:ascii="Calibri" w:hAnsi="Calibri"/>
          <w:b/>
          <w:color w:val="2E74B5"/>
          <w:sz w:val="26"/>
        </w:rPr>
        <w:t>13 July 2026, 16:35 IST — Owner email invite action</w:t>
      </w:r>
    </w:p>
    <w:p>
      <w:pPr>
        <w:spacing w:after="80" w:line="252" w:lineRule="auto"/>
      </w:pPr>
      <w:r>
        <w:rPr>
          <w:rFonts w:ascii="Calibri" w:hAnsi="Calibri"/>
          <w:b w:val="0"/>
          <w:sz w:val="20"/>
        </w:rPr>
        <w:t>What changed: a household owner now sees Email invite and Copy code actions after creating or joining their household. Email invite opens the device’s own mail composer with the project URL and invite code prefilled; it does not send mail automatically and Grocery Ledger stores no recipient email address or email content. This lets the Mac 2 owner invite Mac 1 without using the rate-limited authentication email service.</w:t>
      </w:r>
    </w:p>
    <w:p>
      <w:pPr>
        <w:spacing w:after="80" w:line="252" w:lineRule="auto"/>
      </w:pPr>
      <w:r>
        <w:rPr>
          <w:rFonts w:ascii="Calibri" w:hAnsi="Calibri"/>
          <w:b w:val="0"/>
          <w:sz w:val="20"/>
        </w:rPr>
        <w:t>Why: live screenshots showed that the original message was easy to miss and the unchanged button made a successful send feel unresponsive. This pass makes the authentication state visible at the point of action without changing the data, privacy, or permission model.</w:t>
      </w:r>
    </w:p>
    <w:p>
      <w:pPr>
        <w:keepNext/>
        <w:spacing w:before="160" w:after="80"/>
      </w:pPr>
      <w:r>
        <w:rPr>
          <w:rFonts w:ascii="Calibri" w:hAnsi="Calibri"/>
          <w:b/>
          <w:color w:val="2E74B5"/>
          <w:sz w:val="26"/>
        </w:rPr>
        <w:t>13 July 2026, 16:50 IST — Local-only PDF import with atomic duplicate protection</w:t>
      </w:r>
    </w:p>
    <w:p>
      <w:pPr>
        <w:spacing w:after="80" w:line="252" w:lineRule="auto"/>
      </w:pPr>
      <w:r>
        <w:rPr>
          <w:rFonts w:ascii="Calibri" w:hAnsi="Calibri"/>
          <w:b w:val="0"/>
          <w:sz w:val="20"/>
        </w:rPr>
        <w:t>What changed: the shared website now offers Import PDF after a person has joined a household. PDF.js reads a selected receipt entirely in that browser; the user must review and edit the proposed label, amount, date, category, personal flag, and restock flag before saving. The raw PDF and its extracted text are discarded, never uploaded to Supabase, and never put in the GitHub repository.</w:t>
      </w:r>
    </w:p>
    <w:p>
      <w:pPr>
        <w:spacing w:after="80" w:line="252" w:lineRule="auto"/>
      </w:pPr>
      <w:r>
        <w:rPr>
          <w:rFonts w:ascii="Calibri" w:hAnsi="Calibri"/>
          <w:b w:val="0"/>
          <w:sz w:val="20"/>
        </w:rPr>
        <w:t>Duplicate safeguard: the browser derives two SHA-256 fingerprints locally—one from the PDF bytes and one from normalized extracted text. Supabase stores only those fingerprints in invoice_imports. A guarded import_purchase database function atomically reserves both fingerprints and creates the reviewed expense, so two members importing the same bill at the same time cannot double-count it. It also catches a re-exported/copy PDF when its readable receipt content is unchanged.</w:t>
      </w:r>
    </w:p>
    <w:p>
      <w:pPr>
        <w:spacing w:after="80" w:line="252" w:lineRule="auto"/>
      </w:pPr>
      <w:r>
        <w:rPr>
          <w:rFonts w:ascii="Calibri" w:hAnsi="Calibri"/>
          <w:b w:val="0"/>
          <w:sz w:val="20"/>
        </w:rPr>
        <w:t>Limit and operator action: the first PDF pass can only suggest a date and likely total, so the review step is mandatory and it does not claim line-item accuracy. The owner must run supabase/add-local-pdf-imports.sql once before this feature can save imports. JavaScript syntax and local browser loading are verified; a full end-to-end upload must be performed after the migration on the live site.</w:t>
      </w:r>
    </w:p>
    <w:p>
      <w:pPr>
        <w:keepNext/>
        <w:spacing w:before="160" w:after="80"/>
      </w:pPr>
      <w:r>
        <w:rPr>
          <w:rFonts w:ascii="Calibri" w:hAnsi="Calibri"/>
          <w:b/>
          <w:color w:val="2E74B5"/>
          <w:sz w:val="26"/>
        </w:rPr>
        <w:t>14 July 2026, 13:14 IST — Multi-household lifecycle and permission model agreed</w:t>
      </w:r>
    </w:p>
    <w:p>
      <w:pPr>
        <w:spacing w:after="80" w:line="252" w:lineRule="auto"/>
      </w:pPr>
      <w:r>
        <w:rPr>
          <w:rFonts w:ascii="Calibri" w:hAnsi="Calibri"/>
          <w:b w:val="0"/>
          <w:sz w:val="20"/>
        </w:rPr>
        <w:t>Decision: one signed-in account may belong to multiple households. A visible household name is not unique and must never be used as identity; the existing UUID household ID and unique invite code identify the household, so different people may safely use the same name.</w:t>
      </w:r>
    </w:p>
    <w:p>
      <w:pPr>
        <w:spacing w:after="80" w:line="252" w:lineRule="auto"/>
      </w:pPr>
      <w:r>
        <w:rPr>
          <w:rFonts w:ascii="Calibri" w:hAnsi="Calibri"/>
          <w:b w:val="0"/>
          <w:sz w:val="20"/>
        </w:rPr>
        <w:t>Approved roles: Owner manages everything; Owner or explicitly appointed Admin may add/remove members; Members may add, edit, or delete only entries they created and may request Admin access from the Owner. Owner alone controls role changes, archive, restore, and permanent deletion. A member with an unpaid balance must settle before removal so balances cannot become orphaned.</w:t>
      </w:r>
    </w:p>
    <w:p>
      <w:pPr>
        <w:spacing w:after="80" w:line="252" w:lineRule="auto"/>
      </w:pPr>
      <w:r>
        <w:rPr>
          <w:rFonts w:ascii="Calibri" w:hAnsi="Calibri"/>
          <w:b w:val="0"/>
          <w:sz w:val="20"/>
        </w:rPr>
        <w:t>Lifecycle: archive is a read-only, recoverable household state; restore returns it to normal use. Permanent deletion follows a recovery period and must purge the household ledger rather than auth identities. The current test household has not been removed while the lifecycle design is under discussion.</w:t>
      </w:r>
    </w:p>
    <w:p>
      <w:pPr>
        <w:spacing w:after="80" w:line="252" w:lineRule="auto"/>
      </w:pPr>
      <w:r>
        <w:rPr>
          <w:rFonts w:ascii="Calibri" w:hAnsi="Calibri"/>
          <w:b w:val="0"/>
          <w:sz w:val="20"/>
        </w:rPr>
        <w:t>Flow decision pending implementation: sign-in is a dedicated first screen. After authentication, users without a household see only Create or Join; users with households land in the last active household and use a household switcher. Dashboard, expenses, restock, settlements, and settings do not render behind authentication or onboarding.</w:t>
      </w:r>
    </w:p>
    <w:p>
      <w:pPr>
        <w:spacing w:after="80" w:line="252" w:lineRule="auto"/>
      </w:pPr>
      <w:r>
        <w:rPr>
          <w:rFonts w:ascii="Calibri" w:hAnsi="Calibri"/>
          <w:b w:val="0"/>
          <w:sz w:val="20"/>
        </w:rPr>
        <w:t>Reference: current Splitwise help describes group-wide bill editing/deletion and no special admin roles, plus group removal/deletion/recovery flows. Grocery Ledger intentionally differs with Owner/Admin/Member controls and an activity audit trail, while retaining the clear group-settings and settled-before-removal concepts.</w:t>
      </w:r>
    </w:p>
    <w:p>
      <w:pPr>
        <w:keepNext/>
        <w:spacing w:before="160" w:after="80"/>
      </w:pPr>
      <w:r>
        <w:rPr>
          <w:rFonts w:ascii="Calibri" w:hAnsi="Calibri"/>
          <w:b/>
          <w:color w:val="2E74B5"/>
          <w:sz w:val="26"/>
        </w:rPr>
        <w:t>14 July 2026, 14:05 IST — Approved multi-household lifecycle implemented for web handoff</w:t>
      </w:r>
    </w:p>
    <w:p>
      <w:pPr>
        <w:spacing w:after="80" w:line="252" w:lineRule="auto"/>
      </w:pPr>
      <w:r>
        <w:rPr>
          <w:rFonts w:ascii="Calibri" w:hAnsi="Calibri"/>
          <w:b w:val="0"/>
          <w:sz w:val="20"/>
        </w:rPr>
        <w:t>What changed: added supabase/multi-household-lifecycle.sql as a new, idempotent migration for the existing project. It adds Owner/Admin/Member roles, multiple household membership per account, member admin requests, owner-only approval and ownership transfer, manager-controlled member removal after the member balance is settled, and a narrow activity table containing action names and opaque IDs only.</w:t>
      </w:r>
    </w:p>
    <w:p>
      <w:pPr>
        <w:spacing w:after="80" w:line="252" w:lineRule="auto"/>
      </w:pPr>
      <w:r>
        <w:rPr>
          <w:rFonts w:ascii="Calibri" w:hAnsi="Calibri"/>
          <w:b w:val="0"/>
          <w:sz w:val="20"/>
        </w:rPr>
        <w:t>Lifecycle: a household may be archived only by its Owner when every active member balance is zero. Archive is read-only and sets a 30-day recovery deadline. Only the Owner can restore within that period; permanent deletion is deliberately unavailable until the deadline and purges the household ledger/memberships rather than an auth identity. Visible household names are explicitly non-unique.</w:t>
      </w:r>
    </w:p>
    <w:p>
      <w:pPr>
        <w:spacing w:after="80" w:line="252" w:lineRule="auto"/>
      </w:pPr>
      <w:r>
        <w:rPr>
          <w:rFonts w:ascii="Calibri" w:hAnsi="Calibri"/>
          <w:b w:val="0"/>
          <w:sz w:val="20"/>
        </w:rPr>
        <w:t>Website flow: replaced the mixed sign-in/dashboard rendering with separate sign-in, household-picker, and selected-household dashboard states. A signed-in account can create, join, select, and switch among multiple households. The dashboard exposes local PDF import, entry archive/restore, household settings, invite actions, role requests, and archive/recovery controls according to role.</w:t>
      </w:r>
    </w:p>
    <w:p>
      <w:pPr>
        <w:spacing w:after="80" w:line="252" w:lineRule="auto"/>
      </w:pPr>
      <w:r>
        <w:rPr>
          <w:rFonts w:ascii="Calibri" w:hAnsi="Calibri"/>
          <w:b w:val="0"/>
          <w:sz w:val="20"/>
        </w:rPr>
        <w:t>Verification and operator action: JavaScript syntax checks passed with the bundled Node runtime; four automated static tests passed, covering staged flow, role/recovery SQL, privacy PDF safeguards, and the prior web controls. The new migration has not yet run against the live Supabase project, so it must be run once in a new SQL Editor tab before the live Page can exercise these controls. Do not rerun schema.sql because its original policy names are intentionally one-time only.</w:t>
      </w:r>
    </w:p>
    <w:p>
      <w:pPr>
        <w:keepNext/>
        <w:spacing w:before="160" w:after="80"/>
      </w:pPr>
      <w:r>
        <w:rPr>
          <w:rFonts w:ascii="Calibri" w:hAnsi="Calibri"/>
          <w:b/>
          <w:color w:val="2E74B5"/>
          <w:sz w:val="26"/>
        </w:rPr>
        <w:t>14 July 2026, 14:25 IST — Lifecycle migration retry hardening</w:t>
      </w:r>
    </w:p>
    <w:p>
      <w:pPr>
        <w:spacing w:after="80" w:line="252" w:lineRule="auto"/>
      </w:pPr>
      <w:r>
        <w:rPr>
          <w:rFonts w:ascii="Calibri" w:hAnsi="Calibri"/>
          <w:b w:val="0"/>
          <w:sz w:val="20"/>
        </w:rPr>
        <w:t>Finding: applying the lifecycle migration to the existing Supabase project stopped at a permission-cleanup statement because an older remove_household_member function signature was absent. The database therefore did not complete the lifecycle migration. This was an avoidable migration-compatibility defect, not a household deletion.</w:t>
      </w:r>
    </w:p>
    <w:p>
      <w:pPr>
        <w:spacing w:after="80" w:line="252" w:lineRule="auto"/>
      </w:pPr>
      <w:r>
        <w:rPr>
          <w:rFonts w:ascii="Calibri" w:hAnsi="Calibri"/>
          <w:b w:val="0"/>
          <w:sz w:val="20"/>
        </w:rPr>
        <w:t>Repair: permission cleanup now checks whether each legacy function signature exists before attempting a revoke, so both early test databases and the current database can proceed safely. The migration also now grants and guards settlement updates, which are required for the promised archive/restore behaviour of settlement entries.</w:t>
      </w:r>
    </w:p>
    <w:p>
      <w:pPr>
        <w:spacing w:after="80" w:line="252" w:lineRule="auto"/>
      </w:pPr>
      <w:r>
        <w:rPr>
          <w:rFonts w:ascii="Calibri" w:hAnsi="Calibri"/>
          <w:b w:val="0"/>
          <w:sz w:val="20"/>
        </w:rPr>
        <w:t>Verification and next action: JavaScript syntax, SQL whitespace checks, and four automated static tests pass locally. This change has not yet been applied to Supabase or pushed to GitHub Pages. Re-open the local multi-household-lifecycle.sql file, replace the failed SQL Editor tab contents with the corrected version, and run it once; do not run the baseline schema again.</w:t>
      </w:r>
    </w:p>
    <w:p>
      <w:pPr>
        <w:keepNext/>
        <w:spacing w:before="160" w:after="80"/>
      </w:pPr>
      <w:r>
        <w:rPr>
          <w:rFonts w:ascii="Calibri" w:hAnsi="Calibri"/>
          <w:b/>
          <w:color w:val="2E74B5"/>
          <w:sz w:val="26"/>
        </w:rPr>
        <w:t>14 July 2026, 14:38 IST — Lifecycle grant signature correction</w:t>
      </w:r>
    </w:p>
    <w:p>
      <w:pPr>
        <w:spacing w:after="80" w:line="252" w:lineRule="auto"/>
      </w:pPr>
      <w:r>
        <w:rPr>
          <w:rFonts w:ascii="Calibri" w:hAnsi="Calibri"/>
          <w:b w:val="0"/>
          <w:sz w:val="20"/>
        </w:rPr>
        <w:t>Finding: the retry run exposed a second signature mismatch in the same migration. The final authenticated EXECUTE grant named remove_household_member(uuid), while the function correctly takes both a household UUID and a member UUID. PostgreSQL therefore stopped the migration at the grant statement.</w:t>
      </w:r>
    </w:p>
    <w:p>
      <w:pPr>
        <w:spacing w:after="80" w:line="252" w:lineRule="auto"/>
      </w:pPr>
      <w:r>
        <w:rPr>
          <w:rFonts w:ascii="Calibri" w:hAnsi="Calibri"/>
          <w:b w:val="0"/>
          <w:sz w:val="20"/>
        </w:rPr>
        <w:t>Repair: corrected the grant to remove_household_member(uuid, uuid). The automated lifecycle test now explicitly asserts that the exact two-argument grant is present, in addition to the legacy-safe conditional revoke.</w:t>
      </w:r>
    </w:p>
    <w:p>
      <w:pPr>
        <w:spacing w:after="80" w:line="252" w:lineRule="auto"/>
      </w:pPr>
      <w:r>
        <w:rPr>
          <w:rFonts w:ascii="Calibri" w:hAnsi="Calibri"/>
          <w:b w:val="0"/>
          <w:sz w:val="20"/>
        </w:rPr>
        <w:t>Verification and next action: this correction is verified only by static checks until the complete revised file is run in Supabase. Replace the whole SQL Editor contents from the local migration file again; do not try to run only the visible final lines, because the migration is designed to reapply safely as a complete unit.</w:t>
      </w:r>
    </w:p>
    <w:p>
      <w:pPr>
        <w:keepNext/>
        <w:spacing w:before="160" w:after="80"/>
      </w:pPr>
      <w:r>
        <w:rPr>
          <w:rFonts w:ascii="Calibri" w:hAnsi="Calibri"/>
          <w:b/>
          <w:color w:val="2E74B5"/>
          <w:sz w:val="26"/>
        </w:rPr>
        <w:t>14 July 2026, 16:15 IST — Dedicated sign-in gate and persistent-session verification</w:t>
      </w:r>
    </w:p>
    <w:p>
      <w:pPr>
        <w:spacing w:after="80" w:line="252" w:lineRule="auto"/>
      </w:pPr>
      <w:r>
        <w:rPr>
          <w:rFonts w:ascii="Calibri" w:hAnsi="Calibri"/>
          <w:b w:val="0"/>
          <w:sz w:val="20"/>
        </w:rPr>
        <w:t>What changed: simplified the unsigned experience to a compact Grocery Ledger account gate. It contains only sign-in/sign-up by email and the privacy boundary; no ledger, household, invitation, expense, or settlement controls render behind it. Once authenticated, a person goes to the household picker or their selected ledger. Invitations remain a small action inside the selected household settings, not an onboarding window.</w:t>
      </w:r>
    </w:p>
    <w:p>
      <w:pPr>
        <w:spacing w:after="80" w:line="252" w:lineRule="auto"/>
      </w:pPr>
      <w:r>
        <w:rPr>
          <w:rFonts w:ascii="Calibri" w:hAnsi="Calibri"/>
          <w:b w:val="0"/>
          <w:sz w:val="20"/>
        </w:rPr>
        <w:t>Session behaviour: Supabase session persistence and token refresh are now explicitly configured with browser local storage. A successful sign-in survives reloads, tab switches, and normal browser reopening; a person should need to sign in again only after choosing Sign out, clearing the site data, or an expired/revoked authentication session. This is intentionally more convenient than ending the session merely because a tab closes.</w:t>
      </w:r>
    </w:p>
    <w:p>
      <w:pPr>
        <w:spacing w:after="80" w:line="252" w:lineRule="auto"/>
      </w:pPr>
      <w:r>
        <w:rPr>
          <w:rFonts w:ascii="Calibri" w:hAnsi="Calibri"/>
          <w:b w:val="0"/>
          <w:sz w:val="20"/>
        </w:rPr>
        <w:t>Verification: JavaScript syntax validation, four static flow/privacy/lifecycle tests, and a local browser visual check passed. The verified signed-out preview contains only the centred account gate and privacy footer. The public GitHub Pages site will show this correction after the commit is pushed and Pages finishes deploying.</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