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pPr>
        <w:spacing w:after="120" w:line="264" w:lineRule="auto"/>
      </w:pPr>
      <w:r>
        <w:rPr>
          <w:rFonts w:ascii="Calibri" w:hAnsi="Calibri"/>
          <w:b/>
          <w:sz w:val="21"/>
        </w:rPr>
        <w:t xml:space="preserve">Sign-in UX update — 13 July 2026, 15:50 IST: </w:t>
      </w:r>
      <w:r>
        <w:rPr>
          <w:rFonts w:ascii="Calibri" w:hAnsi="Calibri"/>
          <w:sz w:val="21"/>
        </w:rPr>
        <w:t>The sign-in UI now treats status as part of the primary interaction rather than a message elsewhere on the page: it displays Sending, Sent, and error cards next to the email form, disables the button during a request, and gives a plain-language explanation when the Free-plan email limit is reached. The layout remains responsive for a Mac browser or narrow iPhone screen. This is a usability-only change; it does not alter authentication, data scope, or RLS.</w:t>
      </w:r>
    </w:p>
    <w:p>
      <w:pPr>
        <w:spacing w:after="120" w:line="264" w:lineRule="auto"/>
      </w:pPr>
      <w:r>
        <w:rPr>
          <w:rFonts w:ascii="Calibri" w:hAnsi="Calibri"/>
          <w:b/>
          <w:sz w:val="21"/>
        </w:rPr>
        <w:t xml:space="preserve">Rate-limit retry clarity — 13 July 2026, 16:05 IST: </w:t>
      </w:r>
      <w:r>
        <w:rPr>
          <w:rFonts w:ascii="Calibri" w:hAnsi="Calibri"/>
          <w:sz w:val="21"/>
        </w:rPr>
        <w:t>When the email service rejects a request as rate-limited, the website now disables the request button and shows the estimated local clock time when the next request can be made. The estimate uses the documented one-hour Free-plan window starting when the browser receives the error, persists only in that browser, and clears automatically when the time passes. The client does not claim this is an authoritative provider reset time because the provider does not expose one.</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