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updated whenever a material change is made; no automatic documentation schedule is active.</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pPr>
        <w:spacing w:after="120" w:line="264" w:lineRule="auto"/>
      </w:pPr>
      <w:r>
        <w:rPr>
          <w:rFonts w:ascii="Calibri" w:hAnsi="Calibri"/>
          <w:b/>
          <w:sz w:val="21"/>
        </w:rPr>
        <w:t xml:space="preserve">Security hardening update — 13 July 2026, 14:28 IST: </w:t>
      </w:r>
      <w:r>
        <w:rPr>
          <w:rFonts w:ascii="Calibri" w:hAnsi="Calibri"/>
          <w:sz w:val="21"/>
        </w:rPr>
        <w:t>Security Advisor correctly flagged PostgreSQL’s default function EXECUTE grants. The follow-up hardening migration removes public/anonymous execution, moves the membership helper to a non-exposed private schema, uses fixed empty search paths with fully-qualified table references, and grants browser invocation only to authenticated household-create and invite-join RPCs. Security Advisor may still note those two guarded SECURITY DEFINER RPCs because they must be callable by signed-in people; their use is bounded by auth identity, explicit permissions, and RLS. The project owner must run supabase/harden-function-permissions.sql once and recheck the Advisor before the two-device test.</w:t>
      </w:r>
    </w:p>
    <w:p>
      <w:pPr>
        <w:spacing w:after="120" w:line="264" w:lineRule="auto"/>
      </w:pPr>
      <w:r>
        <w:rPr>
          <w:rFonts w:ascii="Calibri" w:hAnsi="Calibri"/>
          <w:b/>
          <w:sz w:val="21"/>
        </w:rPr>
        <w:t xml:space="preserve">Cross-browser sign-in update — 13 July 2026, 15:15 IST: </w:t>
      </w:r>
      <w:r>
        <w:rPr>
          <w:rFonts w:ascii="Calibri" w:hAnsi="Calibri"/>
          <w:sz w:val="21"/>
        </w:rPr>
        <w:t>The project selected the default magic-link flow because the Supabase Free project does not permit editing the default email template without custom SMTP. A magic link creates a session in the browser that consumes it; this is an authentication boundary, not a ledger restriction. The sign-in UI now explicitly tells the user to copy the unconsumed email link and paste it into the address bar of the chosen browser before opening it. This supports any browser without SMTP cost, passwords, or extra stored data. A code-entry flow remains a later option only if the project explicitly adopts a custom SMTP provider.</w:t>
      </w:r>
    </w:p>
    <w:p>
      <w:pPr>
        <w:spacing w:after="120" w:line="264" w:lineRule="auto"/>
      </w:pPr>
      <w:r>
        <w:rPr>
          <w:rFonts w:ascii="Calibri" w:hAnsi="Calibri"/>
          <w:b/>
          <w:sz w:val="21"/>
        </w:rPr>
        <w:t xml:space="preserve">Live shared-sync repair — 13 July 2026, 15:35 IST: </w:t>
      </w:r>
      <w:r>
        <w:rPr>
          <w:rFonts w:ascii="Calibri" w:hAnsi="Calibri"/>
          <w:sz w:val="21"/>
        </w:rPr>
        <w:t>Live two-Mac testing exposed two implementation gaps: the sign-in request lacked visible in-context feedback, and the authenticated role lacked table-level privileges needed for the Data API to begin RLS evaluation of household membership. The repair gives the sign-in panel clear Sending/Sent/error feedback and grants only the minimum authenticated table operations for membership reads, reviewed-purchase reads/writes, and settlement reads/writes. Row Level Security remains the row-level enforcement layer; no anonymous access, receipt data, payment data, addresses, or additional profile fields are introduced. The owner must run supabase/grant-ledger-table-access.sql before repeating the shared test.</w:t>
      </w:r>
    </w:p>
    <w:p>
      <w:pPr>
        <w:spacing w:after="120" w:line="264" w:lineRule="auto"/>
      </w:pPr>
      <w:r>
        <w:rPr>
          <w:rFonts w:ascii="Calibri" w:hAnsi="Calibri"/>
          <w:b/>
          <w:sz w:val="21"/>
        </w:rPr>
        <w:t xml:space="preserve">Sign-in UX update — 13 July 2026, 15:50 IST: </w:t>
      </w:r>
      <w:r>
        <w:rPr>
          <w:rFonts w:ascii="Calibri" w:hAnsi="Calibri"/>
          <w:sz w:val="21"/>
        </w:rPr>
        <w:t>The sign-in UI now treats status as part of the primary interaction rather than a message elsewhere on the page: it displays Sending, Sent, and error cards next to the email form, disables the button during a request, and gives a plain-language explanation when the Free-plan email limit is reached. The layout remains responsive for a Mac browser or narrow iPhone screen. This is a usability-only change; it does not alter authentication, data scope, or RLS.</w:t>
      </w:r>
    </w:p>
    <w:p>
      <w:pPr>
        <w:spacing w:after="120" w:line="264" w:lineRule="auto"/>
      </w:pPr>
      <w:r>
        <w:rPr>
          <w:rFonts w:ascii="Calibri" w:hAnsi="Calibri"/>
          <w:b/>
          <w:sz w:val="21"/>
        </w:rPr>
        <w:t xml:space="preserve">Rate-limit retry clarity — 13 July 2026, 16:05 IST: </w:t>
      </w:r>
      <w:r>
        <w:rPr>
          <w:rFonts w:ascii="Calibri" w:hAnsi="Calibri"/>
          <w:sz w:val="21"/>
        </w:rPr>
        <w:t>When the email service rejects a request as rate-limited, the website now disables the request button and shows the estimated local clock time when the next request can be made. The estimate uses the documented one-hour Free-plan window starting when the browser receives the error, persists only in that browser, and clears automatically when the time passes. The client does not claim this is an authoritative provider reset time because the provider does not expose one.</w:t>
      </w:r>
    </w:p>
    <w:p>
      <w:pPr>
        <w:spacing w:after="120" w:line="264" w:lineRule="auto"/>
      </w:pPr>
      <w:r>
        <w:rPr>
          <w:rFonts w:ascii="Calibri" w:hAnsi="Calibri"/>
          <w:b/>
          <w:sz w:val="21"/>
        </w:rPr>
        <w:t xml:space="preserve">Data API verification correction — 13 July 2026, 16:15 IST: </w:t>
      </w:r>
      <w:r>
        <w:rPr>
          <w:rFonts w:ascii="Calibri" w:hAnsi="Calibri"/>
          <w:sz w:val="21"/>
        </w:rPr>
        <w:t>A SQL “Success” result for the table grants did not resolve a live second-Mac membership-read failure, so it is not treated as verification. The grant repair now includes public-schema usage, a PostgREST schema reload notification, and an effective-privilege query that must return true for schema usage, membership read, purchase access, and settlement access. RLS remains the restriction on rows. Only after this result and a successful second-Mac read can the shared-sync path be considered verified.</w:t>
      </w:r>
    </w:p>
    <w:p>
      <w:pPr>
        <w:spacing w:after="120" w:line="264" w:lineRule="auto"/>
      </w:pPr>
      <w:r>
        <w:rPr>
          <w:rFonts w:ascii="Calibri" w:hAnsi="Calibri"/>
          <w:b/>
          <w:sz w:val="21"/>
        </w:rPr>
        <w:t xml:space="preserve">Second-Mac access verification — 13 July 2026, 16:25 IST: </w:t>
      </w:r>
      <w:r>
        <w:rPr>
          <w:rFonts w:ascii="Calibri" w:hAnsi="Calibri"/>
          <w:sz w:val="21"/>
        </w:rPr>
        <w:t>The privilege checks returned true and the second Mac subsequently reached the signed-in, no-household screen without the previous membership-table permission error. This verifies that signed-in membership reads can reach the Data API. The next required live sequence is deliberately separate: create one household on the first Mac, join it on the second with the generated invite code, save an expense, and confirm it appears on the other device.</w:t>
      </w:r>
    </w:p>
    <w:p>
      <w:pPr>
        <w:spacing w:after="120" w:line="264" w:lineRule="auto"/>
      </w:pPr>
      <w:r>
        <w:rPr>
          <w:rFonts w:ascii="Calibri" w:hAnsi="Calibri"/>
          <w:b/>
          <w:sz w:val="21"/>
        </w:rPr>
        <w:t xml:space="preserve">Owner email invite — 13 July 2026, 16:35 IST: </w:t>
      </w:r>
      <w:r>
        <w:rPr>
          <w:rFonts w:ascii="Calibri" w:hAnsi="Calibri"/>
          <w:sz w:val="21"/>
        </w:rPr>
        <w:t>The household owner can now launch a prefilled native email draft containing the project URL and household invite code, or copy the code manually. This supports creating on one Mac and inviting the other while retaining the privacy boundary: the web app does not collect a recipient email address, deliver email itself, or store a message body. The recipient still signs in with their own account before joining.</w:t>
      </w:r>
    </w:p>
    <w:p>
      <w:pPr>
        <w:spacing w:after="120" w:line="264" w:lineRule="auto"/>
      </w:pPr>
      <w:r>
        <w:rPr>
          <w:rFonts w:ascii="Calibri" w:hAnsi="Calibri"/>
          <w:b/>
          <w:sz w:val="21"/>
        </w:rPr>
        <w:t xml:space="preserve">Local-only PDF import and duplicate prevention — 13 July 2026, 16:50 IST: </w:t>
      </w:r>
      <w:r>
        <w:rPr>
          <w:rFonts w:ascii="Calibri" w:hAnsi="Calibri"/>
          <w:sz w:val="21"/>
        </w:rPr>
        <w:t>The browser website now supports a local-only PDF intake path for a signed-in household member. PDF.js reads the selected PDF inside that browser, offers only editable draft fields, and discards the raw PDF and extracted text. Supabase receives neither the file nor text; it receives only two SHA-256 duplicate fingerprints plus the user-reviewed ledger entry. An atomic database import function reserves the fingerprints and writes the purchase in one transaction, preventing concurrent or repeat imports of the same receipt from double-counting. The first parser intentionally proposes only a likely total/date and requires review; it is not item-level invoice accounting yet. The owner must apply supabase/add-local-pdf-imports.sql before the new control can save an imported expense.</w:t>
      </w:r>
    </w:p>
    <w:p>
      <w:pPr>
        <w:spacing w:after="120" w:line="264" w:lineRule="auto"/>
      </w:pPr>
      <w:r>
        <w:rPr>
          <w:rFonts w:ascii="Calibri" w:hAnsi="Calibri"/>
          <w:b/>
          <w:sz w:val="21"/>
        </w:rPr>
        <w:t xml:space="preserve">Multi-household flow and Splitwise comparison — 14 July 2026, 13:14 IST: </w:t>
      </w:r>
      <w:r>
        <w:rPr>
          <w:rFonts w:ascii="Calibri" w:hAnsi="Calibri"/>
          <w:sz w:val="21"/>
        </w:rPr>
        <w:t>The approved shared-use direction is a multi-household account: an account can hold several independently named ledgers, while UUID/invite-code identity—not the visible name—prevents collisions. The website must use a staged flow: dedicated sign-in; then Create/Join only if no active household; then a selected-household dashboard with a switcher for other households. Owner/Admin/Member controls are deliberately stricter than Splitwise: Owner manages all settings and roles; Owner or appointed Admin manages membership; Members manage only their own entries and can request Admin access. Archived households are read-only and recoverable; permanent deletion follows a recovery window. Splitwise’s own help documents a contrasting wiki-style model in which group members can edit/delete bills and it has no special admin permissions, while also using group settings, settlement-before-removal, and deleted-group recovery patterns. Grocery Ledger should borrow the navigation/lifecycle clarity but not the broad edit permission.</w:t>
      </w:r>
    </w:p>
    <w:p>
      <w:pPr>
        <w:spacing w:after="120" w:line="264" w:lineRule="auto"/>
      </w:pPr>
      <w:r>
        <w:rPr>
          <w:rFonts w:ascii="Calibri" w:hAnsi="Calibri"/>
          <w:b/>
          <w:sz w:val="21"/>
        </w:rPr>
        <w:t xml:space="preserve">Implemented web lifecycle direction — 14 July 2026, 14:05 IST: </w:t>
      </w:r>
      <w:r>
        <w:rPr>
          <w:rFonts w:ascii="Calibri" w:hAnsi="Calibri"/>
          <w:sz w:val="21"/>
        </w:rPr>
        <w:t>The approved implementation now makes those design choices concrete: the browser begins with sign-in only, follows with a multi-household picker, then renders one selected ledger. The access model is Owner/Admin/Member rather than Splitwise’s wiki-style group permissions. A household is recoverably archived for 30 days only after all balances are settled; permanent removal is delayed until the recovery window ends. Members can archive/restore their own entries, while an Owner/Admin can manage another member’s entry. The server migration is idempotent and must be run once after the earlier schema migrations; the original schema should not be re-run because its policy definitions are intentionally not repeatable.</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