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Style111"/>
        <w:numPr>
          <w:ilvl w:val="0"/>
          <w:numId w:val="1"/>
        </w:numPr>
        <w:tabs>
          <w:tab w:val="clear" w:pos="720"/>
          <w:tab w:val="left" w:pos="284" w:leader="none"/>
        </w:tabs>
        <w:spacing w:lineRule="exact" w:line="240"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0,14. Составить закон распределения числа баз, на которых искомый товар отсутствует в данный момент.</w:t>
      </w:r>
    </w:p>
    <w:p>
      <w:r>
        <w:br w:type="page"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91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0"/>
        <w:gridCol w:w="1591"/>
        <w:gridCol w:w="1604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13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p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>
      <w:r>
        <w:br w:type="page"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  <w:p w:rsidP="4824267B" w14:paraId="2C078E63" w14:textId="0688F9D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824267B" w:rsidR="4824267B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Два баскетболиста по очереди забрасывают мяч в корзину с вероятностью</w:t>
      </w:r>
      <w:r w:rsidRPr="4824267B" w:rsidR="4824267B">
        <w:rPr>
          <w:rFonts w:ascii="Times New Roman" w:hAnsi="Times New Roman" w:eastAsia="Times New Roman" w:cs="Times New Roman"/>
          <w:smallCaps w:val="1"/>
          <w:noProof w:val="0"/>
          <w:sz w:val="26"/>
          <w:szCs w:val="26"/>
          <w:lang w:val="ru-RU"/>
        </w:rPr>
        <w:t xml:space="preserve"> </w:t>
      </w:r>
      <w:r w:rsidRPr="4824267B" w:rsidR="482426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попадания при каждом броске для первого 0,8, для второго-0,7. Всего производится пять бросков. Составить закон распределения числа попаданий</w:t>
      </w:r>
      <w:r w:rsidRPr="4824267B" w:rsidR="4824267B">
        <w:rPr>
          <w:rFonts w:ascii="Times New Roman" w:hAnsi="Times New Roman" w:eastAsia="Times New Roman" w:cs="Times New Roman"/>
          <w:smallCaps w:val="1"/>
          <w:noProof w:val="0"/>
          <w:sz w:val="26"/>
          <w:szCs w:val="26"/>
          <w:lang w:val="ru-RU"/>
        </w:rPr>
        <w:t xml:space="preserve"> </w:t>
      </w:r>
      <w:r w:rsidRPr="4824267B" w:rsidR="482426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для каждого игрока, если начинает бросать первый баскетболист, найти математическое ожидание и дисперсию для каждого из законов распределения.</w:t>
      </w:r>
    </w:p>
    <w:p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  <w:p w:rsidR="0AE9303F" w:rsidP="0AE9303F" w:rsidRDefault="0AE9303F" w14:paraId="29A15754" w14:textId="0C27AB9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AE9303F" w:rsidR="0AE9303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AE9303F" w:rsidR="0AE930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0AE9303F" w:rsidR="0AE930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0AE9303F" w:rsidR="0AE930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0AE9303F" w:rsidR="0AE930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0AE9303F" w:rsidR="0AE9303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AE9303F" w:rsidR="0AE930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Проводятся три независимых измерения исследуемого образца. Вероятность допустить ошибку в каждом измерении равна 0,01; с.в. </w:t>
      </w:r>
      <w:r w:rsidRPr="0AE9303F" w:rsidR="0AE9303F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0AE9303F" w:rsidR="0AE930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ошибок, допущенных в измерениях.</w:t>
      </w:r>
    </w:p>
    <w:p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  <w:p xmlns:a="http://schemas.openxmlformats.org/drawingml/2006/main" xmlns:pic="http://schemas.openxmlformats.org/drawingml/2006/picture" xmlns:a14="http://schemas.microsoft.com/office/drawing/2010/main" w:rsidR="2EAECE4E" w:rsidP="2EAECE4E" w:rsidRDefault="2EAECE4E" w14:paraId="66E2030F" w14:textId="07790EC8">
      <w:pPr>
        <w:pStyle w:val="Normal"/>
      </w:pPr>
      <w:r w:rsidR="2EAECE4E">
        <w:rPr/>
        <w:t xml:space="preserve">5) 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2EAECE4E">
        <w:drawing>
          <wp:inline wp14:editId="00AD5624" wp14:anchorId="22220378">
            <wp:extent cx="1695450" cy="904875"/>
            <wp:effectExtent l="0" t="0" r="0" b="0"/>
            <wp:docPr id="82435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f52e04e184e7c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Найти: а) плотность распределения вероятностей 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</w:t>
      </w:r>
      <w:proofErr w:type="spellStart"/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>с.в</w:t>
      </w:r>
      <w:proofErr w:type="spellEnd"/>
      <w:r w:rsidRPr="2EAECE4E" w:rsidR="2EAECE4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. Х на отрезок [0;1]; д) построить графики функций 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AECE4E" w:rsidR="2EAECE4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AECE4E" w:rsidR="2EAECE4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