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Merentsov</w:t>
      </w:r>
    </w:p>
    <w:bookmarkStart w:id="27" w:name="практическое-задание-2"/>
    <w:p>
      <w:pPr>
        <w:pStyle w:val="Heading1"/>
      </w:pPr>
      <w:r>
        <w:t xml:space="preserve">Практическое задание 2</w:t>
      </w:r>
    </w:p>
    <w:p>
      <w:pPr>
        <w:pStyle w:val="FirstParagraph"/>
      </w:pPr>
      <w:r>
        <w:t xml:space="preserve">Merentsov Alexander</w:t>
      </w:r>
    </w:p>
    <w:bookmarkStart w:id="26" w:name="отчет-по-продажам-шоколадных-батончиков"/>
    <w:p>
      <w:pPr>
        <w:pStyle w:val="Heading2"/>
      </w:pPr>
      <w:r>
        <w:t xml:space="preserve">Отчет по продажам шоколадных батончиков</w:t>
      </w:r>
    </w:p>
    <w:bookmarkStart w:id="21" w:name="описание-данных"/>
    <w:p>
      <w:pPr>
        <w:pStyle w:val="Heading3"/>
      </w:pPr>
      <w:r>
        <w:t xml:space="preserve">Описание данных</w:t>
      </w:r>
    </w:p>
    <w:p>
      <w:pPr>
        <w:pStyle w:val="FirstParagraph"/>
      </w:pPr>
      <w:r>
        <w:rPr>
          <w:i/>
          <w:iCs/>
        </w:rPr>
        <w:t xml:space="preserve">Идея для данного отчета взята со</w:t>
      </w:r>
      <w:r>
        <w:t xml:space="preserve"> </w:t>
      </w:r>
      <w:hyperlink r:id="rId20">
        <w:r>
          <w:rPr>
            <w:rStyle w:val="Hyperlink"/>
          </w:rPr>
          <w:t xml:space="preserve">страницы</w:t>
        </w:r>
      </w:hyperlink>
      <w:r>
        <w:t xml:space="preserve"> </w:t>
      </w:r>
      <w:r>
        <w:rPr>
          <w:i/>
          <w:iCs/>
        </w:rPr>
        <w:t xml:space="preserve">сайта plot.ly.</w:t>
      </w:r>
    </w:p>
    <w:p>
      <w:pPr>
        <w:pStyle w:val="BodyText"/>
      </w:pPr>
      <w:r>
        <w:t xml:space="preserve">В ходе исследования были оценены продажи шоколадных батончиков разных торговых марок в 2013 году.</w:t>
      </w:r>
    </w:p>
    <w:p>
      <w:pPr>
        <w:pStyle w:val="BodyText"/>
      </w:pPr>
      <w:r>
        <w:rPr>
          <w:b/>
          <w:bCs/>
        </w:rPr>
        <w:t xml:space="preserve">Список торговых марок:</w:t>
      </w:r>
    </w:p>
    <w:p>
      <w:pPr>
        <w:numPr>
          <w:ilvl w:val="0"/>
          <w:numId w:val="1001"/>
        </w:numPr>
      </w:pPr>
      <w:r>
        <w:t xml:space="preserve">Twix;</w:t>
      </w:r>
    </w:p>
    <w:p>
      <w:pPr>
        <w:numPr>
          <w:ilvl w:val="0"/>
          <w:numId w:val="1001"/>
        </w:numPr>
      </w:pPr>
      <w:r>
        <w:t xml:space="preserve">Hershers;</w:t>
      </w:r>
    </w:p>
    <w:p>
      <w:pPr>
        <w:numPr>
          <w:ilvl w:val="0"/>
          <w:numId w:val="1001"/>
        </w:numPr>
      </w:pPr>
      <w:r>
        <w:t xml:space="preserve">Kit Kat;</w:t>
      </w:r>
    </w:p>
    <w:p>
      <w:pPr>
        <w:numPr>
          <w:ilvl w:val="0"/>
          <w:numId w:val="1001"/>
        </w:numPr>
      </w:pPr>
      <w:r>
        <w:t xml:space="preserve">Snickers.</w:t>
      </w:r>
    </w:p>
    <w:bookmarkEnd w:id="21"/>
    <w:bookmarkStart w:id="25" w:name="визуализация-данных"/>
    <w:p>
      <w:pPr>
        <w:pStyle w:val="Heading3"/>
      </w:pPr>
      <w:r>
        <w:t xml:space="preserve">Визуализация данных</w:t>
      </w:r>
    </w:p>
    <w:p>
      <w:pPr>
        <w:pStyle w:val="FirstParagraph"/>
      </w:pPr>
      <w:r>
        <w:t xml:space="preserve">Объемы продаж шоколадных батончиков можно увидеть на следующем графике: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plot.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lot.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2</dc:title>
  <dc:creator>Merentsov</dc:creator>
  <cp:keywords/>
  <dcterms:created xsi:type="dcterms:W3CDTF">2024-10-12T01:58:43Z</dcterms:created>
  <dcterms:modified xsi:type="dcterms:W3CDTF">2024-10-12T01:58:43Z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