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pageBreakBefore w:val="0"/>
        <w:jc w:val="both"/>
        <w:rPr/>
      </w:pPr>
      <w:bookmarkStart w:colFirst="0" w:colLast="0" w:name="_pb24hjtsv75h" w:id="0"/>
      <w:bookmarkEnd w:id="0"/>
      <w:r w:rsidDel="00000000" w:rsidR="00000000" w:rsidRPr="00000000">
        <w:rPr>
          <w:rtl w:val="0"/>
        </w:rPr>
        <w:t xml:space="preserve">Урок 1. Практика</w:t>
      </w:r>
    </w:p>
    <w:p w:rsidR="00000000" w:rsidDel="00000000" w:rsidP="00000000" w:rsidRDefault="00000000" w:rsidRPr="00000000" w14:paraId="00000002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Для сайта, продающего билеты в кино, имеется набор данных (логов) за период с сентября по ноябрь. Данные доступны по ссылке: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Dataset#1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6153912" cy="496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912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В примере показана таблица данных с дневной агрегацией. Она содержит: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Дату.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Идентификатор сессии пользователя.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Идентификатор пользователя.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Ярлык события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Доход от этих событий на определённую дату у определённого пользователя за одну сессию.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Используйте данные, чтобы рассчитать метрики отдельно за сентябрь, октябрь и ноябрь: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Количество сессий (визитов).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MAU.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DAU.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Revenue.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ARPU.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ARPPU.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Session / user.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Количество целевых действий (целевое действие — событие, за которое получен доход).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Дополнительно рассчитайте показатель LTV на пользователя за период три месяца: с сентября по ноябрь.</w:t>
      </w:r>
    </w:p>
    <w:p w:rsidR="00000000" w:rsidDel="00000000" w:rsidP="00000000" w:rsidRDefault="00000000" w:rsidRPr="00000000" w14:paraId="0000001A">
      <w:pPr>
        <w:pageBreakBefore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1.2" w:top="1137.6000000000001" w:left="1699.1999999999998" w:right="849.5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wZ2QxrEHrM927OooSR1SB_A8kFAZMedz/view?usp=sharing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