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Arial" w:hAnsi="Arial"/>
          <w:b/>
          <w:sz w:val="32"/>
        </w:rPr>
        <w:t>Inv-Man-Intake — dossier (2026-09-04)</w:t>
      </w:r>
    </w:p>
    <w:p>
      <w:pPr>
        <w:pStyle w:val="Heading2"/>
      </w:pPr>
      <w:r>
        <w:rPr>
          <w:rFonts w:ascii="Arial" w:hAnsi="Arial"/>
          <w:b/>
          <w:sz w:val="26"/>
        </w:rPr>
        <w:t>1. Purpose in one paragraph</w:t>
      </w:r>
    </w:p>
    <w:p>
      <w:r>
        <w:rPr>
          <w:rFonts w:ascii="Arial" w:hAnsi="Arial"/>
          <w:b w:val="0"/>
          <w:i w:val="0"/>
          <w:sz w:val="22"/>
        </w:rPr>
        <w:t>Inv-Man-Intake is a local headless pipeline for turning manager packages into explainable priority scores and analyst exceptions. It models firm, fund and documents; validates metadata; extracts fields; applies confidence gates; normalizes returns; and writes artifacts (</w:t>
      </w:r>
      <w:r>
        <w:rPr>
          <w:rFonts w:ascii="Consolas" w:hAnsi="Consolas"/>
          <w:b w:val="0"/>
          <w:i w:val="0"/>
          <w:sz w:val="20"/>
        </w:rPr>
        <w:t>README.md:3-20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src/inv_man_intake/run.py:133-166</w:t>
      </w:r>
      <w:r>
        <w:rPr>
          <w:rFonts w:ascii="Arial" w:hAnsi="Arial"/>
          <w:b w:val="0"/>
          <w:i w:val="0"/>
          <w:sz w:val="22"/>
        </w:rPr>
        <w:t>). Its constraint is no hosted application or default data egress (</w:t>
      </w:r>
      <w:r>
        <w:rPr>
          <w:rFonts w:ascii="Consolas" w:hAnsi="Consolas"/>
          <w:b w:val="0"/>
          <w:i w:val="0"/>
          <w:sz w:val="20"/>
        </w:rPr>
        <w:t>README.md:22-38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README.md:50-58</w:t>
      </w:r>
      <w:r>
        <w:rPr>
          <w:rFonts w:ascii="Arial" w:hAnsi="Arial"/>
          <w:b w:val="0"/>
          <w:i w:val="0"/>
          <w:sz w:val="22"/>
        </w:rPr>
        <w:t>). The deterministic implementation remains much narrower than its multi-format ambition.</w:t>
      </w:r>
    </w:p>
    <w:p>
      <w:pPr>
        <w:pStyle w:val="Heading2"/>
      </w:pPr>
      <w:r>
        <w:rPr>
          <w:rFonts w:ascii="Arial" w:hAnsi="Arial"/>
          <w:b/>
          <w:sz w:val="26"/>
        </w:rPr>
        <w:t>2. Who uses it and how (surfaces)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2412"/>
        <w:gridCol w:w="2412"/>
        <w:gridCol w:w="2412"/>
        <w:gridCol w:w="2412"/>
      </w:tblGrid>
      <w:tr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Surface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Entry point (file)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Who uses it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Status with evidence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CLI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inv-man-ingest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src/inv_man_intake/cli/ingest.py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Ops or an automation runner producing local artifacts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Working for fixture-shaped bundles: it accepts a bundle and output directory and prints run, score, escalation, and artifacts (</w:t>
            </w:r>
            <w:r>
              <w:rPr>
                <w:rFonts w:ascii="Consolas" w:hAnsi="Consolas"/>
                <w:b w:val="0"/>
                <w:i w:val="0"/>
                <w:sz w:val="20"/>
              </w:rPr>
              <w:t>pyproject.toml:53-55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src/inv_man_intake/cli/ingest.py:46-80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Python API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run_pipeline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register_intake_bundle*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ingest_packet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Sibling applications and integration code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Partial: callable local interfaces exist, but the primary run delegates to the V1 smoke core (</w:t>
            </w:r>
            <w:r>
              <w:rPr>
                <w:rFonts w:ascii="Consolas" w:hAnsi="Consolas"/>
                <w:b w:val="0"/>
                <w:i w:val="0"/>
                <w:sz w:val="20"/>
              </w:rPr>
              <w:t>src/inv_man_intake/run.py:133-166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src/inv_man_intake/packet.py:75-147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Static HTML/Pyodide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app/index.html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app/static_operator_app.js</w:t>
            </w:r>
            <w:r>
              <w:rPr>
                <w:rFonts w:ascii="Arial" w:hAnsi="Arial"/>
                <w:b w:val="0"/>
                <w:i w:val="0"/>
                <w:sz w:val="22"/>
              </w:rPr>
              <w:t>, bridge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Analyst doing an offline visual review/demo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Working as a local demo surface; it requires an HTTP server, not </w:t>
            </w:r>
            <w:r>
              <w:rPr>
                <w:rFonts w:ascii="Consolas" w:hAnsi="Consolas"/>
                <w:b w:val="0"/>
                <w:i w:val="0"/>
                <w:sz w:val="20"/>
              </w:rPr>
              <w:t>file://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(</w:t>
            </w:r>
            <w:r>
              <w:rPr>
                <w:rFonts w:ascii="Consolas" w:hAnsi="Consolas"/>
                <w:b w:val="0"/>
                <w:i w:val="0"/>
                <w:sz w:val="20"/>
              </w:rPr>
              <w:t>README.md:50-73</w:t>
            </w:r>
            <w:r>
              <w:rPr>
                <w:rFonts w:ascii="Arial" w:hAnsi="Arial"/>
                <w:b w:val="0"/>
                <w:i w:val="0"/>
                <w:sz w:val="22"/>
              </w:rPr>
              <w:t>), but it passes uploaded text—not binary file bytes—to Python (</w:t>
            </w:r>
            <w:r>
              <w:rPr>
                <w:rFonts w:ascii="Consolas" w:hAnsi="Consolas"/>
                <w:b w:val="0"/>
                <w:i w:val="0"/>
                <w:sz w:val="20"/>
              </w:rPr>
              <w:t>app/static_operator_app.js:458-474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Queue contract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validation_queue_api.py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 Manager-Database-style analyst queue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Scaffold/contract only: documented query and pagination helpers, with no repository HTTP server (</w:t>
            </w:r>
            <w:r>
              <w:rPr>
                <w:rFonts w:ascii="Consolas" w:hAnsi="Consolas"/>
                <w:b w:val="0"/>
                <w:i w:val="0"/>
                <w:sz w:val="20"/>
              </w:rPr>
              <w:t>README.md:22-33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Artifacts</w:t>
            </w:r>
          </w:p>
        </w:tc>
        <w:tc>
          <w:tcPr>
            <w:tcW w:type="dxa" w:w="2412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run.json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metadata.json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threshold-summary.json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explainability.json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manifest.json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Automation and downstream reporting</w:t>
            </w:r>
          </w:p>
        </w:tc>
        <w:tc>
          <w:tcPr>
            <w:tcW w:type="dxa" w:w="2412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Working: </w:t>
            </w:r>
            <w:r>
              <w:rPr>
                <w:rFonts w:ascii="Consolas" w:hAnsi="Consolas"/>
                <w:b w:val="0"/>
                <w:i w:val="0"/>
                <w:sz w:val="20"/>
              </w:rPr>
              <w:t>run_pipeline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writes and hashes the four named outputs into a manifest (</w:t>
            </w:r>
            <w:r>
              <w:rPr>
                <w:rFonts w:ascii="Consolas" w:hAnsi="Consolas"/>
                <w:b w:val="0"/>
                <w:i w:val="0"/>
                <w:sz w:val="20"/>
              </w:rPr>
              <w:t>src/inv_man_intake/run.py:337-363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src/inv_man_intake/run_manifest.py:45-94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3. Structure map</w:t>
      </w:r>
    </w:p>
    <w:p>
      <w:pPr>
        <w:ind w:left="360"/>
      </w:pPr>
      <w:r>
        <w:rPr>
          <w:rFonts w:ascii="Consolas" w:hAnsi="Consolas"/>
          <w:sz w:val="20"/>
        </w:rPr>
        <w:t>src/inv_man_intake/        domain package: intake, extraction, performance, scoring, storage, exports, observability</w:t>
      </w:r>
      <w:r>
        <w:br/>
      </w:r>
      <w:r>
        <w:rPr>
          <w:rFonts w:ascii="Consolas" w:hAnsi="Consolas"/>
          <w:sz w:val="20"/>
        </w:rPr>
        <w:t xml:space="preserve">  data/, intake/, storage/ persistent hierarchy, registration, versions, SQLite and files</w:t>
      </w:r>
      <w:r>
        <w:br/>
      </w:r>
      <w:r>
        <w:rPr>
          <w:rFonts w:ascii="Consolas" w:hAnsi="Consolas"/>
          <w:sz w:val="20"/>
        </w:rPr>
        <w:t xml:space="preserve">  extraction/, images/     parsers, confidence/routing, visual artifacts and feedback</w:t>
      </w:r>
      <w:r>
        <w:br/>
      </w:r>
      <w:r>
        <w:rPr>
          <w:rFonts w:ascii="Consolas" w:hAnsi="Consolas"/>
          <w:sz w:val="20"/>
        </w:rPr>
        <w:t xml:space="preserve">  performance/, scoring/   return-series rules, metrics, conflict logic, weights and explanations</w:t>
      </w:r>
      <w:r>
        <w:br/>
      </w:r>
      <w:r>
        <w:rPr>
          <w:rFonts w:ascii="Consolas" w:hAnsi="Consolas"/>
          <w:sz w:val="20"/>
        </w:rPr>
        <w:t xml:space="preserve">  queue/, audit/, export/  assignment/audit value objects and deliverable manifest/brief builders</w:t>
      </w:r>
      <w:r>
        <w:br/>
      </w:r>
      <w:r>
        <w:rPr>
          <w:rFonts w:ascii="Consolas" w:hAnsi="Consolas"/>
          <w:sz w:val="20"/>
        </w:rPr>
        <w:t>app/                       static Pyodide operator demonstration and bundled browser assets</w:t>
      </w:r>
      <w:r>
        <w:br/>
      </w:r>
      <w:r>
        <w:rPr>
          <w:rFonts w:ascii="Consolas" w:hAnsi="Consolas"/>
          <w:sz w:val="20"/>
        </w:rPr>
        <w:t>config/                    thresholds, scoring TOML, model policy, and a non-authoritative standard-elements stub</w:t>
      </w:r>
      <w:r>
        <w:br/>
      </w:r>
      <w:r>
        <w:rPr>
          <w:rFonts w:ascii="Consolas" w:hAnsi="Consolas"/>
          <w:sz w:val="20"/>
        </w:rPr>
        <w:t>docs/                      plan, runbooks, and fleet/domain contracts</w:t>
      </w:r>
      <w:r>
        <w:br/>
      </w:r>
      <w:r>
        <w:rPr>
          <w:rFonts w:ascii="Consolas" w:hAnsi="Consolas"/>
          <w:sz w:val="20"/>
        </w:rPr>
        <w:t>tests/                     deterministic unit, integration, browser and reference-fixture coverage</w:t>
      </w:r>
      <w:r>
        <w:br/>
      </w:r>
      <w:r>
        <w:rPr>
          <w:rFonts w:ascii="Consolas" w:hAnsi="Consolas"/>
          <w:sz w:val="20"/>
        </w:rPr>
        <w:t>artifacts/                 committed reference run and telemetry examples</w:t>
      </w:r>
      <w:r>
        <w:br/>
      </w:r>
      <w:r>
        <w:rPr>
          <w:rFonts w:ascii="Consolas" w:hAnsi="Consolas"/>
          <w:sz w:val="20"/>
        </w:rPr>
        <w:t>scripts/                   local validation/report helpers; workflow automation is synced from stranske/Workflows</w:t>
      </w:r>
      <w:r>
        <w:br/>
      </w:r>
      <w:r>
        <w:rPr>
          <w:rFonts w:ascii="Consolas" w:hAnsi="Consolas"/>
          <w:sz w:val="20"/>
        </w:rPr>
        <w:t>.github/, design-system/  CI/agent materials and UI tokens; synced from stranske/Workflows where the manifest says so</w:t>
      </w:r>
    </w:p>
    <w:p/>
    <w:p>
      <w:pPr>
        <w:pStyle w:val="Heading2"/>
      </w:pPr>
      <w:r>
        <w:rPr>
          <w:rFonts w:ascii="Arial" w:hAnsi="Arial"/>
          <w:b/>
          <w:sz w:val="26"/>
        </w:rPr>
        <w:t>4. Major code features you must understand to extend it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 xml:space="preserve">Registration — </w:t>
      </w:r>
      <w:r>
        <w:rPr>
          <w:rFonts w:ascii="Consolas" w:hAnsi="Consolas"/>
          <w:b/>
          <w:i w:val="0"/>
          <w:sz w:val="20"/>
        </w:rPr>
        <w:t>register_intake_bundle</w:t>
      </w:r>
      <w:r>
        <w:rPr>
          <w:rFonts w:ascii="Arial" w:hAnsi="Arial"/>
          <w:b/>
          <w:i w:val="0"/>
          <w:sz w:val="22"/>
        </w:rPr>
        <w:t>.</w:t>
      </w:r>
      <w:r>
        <w:rPr>
          <w:rFonts w:ascii="Arial" w:hAnsi="Arial"/>
          <w:b w:val="0"/>
          <w:i w:val="0"/>
          <w:sz w:val="22"/>
        </w:rPr>
        <w:t xml:space="preserve"> Validates JSON, normalizes or accepts firm/fund IDs, and returns an </w:t>
      </w:r>
      <w:r>
        <w:rPr>
          <w:rFonts w:ascii="Consolas" w:hAnsi="Consolas"/>
          <w:b w:val="0"/>
          <w:i w:val="0"/>
          <w:sz w:val="20"/>
        </w:rPr>
        <w:t>IntakeRegistrationResult</w:t>
      </w:r>
      <w:r>
        <w:rPr>
          <w:rFonts w:ascii="Arial" w:hAnsi="Arial"/>
          <w:b w:val="0"/>
          <w:i w:val="0"/>
          <w:sz w:val="22"/>
        </w:rPr>
        <w:t xml:space="preserve"> plus optional document versions (</w:t>
      </w:r>
      <w:r>
        <w:rPr>
          <w:rFonts w:ascii="Consolas" w:hAnsi="Consolas"/>
          <w:b w:val="0"/>
          <w:i w:val="0"/>
          <w:sz w:val="20"/>
        </w:rPr>
        <w:t>src/inv_man_intake/intake/integration.py:41-192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 xml:space="preserve">Packet assembly — </w:t>
      </w:r>
      <w:r>
        <w:rPr>
          <w:rFonts w:ascii="Consolas" w:hAnsi="Consolas"/>
          <w:b/>
          <w:i w:val="0"/>
          <w:sz w:val="20"/>
        </w:rPr>
        <w:t>ingest_packet</w:t>
      </w:r>
      <w:r>
        <w:rPr>
          <w:rFonts w:ascii="Arial" w:hAnsi="Arial"/>
          <w:b/>
          <w:i w:val="0"/>
          <w:sz w:val="22"/>
        </w:rPr>
        <w:t>.</w:t>
      </w:r>
      <w:r>
        <w:rPr>
          <w:rFonts w:ascii="Arial" w:hAnsi="Arial"/>
          <w:b w:val="0"/>
          <w:i w:val="0"/>
          <w:sz w:val="22"/>
        </w:rPr>
        <w:t xml:space="preserve"> Consumes </w:t>
      </w:r>
      <w:r>
        <w:rPr>
          <w:rFonts w:ascii="Consolas" w:hAnsi="Consolas"/>
          <w:b w:val="0"/>
          <w:i w:val="0"/>
          <w:sz w:val="20"/>
        </w:rPr>
        <w:t>PacketFile</w:t>
      </w:r>
      <w:r>
        <w:rPr>
          <w:rFonts w:ascii="Arial" w:hAnsi="Arial"/>
          <w:b w:val="0"/>
          <w:i w:val="0"/>
          <w:sz w:val="22"/>
        </w:rPr>
        <w:t xml:space="preserve"> bytes and a service; classifies, checks coverage, reconciles, and returns a </w:t>
      </w:r>
      <w:r>
        <w:rPr>
          <w:rFonts w:ascii="Consolas" w:hAnsi="Consolas"/>
          <w:b w:val="0"/>
          <w:i w:val="0"/>
          <w:sz w:val="20"/>
        </w:rPr>
        <w:t>ManagerProfile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src/inv_man_intake/packet.py:29-147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 xml:space="preserve">Extraction boundary — </w:t>
      </w:r>
      <w:r>
        <w:rPr>
          <w:rFonts w:ascii="Consolas" w:hAnsi="Consolas"/>
          <w:b/>
          <w:i w:val="0"/>
          <w:sz w:val="20"/>
        </w:rPr>
        <w:t>ExtractionOrchestrator</w:t>
      </w:r>
      <w:r>
        <w:rPr>
          <w:rFonts w:ascii="Arial" w:hAnsi="Arial"/>
          <w:b/>
          <w:i w:val="0"/>
          <w:sz w:val="22"/>
        </w:rPr>
        <w:t>.</w:t>
      </w:r>
      <w:r>
        <w:rPr>
          <w:rFonts w:ascii="Arial" w:hAnsi="Arial"/>
          <w:b w:val="0"/>
          <w:i w:val="0"/>
          <w:sz w:val="22"/>
        </w:rPr>
        <w:t xml:space="preserve"> Bounded primary/fallback attempts create correlation and escalation records; add providers here (</w:t>
      </w:r>
      <w:r>
        <w:rPr>
          <w:rFonts w:ascii="Consolas" w:hAnsi="Consolas"/>
          <w:b w:val="0"/>
          <w:i w:val="0"/>
          <w:sz w:val="20"/>
        </w:rPr>
        <w:t>src/inv_man_intake/extraction/orchestrator.py:65-128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Current parsers.</w:t>
      </w:r>
      <w:r>
        <w:rPr>
          <w:rFonts w:ascii="Arial" w:hAnsi="Arial"/>
          <w:b w:val="0"/>
          <w:i w:val="0"/>
          <w:sz w:val="22"/>
        </w:rPr>
        <w:t xml:space="preserve"> PDF/PPTX providers emit canonical fields, page/slide provenance, and snippets, but are explicitly fixture-oriented (</w:t>
      </w:r>
      <w:r>
        <w:rPr>
          <w:rFonts w:ascii="Consolas" w:hAnsi="Consolas"/>
          <w:b w:val="0"/>
          <w:i w:val="0"/>
          <w:sz w:val="20"/>
        </w:rPr>
        <w:t>src/inv_man_intake/extraction/providers/pdf_primary.py:20-83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src/inv_man_intake/extraction/providers/pptx_primary.py:24-86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Confidence gate.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evaluate_thresholds</w:t>
      </w:r>
      <w:r>
        <w:rPr>
          <w:rFonts w:ascii="Arial" w:hAnsi="Arial"/>
          <w:b w:val="0"/>
          <w:i w:val="0"/>
          <w:sz w:val="22"/>
        </w:rPr>
        <w:t xml:space="preserve"> selects highest-confidence duplicates and escalates missing, low-confidence or duplicate mandatory facts (</w:t>
      </w:r>
      <w:r>
        <w:rPr>
          <w:rFonts w:ascii="Consolas" w:hAnsi="Consolas"/>
          <w:b w:val="0"/>
          <w:i w:val="0"/>
          <w:sz w:val="20"/>
        </w:rPr>
        <w:t>src/inv_man_intake/extraction/confidence.py:232-288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Performance path.</w:t>
      </w:r>
      <w:r>
        <w:rPr>
          <w:rFonts w:ascii="Arial" w:hAnsi="Arial"/>
          <w:b w:val="0"/>
          <w:i w:val="0"/>
          <w:sz w:val="22"/>
        </w:rPr>
        <w:t xml:space="preserve"> Normalization, conflict resolution, metrics and human confirmation are separate; V1 supplies synthetic series (</w:t>
      </w:r>
      <w:r>
        <w:rPr>
          <w:rFonts w:ascii="Consolas" w:hAnsi="Consolas"/>
          <w:b w:val="0"/>
          <w:i w:val="0"/>
          <w:sz w:val="20"/>
        </w:rPr>
        <w:t>src/inv_man_intake/v1_smoke.py:274-333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Scoring.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compute_score</w:t>
      </w:r>
      <w:r>
        <w:rPr>
          <w:rFonts w:ascii="Arial" w:hAnsi="Arial"/>
          <w:b w:val="0"/>
          <w:i w:val="0"/>
          <w:sz w:val="22"/>
        </w:rPr>
        <w:t xml:space="preserve"> consumes TOML-backed asset-class weights; </w:t>
      </w:r>
      <w:r>
        <w:rPr>
          <w:rFonts w:ascii="Consolas" w:hAnsi="Consolas"/>
          <w:b w:val="0"/>
          <w:i w:val="0"/>
          <w:sz w:val="20"/>
        </w:rPr>
        <w:t>build_explainability_payload</w:t>
      </w:r>
      <w:r>
        <w:rPr>
          <w:rFonts w:ascii="Arial" w:hAnsi="Arial"/>
          <w:b w:val="0"/>
          <w:i w:val="0"/>
          <w:sz w:val="22"/>
        </w:rPr>
        <w:t xml:space="preserve"> formats contributions (</w:t>
      </w:r>
      <w:r>
        <w:rPr>
          <w:rFonts w:ascii="Consolas" w:hAnsi="Consolas"/>
          <w:b w:val="0"/>
          <w:i w:val="0"/>
          <w:sz w:val="20"/>
        </w:rPr>
        <w:t>src/inv_man_intake/v1_smoke.py:325-342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Versions/provenance.</w:t>
      </w:r>
      <w:r>
        <w:rPr>
          <w:rFonts w:ascii="Arial" w:hAnsi="Arial"/>
          <w:b w:val="0"/>
          <w:i w:val="0"/>
          <w:sz w:val="22"/>
        </w:rPr>
        <w:t xml:space="preserve"> Filesystem storage hashes bytes and atomically indexes idempotent versions; SQLite records fields and corrections (</w:t>
      </w:r>
      <w:r>
        <w:rPr>
          <w:rFonts w:ascii="Consolas" w:hAnsi="Consolas"/>
          <w:b w:val="0"/>
          <w:i w:val="0"/>
          <w:sz w:val="20"/>
        </w:rPr>
        <w:t>src/inv_man_intake/storage/document_store.py:104-194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src/inv_man_intake/data/repository.py:306-357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Artifacts.</w:t>
      </w:r>
      <w:r>
        <w:rPr>
          <w:rFonts w:ascii="Arial" w:hAnsi="Arial"/>
          <w:b w:val="0"/>
          <w:i w:val="0"/>
          <w:sz w:val="22"/>
        </w:rPr>
        <w:t xml:space="preserve"> The run writer serializes reports and a hashed manifest—the practical hand-off boundary (</w:t>
      </w:r>
      <w:r>
        <w:rPr>
          <w:rFonts w:ascii="Consolas" w:hAnsi="Consolas"/>
          <w:b w:val="0"/>
          <w:i w:val="0"/>
          <w:sz w:val="20"/>
        </w:rPr>
        <w:t>src/inv_man_intake/run.py:337-363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src/inv_man_intake/run_manifest.py:45-94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5. Data model, identifiers and contracts</w:t>
      </w:r>
    </w:p>
    <w:p>
      <w:r>
        <w:rPr>
          <w:rFonts w:ascii="Arial" w:hAnsi="Arial"/>
          <w:b w:val="0"/>
          <w:i w:val="0"/>
          <w:sz w:val="22"/>
        </w:rPr>
        <w:t xml:space="preserve">The hierarchy is text-keyed </w:t>
      </w:r>
      <w:r>
        <w:rPr>
          <w:rFonts w:ascii="Consolas" w:hAnsi="Consolas"/>
          <w:b w:val="0"/>
          <w:i w:val="0"/>
          <w:sz w:val="20"/>
        </w:rPr>
        <w:t>firms</w:t>
      </w:r>
      <w:r>
        <w:rPr>
          <w:rFonts w:ascii="Arial" w:hAnsi="Arial"/>
          <w:b w:val="0"/>
          <w:i w:val="0"/>
          <w:sz w:val="22"/>
        </w:rPr>
        <w:t xml:space="preserve"> → </w:t>
      </w:r>
      <w:r>
        <w:rPr>
          <w:rFonts w:ascii="Consolas" w:hAnsi="Consolas"/>
          <w:b w:val="0"/>
          <w:i w:val="0"/>
          <w:sz w:val="20"/>
        </w:rPr>
        <w:t>funds</w:t>
      </w:r>
      <w:r>
        <w:rPr>
          <w:rFonts w:ascii="Arial" w:hAnsi="Arial"/>
          <w:b w:val="0"/>
          <w:i w:val="0"/>
          <w:sz w:val="22"/>
        </w:rPr>
        <w:t xml:space="preserve"> → </w:t>
      </w:r>
      <w:r>
        <w:rPr>
          <w:rFonts w:ascii="Consolas" w:hAnsi="Consolas"/>
          <w:b w:val="0"/>
          <w:i w:val="0"/>
          <w:sz w:val="20"/>
        </w:rPr>
        <w:t>documents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src/inv_man_intake/data/repository.py:25-56</w:t>
      </w:r>
      <w:r>
        <w:rPr>
          <w:rFonts w:ascii="Arial" w:hAnsi="Arial"/>
          <w:b w:val="0"/>
          <w:i w:val="0"/>
          <w:sz w:val="22"/>
        </w:rPr>
        <w:t>). Registration derives local firm/fund IDs unless supplied; aliases are JSON (</w:t>
      </w:r>
      <w:r>
        <w:rPr>
          <w:rFonts w:ascii="Consolas" w:hAnsi="Consolas"/>
          <w:b w:val="0"/>
          <w:i w:val="0"/>
          <w:sz w:val="20"/>
        </w:rPr>
        <w:t>src/inv_man_intake/intake/integration.py:92-121</w:t>
      </w:r>
      <w:r>
        <w:rPr>
          <w:rFonts w:ascii="Arial" w:hAnsi="Arial"/>
          <w:b w:val="0"/>
          <w:i w:val="0"/>
          <w:sz w:val="22"/>
        </w:rPr>
        <w:t>). Documents carry SHA-256 and dates; versions are chronological by fund/file, while file storage versions bytes by hash and receipt time (</w:t>
      </w:r>
      <w:r>
        <w:rPr>
          <w:rFonts w:ascii="Consolas" w:hAnsi="Consolas"/>
          <w:b w:val="0"/>
          <w:i w:val="0"/>
          <w:sz w:val="20"/>
        </w:rPr>
        <w:t>src/inv_man_intake/data/repository.py:255-276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src/inv_man_intake/storage/document_store.py:121-152</w:t>
      </w:r>
      <w:r>
        <w:rPr>
          <w:rFonts w:ascii="Arial" w:hAnsi="Arial"/>
          <w:b w:val="0"/>
          <w:i w:val="0"/>
          <w:sz w:val="22"/>
        </w:rPr>
        <w:t>). Fields carry document/page/snippet; corrections append (</w:t>
      </w:r>
      <w:r>
        <w:rPr>
          <w:rFonts w:ascii="Consolas" w:hAnsi="Consolas"/>
          <w:b w:val="0"/>
          <w:i w:val="0"/>
          <w:sz w:val="20"/>
        </w:rPr>
        <w:t>src/inv_man_intake/data/provenance.py:8-31</w:t>
      </w:r>
      <w:r>
        <w:rPr>
          <w:rFonts w:ascii="Arial" w:hAnsi="Arial"/>
          <w:b w:val="0"/>
          <w:i w:val="0"/>
          <w:sz w:val="22"/>
        </w:rPr>
        <w:t>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Contract/object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Code emits or consumes it?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/>
                <w:i w:val="0"/>
                <w:sz w:val="22"/>
              </w:rPr>
              <w:t>Reality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intake_contract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Consumed by </w:t>
            </w:r>
            <w:r>
              <w:rPr>
                <w:rFonts w:ascii="Consolas" w:hAnsi="Consolas"/>
                <w:b w:val="0"/>
                <w:i w:val="0"/>
                <w:sz w:val="20"/>
              </w:rPr>
              <w:t>validate_intake_payload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in registration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Working local validation (</w:t>
            </w:r>
            <w:r>
              <w:rPr>
                <w:rFonts w:ascii="Consolas" w:hAnsi="Consolas"/>
                <w:b w:val="0"/>
                <w:i w:val="0"/>
                <w:sz w:val="20"/>
              </w:rPr>
              <w:t>src/inv_man_intake/intake/integration.py:41-90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Core schema/provenance history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Emitted to SQLite only when caller supplies a repository/store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Working optional persistence; normal CLI uses memory objects (</w:t>
            </w:r>
            <w:r>
              <w:rPr>
                <w:rFonts w:ascii="Consolas" w:hAnsi="Consolas"/>
                <w:b w:val="0"/>
                <w:i w:val="0"/>
                <w:sz w:val="20"/>
              </w:rPr>
              <w:t>src/inv_man_intake/v1_smoke.py:180-193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run-contract/v1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Emitted by </w:t>
            </w:r>
            <w:r>
              <w:rPr>
                <w:rFonts w:ascii="Consolas" w:hAnsi="Consolas"/>
                <w:b w:val="0"/>
                <w:i w:val="0"/>
                <w:sz w:val="20"/>
              </w:rPr>
              <w:t>RunResult.to_json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Partial: it emits envelope fields, identity refs and page pointers (</w:t>
            </w:r>
            <w:r>
              <w:rPr>
                <w:rFonts w:ascii="Consolas" w:hAnsi="Consolas"/>
                <w:b w:val="0"/>
                <w:i w:val="0"/>
                <w:sz w:val="20"/>
              </w:rPr>
              <w:t>src/inv_man_intake/run.py:75-130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artifact-manifest/v1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Emitted by </w:t>
            </w:r>
            <w:r>
              <w:rPr>
                <w:rFonts w:ascii="Consolas" w:hAnsi="Consolas"/>
                <w:b w:val="0"/>
                <w:i w:val="0"/>
                <w:sz w:val="20"/>
              </w:rPr>
              <w:t>build_manifest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Working, including hash/size (</w:t>
            </w:r>
            <w:r>
              <w:rPr>
                <w:rFonts w:ascii="Consolas" w:hAnsi="Consolas"/>
                <w:b w:val="0"/>
                <w:i w:val="0"/>
                <w:sz w:val="20"/>
              </w:rPr>
              <w:t>src/inv_man_intake/run_manifest.py:45-94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evidence-object/v1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Documented only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 xml:space="preserve">No emitter creates objects with required </w:t>
            </w:r>
            <w:r>
              <w:rPr>
                <w:rFonts w:ascii="Consolas" w:hAnsi="Consolas"/>
                <w:b w:val="0"/>
                <w:i w:val="0"/>
                <w:sz w:val="20"/>
              </w:rPr>
              <w:t>evidence_id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method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and </w:t>
            </w:r>
            <w:r>
              <w:rPr>
                <w:rFonts w:ascii="Consolas" w:hAnsi="Consolas"/>
                <w:b w:val="0"/>
                <w:i w:val="0"/>
                <w:sz w:val="20"/>
              </w:rPr>
              <w:t>excerpt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; current </w:t>
            </w:r>
            <w:r>
              <w:rPr>
                <w:rFonts w:ascii="Consolas" w:hAnsi="Consolas"/>
                <w:b w:val="0"/>
                <w:i w:val="0"/>
                <w:sz w:val="20"/>
              </w:rPr>
              <w:t>evidence_refs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are strings (</w:t>
            </w:r>
            <w:r>
              <w:rPr>
                <w:rFonts w:ascii="Consolas" w:hAnsi="Consolas"/>
                <w:b w:val="0"/>
                <w:i w:val="0"/>
                <w:sz w:val="20"/>
              </w:rPr>
              <w:t>docs/contracts/schemas/evidence-object-v1.schema.json:8-53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src/inv_man_intake/run.py:113-123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  <w:tr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Identity-map convention</w:t>
            </w:r>
          </w:p>
        </w:tc>
        <w:tc>
          <w:tcPr>
            <w:tcW w:type="dxa" w:w="3216"/>
          </w:tcPr>
          <w:p>
            <w:r/>
            <w:r>
              <w:rPr>
                <w:rFonts w:ascii="Arial" w:hAnsi="Arial"/>
                <w:b w:val="0"/>
                <w:i w:val="0"/>
                <w:sz w:val="22"/>
              </w:rPr>
              <w:t>Partially emitted; not resolved against an authority</w:t>
            </w:r>
          </w:p>
        </w:tc>
        <w:tc>
          <w:tcPr>
            <w:tcW w:type="dxa" w:w="3216"/>
          </w:tcPr>
          <w:p>
            <w:r/>
            <w:r>
              <w:rPr>
                <w:rFonts w:ascii="Consolas" w:hAnsi="Consolas"/>
                <w:b w:val="0"/>
                <w:i w:val="0"/>
                <w:sz w:val="20"/>
              </w:rPr>
              <w:t>run.json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emits </w:t>
            </w:r>
            <w:r>
              <w:rPr>
                <w:rFonts w:ascii="Consolas" w:hAnsi="Consolas"/>
                <w:b w:val="0"/>
                <w:i w:val="0"/>
                <w:sz w:val="20"/>
              </w:rPr>
              <w:t>firm: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and </w:t>
            </w:r>
            <w:r>
              <w:rPr>
                <w:rFonts w:ascii="Consolas" w:hAnsi="Consolas"/>
                <w:b w:val="0"/>
                <w:i w:val="0"/>
                <w:sz w:val="20"/>
              </w:rPr>
              <w:t>fund: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 values, but no alias-resolution/backplane adapter consumes canonical forwarded IDs (</w:t>
            </w:r>
            <w:r>
              <w:rPr>
                <w:rFonts w:ascii="Consolas" w:hAnsi="Consolas"/>
                <w:b w:val="0"/>
                <w:i w:val="0"/>
                <w:sz w:val="20"/>
              </w:rPr>
              <w:t>src/inv_man_intake/run.py:120-123</w:t>
            </w:r>
            <w:r>
              <w:rPr>
                <w:rFonts w:ascii="Arial" w:hAnsi="Arial"/>
                <w:b w:val="0"/>
                <w:i w:val="0"/>
                <w:sz w:val="22"/>
              </w:rPr>
              <w:t xml:space="preserve">, </w:t>
            </w:r>
            <w:r>
              <w:rPr>
                <w:rFonts w:ascii="Consolas" w:hAnsi="Consolas"/>
                <w:b w:val="0"/>
                <w:i w:val="0"/>
                <w:sz w:val="20"/>
              </w:rPr>
              <w:t>docs/contracts/identity-map-conventions.md:42-132</w:t>
            </w:r>
            <w:r>
              <w:rPr>
                <w:rFonts w:ascii="Arial" w:hAnsi="Arial"/>
                <w:b w:val="0"/>
                <w:i w:val="0"/>
                <w:sz w:val="22"/>
              </w:rPr>
              <w:t>).</w:t>
            </w:r>
          </w:p>
        </w:tc>
      </w:tr>
    </w:tbl>
    <w:p/>
    <w:p>
      <w:pPr>
        <w:pStyle w:val="Heading2"/>
      </w:pPr>
      <w:r>
        <w:rPr>
          <w:rFonts w:ascii="Arial" w:hAnsi="Arial"/>
          <w:b/>
          <w:sz w:val="26"/>
        </w:rPr>
        <w:t>6. External inputs and dependencies</w:t>
      </w:r>
    </w:p>
    <w:p>
      <w:r>
        <w:rPr>
          <w:rFonts w:ascii="Arial" w:hAnsi="Arial"/>
          <w:b w:val="0"/>
          <w:i w:val="0"/>
          <w:sz w:val="22"/>
        </w:rPr>
        <w:t>Inputs are JSON bundles and local files. The contract permits PDF, PPTX, XLSX, DOCX and email notes, but included parsers are narrow PDF/PPTX; Docling is optional (</w:t>
      </w:r>
      <w:r>
        <w:rPr>
          <w:rFonts w:ascii="Consolas" w:hAnsi="Consolas"/>
          <w:b w:val="0"/>
          <w:i w:val="0"/>
          <w:sz w:val="20"/>
        </w:rPr>
        <w:t>README.md:11-20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src/inv_man_intake/extraction/providers/docling_primary.py:16-88</w:t>
      </w:r>
      <w:r>
        <w:rPr>
          <w:rFonts w:ascii="Arial" w:hAnsi="Arial"/>
          <w:b w:val="0"/>
          <w:i w:val="0"/>
          <w:sz w:val="22"/>
        </w:rPr>
        <w:t>). SQLite and ordinary files are its persistence; no Docker, server, FastAPI or database server is required. The static app needs local HTTP to fetch Pyodide (</w:t>
      </w:r>
      <w:r>
        <w:rPr>
          <w:rFonts w:ascii="Consolas" w:hAnsi="Consolas"/>
          <w:b w:val="0"/>
          <w:i w:val="0"/>
          <w:sz w:val="20"/>
        </w:rPr>
        <w:t>README.md:50-58</w:t>
      </w:r>
      <w:r>
        <w:rPr>
          <w:rFonts w:ascii="Arial" w:hAnsi="Arial"/>
          <w:b w:val="0"/>
          <w:i w:val="0"/>
          <w:sz w:val="22"/>
        </w:rPr>
        <w:t>).</w:t>
      </w:r>
    </w:p>
    <w:p>
      <w:r>
        <w:rPr>
          <w:rFonts w:ascii="Arial" w:hAnsi="Arial"/>
          <w:b w:val="0"/>
          <w:i w:val="0"/>
          <w:sz w:val="22"/>
        </w:rPr>
        <w:t xml:space="preserve">Python 3.12+, </w:t>
      </w:r>
      <w:r>
        <w:rPr>
          <w:rFonts w:ascii="Consolas" w:hAnsi="Consolas"/>
          <w:b w:val="0"/>
          <w:i w:val="0"/>
          <w:sz w:val="20"/>
        </w:rPr>
        <w:t>openpyxl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langsmith</w:t>
      </w:r>
      <w:r>
        <w:rPr>
          <w:rFonts w:ascii="Arial" w:hAnsi="Arial"/>
          <w:b w:val="0"/>
          <w:i w:val="0"/>
          <w:sz w:val="22"/>
        </w:rPr>
        <w:t>, and shared PDF extraction are declared (</w:t>
      </w:r>
      <w:r>
        <w:rPr>
          <w:rFonts w:ascii="Consolas" w:hAnsi="Consolas"/>
          <w:b w:val="0"/>
          <w:i w:val="0"/>
          <w:sz w:val="20"/>
        </w:rPr>
        <w:t>pyproject.toml:5-46</w:t>
      </w:r>
      <w:r>
        <w:rPr>
          <w:rFonts w:ascii="Arial" w:hAnsi="Arial"/>
          <w:b w:val="0"/>
          <w:i w:val="0"/>
          <w:sz w:val="22"/>
        </w:rPr>
        <w:t>). LangSmith is optional; no key means in-memory tracing (</w:t>
      </w:r>
      <w:r>
        <w:rPr>
          <w:rFonts w:ascii="Consolas" w:hAnsi="Consolas"/>
          <w:b w:val="0"/>
          <w:i w:val="0"/>
          <w:sz w:val="20"/>
        </w:rPr>
        <w:t>src/inv_man_intake/v1_smoke.py:409-433</w:t>
      </w:r>
      <w:r>
        <w:rPr>
          <w:rFonts w:ascii="Arial" w:hAnsi="Arial"/>
          <w:b w:val="0"/>
          <w:i w:val="0"/>
          <w:sz w:val="22"/>
        </w:rPr>
        <w:t>). The LLM assistant requires consent and injected client and is not wired to a surface (</w:t>
      </w:r>
      <w:r>
        <w:rPr>
          <w:rFonts w:ascii="Consolas" w:hAnsi="Consolas"/>
          <w:b w:val="0"/>
          <w:i w:val="0"/>
          <w:sz w:val="20"/>
        </w:rPr>
        <w:t>src/inv_man_intake/assist/intake_assistant.py:171-219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7. Current state</w:t>
      </w:r>
    </w:p>
    <w:p>
      <w:r>
        <w:rPr>
          <w:rFonts w:ascii="Arial" w:hAnsi="Arial"/>
          <w:b w:val="0"/>
          <w:i w:val="0"/>
          <w:sz w:val="22"/>
        </w:rPr>
        <w:t>The package labels itself alpha (</w:t>
      </w:r>
      <w:r>
        <w:rPr>
          <w:rFonts w:ascii="Consolas" w:hAnsi="Consolas"/>
          <w:b w:val="0"/>
          <w:i w:val="0"/>
          <w:sz w:val="20"/>
        </w:rPr>
        <w:t>pyproject.toml:15-22</w:t>
      </w:r>
      <w:r>
        <w:rPr>
          <w:rFonts w:ascii="Arial" w:hAnsi="Arial"/>
          <w:b w:val="0"/>
          <w:i w:val="0"/>
          <w:sz w:val="22"/>
        </w:rPr>
        <w:t>). Gate: pytest with 80% branch coverage, Ruff and strict mypy (</w:t>
      </w:r>
      <w:r>
        <w:rPr>
          <w:rFonts w:ascii="Consolas" w:hAnsi="Consolas"/>
          <w:b w:val="0"/>
          <w:i w:val="0"/>
          <w:sz w:val="20"/>
        </w:rPr>
        <w:t>pyproject.toml:62-117</w:t>
      </w:r>
      <w:r>
        <w:rPr>
          <w:rFonts w:ascii="Arial" w:hAnsi="Arial"/>
          <w:b w:val="0"/>
          <w:i w:val="0"/>
          <w:sz w:val="22"/>
        </w:rPr>
        <w:t xml:space="preserve">). Here, targeted acceptance, static-bundle and manifest tests passed: </w:t>
      </w:r>
      <w:r>
        <w:rPr>
          <w:rFonts w:ascii="Arial" w:hAnsi="Arial"/>
          <w:b/>
          <w:i w:val="0"/>
          <w:sz w:val="22"/>
        </w:rPr>
        <w:t>23 passed in 0.49s</w:t>
      </w:r>
      <w:r>
        <w:rPr>
          <w:rFonts w:ascii="Arial" w:hAnsi="Arial"/>
          <w:b w:val="0"/>
          <w:i w:val="0"/>
          <w:sz w:val="22"/>
        </w:rPr>
        <w:t>—deterministic wiring, not production document handling (full suite: 116 test modules, 856 tests). Usable: local validation, explicitly configured local persistence, narrow PDF/PPTX extraction, scoring and hashed artifacts. Partial: real multi-format extraction, durable queue, browser upload and capacity evidence. Gaps: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The main CLI executes </w:t>
      </w:r>
      <w:r>
        <w:rPr>
          <w:rFonts w:ascii="Consolas" w:hAnsi="Consolas"/>
          <w:b w:val="0"/>
          <w:i w:val="0"/>
          <w:sz w:val="20"/>
        </w:rPr>
        <w:t>_run_pipeline_core</w:t>
      </w:r>
      <w:r>
        <w:rPr>
          <w:rFonts w:ascii="Arial" w:hAnsi="Arial"/>
          <w:b w:val="0"/>
          <w:i w:val="0"/>
          <w:sz w:val="22"/>
        </w:rPr>
        <w:t>, which creates in-memory SQLite and an in-memory document store (</w:t>
      </w:r>
      <w:r>
        <w:rPr>
          <w:rFonts w:ascii="Consolas" w:hAnsi="Consolas"/>
          <w:b w:val="0"/>
          <w:i w:val="0"/>
          <w:sz w:val="20"/>
        </w:rPr>
        <w:t>src/inv_man_intake/run.py:157-165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src/inv_man_intake/v1_smoke.py:180-193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Default durable registration hashes synthesized placeholder content unless a filesystem resolver is supplied (</w:t>
      </w:r>
      <w:r>
        <w:rPr>
          <w:rFonts w:ascii="Consolas" w:hAnsi="Consolas"/>
          <w:b w:val="0"/>
          <w:i w:val="0"/>
          <w:sz w:val="20"/>
        </w:rPr>
        <w:t>docs/runbooks/ingestion_lifecycle.md:68-103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PDF parsing is explicitly unsuitable for production OCR/layout reconstruction (</w:t>
      </w:r>
      <w:r>
        <w:rPr>
          <w:rFonts w:ascii="Consolas" w:hAnsi="Consolas"/>
          <w:b w:val="0"/>
          <w:i w:val="0"/>
          <w:sz w:val="20"/>
        </w:rPr>
        <w:t>src/inv_man_intake/extraction/providers/pdf_primary.py:20-26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The standard-elements library is a non-authoritative stub and standardness always returns </w:t>
      </w:r>
      <w:r>
        <w:rPr>
          <w:rFonts w:ascii="Consolas" w:hAnsi="Consolas"/>
          <w:b w:val="0"/>
          <w:i w:val="0"/>
          <w:sz w:val="20"/>
        </w:rPr>
        <w:t>unknown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docs/contracts/standard_element_library.md:3-35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 xml:space="preserve">Localhost and remote extraction transports deliberately raise </w:t>
      </w:r>
      <w:r>
        <w:rPr>
          <w:rFonts w:ascii="Consolas" w:hAnsi="Consolas"/>
          <w:b w:val="0"/>
          <w:i w:val="0"/>
          <w:sz w:val="20"/>
        </w:rPr>
        <w:t>NotImplementedError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src/inv_man_intake/extraction/service.py:59-70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Throughput is explicitly a fixture-only lower bound that excludes real extraction and IO (</w:t>
      </w:r>
      <w:r>
        <w:rPr>
          <w:rFonts w:ascii="Consolas" w:hAnsi="Consolas"/>
          <w:b w:val="0"/>
          <w:i w:val="0"/>
          <w:sz w:val="20"/>
        </w:rPr>
        <w:t>README.md:117-119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V1 uses a hard-coded analyst and synthetic performance series (</w:t>
      </w:r>
      <w:r>
        <w:rPr>
          <w:rFonts w:ascii="Consolas" w:hAnsi="Consolas"/>
          <w:b w:val="0"/>
          <w:i w:val="0"/>
          <w:sz w:val="20"/>
        </w:rPr>
        <w:t>src/inv_man_intake/v1_smoke.py:274-308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8. Claims vs reality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Claim:</w:t>
      </w:r>
      <w:r>
        <w:rPr>
          <w:rFonts w:ascii="Arial" w:hAnsi="Arial"/>
          <w:b w:val="0"/>
          <w:i w:val="0"/>
          <w:sz w:val="22"/>
        </w:rPr>
        <w:t xml:space="preserve"> intake contract validation covers PDF, PPTX, XLSX, Word, and email notes (</w:t>
      </w:r>
      <w:r>
        <w:rPr>
          <w:rFonts w:ascii="Consolas" w:hAnsi="Consolas"/>
          <w:b w:val="0"/>
          <w:i w:val="0"/>
          <w:sz w:val="20"/>
        </w:rPr>
        <w:t>README.md:11-20</w:t>
      </w:r>
      <w:r>
        <w:rPr>
          <w:rFonts w:ascii="Arial" w:hAnsi="Arial"/>
          <w:b w:val="0"/>
          <w:i w:val="0"/>
          <w:sz w:val="22"/>
        </w:rPr>
        <w:t xml:space="preserve">). </w:t>
      </w:r>
      <w:r>
        <w:rPr>
          <w:rFonts w:ascii="Arial" w:hAnsi="Arial"/>
          <w:b/>
          <w:i w:val="0"/>
          <w:sz w:val="22"/>
        </w:rPr>
        <w:t>Reality:</w:t>
      </w:r>
      <w:r>
        <w:rPr>
          <w:rFonts w:ascii="Arial" w:hAnsi="Arial"/>
          <w:b w:val="0"/>
          <w:i w:val="0"/>
          <w:sz w:val="22"/>
        </w:rPr>
        <w:t xml:space="preserve"> intake metadata validation indeed accepts all five formats (</w:t>
      </w:r>
      <w:r>
        <w:rPr>
          <w:rFonts w:ascii="Consolas" w:hAnsi="Consolas"/>
          <w:b w:val="0"/>
          <w:i w:val="0"/>
          <w:sz w:val="20"/>
        </w:rPr>
        <w:t>docs/contracts/intake_contract.md:41-47</w:t>
      </w:r>
      <w:r>
        <w:rPr>
          <w:rFonts w:ascii="Arial" w:hAnsi="Arial"/>
          <w:b w:val="0"/>
          <w:i w:val="0"/>
          <w:sz w:val="22"/>
        </w:rPr>
        <w:t xml:space="preserve">), but end-to-end extraction is strictly narrower: </w:t>
      </w:r>
      <w:r>
        <w:rPr>
          <w:rFonts w:ascii="Consolas" w:hAnsi="Consolas"/>
          <w:b w:val="0"/>
          <w:i w:val="0"/>
          <w:sz w:val="20"/>
        </w:rPr>
        <w:t>v1_smoke</w:t>
      </w:r>
      <w:r>
        <w:rPr>
          <w:rFonts w:ascii="Arial" w:hAnsi="Arial"/>
          <w:b w:val="0"/>
          <w:i w:val="0"/>
          <w:sz w:val="22"/>
        </w:rPr>
        <w:t xml:space="preserve"> only executes extraction for PDF/PPTX inputs and treats a named XLSX fixture as a boundary (</w:t>
      </w:r>
      <w:r>
        <w:rPr>
          <w:rFonts w:ascii="Consolas" w:hAnsi="Consolas"/>
          <w:b w:val="0"/>
          <w:i w:val="0"/>
          <w:sz w:val="20"/>
        </w:rPr>
        <w:t>src/inv_man_intake/v1_smoke.py:215-233</w:t>
      </w:r>
      <w:r>
        <w:rPr>
          <w:rFonts w:ascii="Arial" w:hAnsi="Arial"/>
          <w:b w:val="0"/>
          <w:i w:val="0"/>
          <w:sz w:val="22"/>
        </w:rPr>
        <w:t>). Arbitrary XLSX, Word, and email notes are not extracted by default providers.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Claim:</w:t>
      </w:r>
      <w:r>
        <w:rPr>
          <w:rFonts w:ascii="Arial" w:hAnsi="Arial"/>
          <w:b w:val="0"/>
          <w:i w:val="0"/>
          <w:sz w:val="22"/>
        </w:rPr>
        <w:t xml:space="preserve"> </w:t>
      </w:r>
      <w:r>
        <w:rPr>
          <w:rFonts w:ascii="Consolas" w:hAnsi="Consolas"/>
          <w:b w:val="0"/>
          <w:i w:val="0"/>
          <w:sz w:val="20"/>
        </w:rPr>
        <w:t>inv-man-ingest</w:t>
      </w:r>
      <w:r>
        <w:rPr>
          <w:rFonts w:ascii="Arial" w:hAnsi="Arial"/>
          <w:b w:val="0"/>
          <w:i w:val="0"/>
          <w:sz w:val="22"/>
        </w:rPr>
        <w:t xml:space="preserve"> is production headless (</w:t>
      </w:r>
      <w:r>
        <w:rPr>
          <w:rFonts w:ascii="Consolas" w:hAnsi="Consolas"/>
          <w:b w:val="0"/>
          <w:i w:val="0"/>
          <w:sz w:val="20"/>
        </w:rPr>
        <w:t>docs/runbooks/headless_ingest.md:1-18</w:t>
      </w:r>
      <w:r>
        <w:rPr>
          <w:rFonts w:ascii="Arial" w:hAnsi="Arial"/>
          <w:b w:val="0"/>
          <w:i w:val="0"/>
          <w:sz w:val="22"/>
        </w:rPr>
        <w:t xml:space="preserve">). </w:t>
      </w:r>
      <w:r>
        <w:rPr>
          <w:rFonts w:ascii="Arial" w:hAnsi="Arial"/>
          <w:b/>
          <w:i w:val="0"/>
          <w:sz w:val="22"/>
        </w:rPr>
        <w:t>Reality:</w:t>
      </w:r>
      <w:r>
        <w:rPr>
          <w:rFonts w:ascii="Arial" w:hAnsi="Arial"/>
          <w:b w:val="0"/>
          <w:i w:val="0"/>
          <w:sz w:val="22"/>
        </w:rPr>
        <w:t xml:space="preserve"> it delegates to </w:t>
      </w:r>
      <w:r>
        <w:rPr>
          <w:rFonts w:ascii="Consolas" w:hAnsi="Consolas"/>
          <w:b w:val="0"/>
          <w:i w:val="0"/>
          <w:sz w:val="20"/>
        </w:rPr>
        <w:t>v1_smoke._run_pipeline_core</w:t>
      </w:r>
      <w:r>
        <w:rPr>
          <w:rFonts w:ascii="Arial" w:hAnsi="Arial"/>
          <w:b w:val="0"/>
          <w:i w:val="0"/>
          <w:sz w:val="22"/>
        </w:rPr>
        <w:t>, which instantiates in-memory SQLite and an in-memory document store with synthetic performance series (</w:t>
      </w:r>
      <w:r>
        <w:rPr>
          <w:rFonts w:ascii="Consolas" w:hAnsi="Consolas"/>
          <w:b w:val="0"/>
          <w:i w:val="0"/>
          <w:sz w:val="20"/>
        </w:rPr>
        <w:t>src/inv_man_intake/run.py:157-165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src/inv_man_intake/v1_smoke.py:180-193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Claim:</w:t>
      </w:r>
      <w:r>
        <w:rPr>
          <w:rFonts w:ascii="Arial" w:hAnsi="Arial"/>
          <w:b w:val="0"/>
          <w:i w:val="0"/>
          <w:sz w:val="22"/>
        </w:rPr>
        <w:t xml:space="preserve"> the static SPA is the live operator surface (</w:t>
      </w:r>
      <w:r>
        <w:rPr>
          <w:rFonts w:ascii="Consolas" w:hAnsi="Consolas"/>
          <w:b w:val="0"/>
          <w:i w:val="0"/>
          <w:sz w:val="20"/>
        </w:rPr>
        <w:t>README.md:70-73</w:t>
      </w:r>
      <w:r>
        <w:rPr>
          <w:rFonts w:ascii="Arial" w:hAnsi="Arial"/>
          <w:b w:val="0"/>
          <w:i w:val="0"/>
          <w:sz w:val="22"/>
        </w:rPr>
        <w:t xml:space="preserve">). </w:t>
      </w:r>
      <w:r>
        <w:rPr>
          <w:rFonts w:ascii="Arial" w:hAnsi="Arial"/>
          <w:b/>
          <w:i w:val="0"/>
          <w:sz w:val="22"/>
        </w:rPr>
        <w:t>Reality:</w:t>
      </w:r>
      <w:r>
        <w:rPr>
          <w:rFonts w:ascii="Arial" w:hAnsi="Arial"/>
          <w:b w:val="0"/>
          <w:i w:val="0"/>
          <w:sz w:val="22"/>
        </w:rPr>
        <w:t xml:space="preserve"> it converts uploads to text, then uses fixed keyword rules—not binary-faithful PDF/PPTX ingestion (</w:t>
      </w:r>
      <w:r>
        <w:rPr>
          <w:rFonts w:ascii="Consolas" w:hAnsi="Consolas"/>
          <w:b w:val="0"/>
          <w:i w:val="0"/>
          <w:sz w:val="20"/>
        </w:rPr>
        <w:t>app/static_operator_app.js:458-499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app/pyodide_packet_bridge.py:114-149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Claim:</w:t>
      </w:r>
      <w:r>
        <w:rPr>
          <w:rFonts w:ascii="Arial" w:hAnsi="Arial"/>
          <w:b w:val="0"/>
          <w:i w:val="0"/>
          <w:sz w:val="22"/>
        </w:rPr>
        <w:t xml:space="preserve"> the pipeline emits conformant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 records with evidence references (</w:t>
      </w:r>
      <w:r>
        <w:rPr>
          <w:rFonts w:ascii="Consolas" w:hAnsi="Consolas"/>
          <w:b w:val="0"/>
          <w:i w:val="0"/>
          <w:sz w:val="20"/>
        </w:rPr>
        <w:t>src/inv_man_intake/run.py:79, 113-123</w:t>
      </w:r>
      <w:r>
        <w:rPr>
          <w:rFonts w:ascii="Arial" w:hAnsi="Arial"/>
          <w:b w:val="0"/>
          <w:i w:val="0"/>
          <w:sz w:val="22"/>
        </w:rPr>
        <w:t xml:space="preserve">). </w:t>
      </w:r>
      <w:r>
        <w:rPr>
          <w:rFonts w:ascii="Arial" w:hAnsi="Arial"/>
          <w:b/>
          <w:i w:val="0"/>
          <w:sz w:val="22"/>
        </w:rPr>
        <w:t>Reality:</w:t>
      </w:r>
      <w:r>
        <w:rPr>
          <w:rFonts w:ascii="Arial" w:hAnsi="Arial"/>
          <w:b w:val="0"/>
          <w:i w:val="0"/>
          <w:sz w:val="22"/>
        </w:rPr>
        <w:t xml:space="preserve"> output envelopes populate </w:t>
      </w:r>
      <w:r>
        <w:rPr>
          <w:rFonts w:ascii="Consolas" w:hAnsi="Consolas"/>
          <w:b w:val="0"/>
          <w:i w:val="0"/>
          <w:sz w:val="20"/>
        </w:rPr>
        <w:t>evidence_refs</w:t>
      </w:r>
      <w:r>
        <w:rPr>
          <w:rFonts w:ascii="Arial" w:hAnsi="Arial"/>
          <w:b w:val="0"/>
          <w:i w:val="0"/>
          <w:sz w:val="22"/>
        </w:rPr>
        <w:t xml:space="preserve"> with raw page-pointer strings (</w:t>
      </w:r>
      <w:r>
        <w:rPr>
          <w:rFonts w:ascii="Consolas" w:hAnsi="Consolas"/>
          <w:b w:val="0"/>
          <w:i w:val="0"/>
          <w:sz w:val="20"/>
        </w:rPr>
        <w:t>document:&lt;id&gt;#page=&lt;n&gt;</w:t>
      </w:r>
      <w:r>
        <w:rPr>
          <w:rFonts w:ascii="Arial" w:hAnsi="Arial"/>
          <w:b w:val="0"/>
          <w:i w:val="0"/>
          <w:sz w:val="22"/>
        </w:rPr>
        <w:t xml:space="preserve">) rather than </w:t>
      </w:r>
      <w:r>
        <w:rPr>
          <w:rFonts w:ascii="Consolas" w:hAnsi="Consolas"/>
          <w:b w:val="0"/>
          <w:i w:val="0"/>
          <w:sz w:val="20"/>
        </w:rPr>
        <w:t>evidence_id</w:t>
      </w:r>
      <w:r>
        <w:rPr>
          <w:rFonts w:ascii="Arial" w:hAnsi="Arial"/>
          <w:b w:val="0"/>
          <w:i w:val="0"/>
          <w:sz w:val="22"/>
        </w:rPr>
        <w:t xml:space="preserve"> references pointing to validated </w:t>
      </w:r>
      <w:r>
        <w:rPr>
          <w:rFonts w:ascii="Consolas" w:hAnsi="Consolas"/>
          <w:b w:val="0"/>
          <w:i w:val="0"/>
          <w:sz w:val="20"/>
        </w:rPr>
        <w:t>evidence-object/v1</w:t>
      </w:r>
      <w:r>
        <w:rPr>
          <w:rFonts w:ascii="Arial" w:hAnsi="Arial"/>
          <w:b w:val="0"/>
          <w:i w:val="0"/>
          <w:sz w:val="22"/>
        </w:rPr>
        <w:t xml:space="preserve"> records with mandatory excerpts and extraction methods (</w:t>
      </w:r>
      <w:r>
        <w:rPr>
          <w:rFonts w:ascii="Consolas" w:hAnsi="Consolas"/>
          <w:b w:val="0"/>
          <w:i w:val="0"/>
          <w:sz w:val="20"/>
        </w:rPr>
        <w:t>docs/contracts/schemas/evidence-object-v1.schema.json:8-53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docs/contracts/run-contract-v1.md:15-17, 156-159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9. Interoperability hooks (for the fleet program)</w:t>
      </w:r>
    </w:p>
    <w:p>
      <w:r>
        <w:rPr>
          <w:rFonts w:ascii="Arial" w:hAnsi="Arial"/>
          <w:b w:val="0"/>
          <w:i w:val="0"/>
          <w:sz w:val="22"/>
        </w:rPr>
        <w:t xml:space="preserve">This repo can offer: </w:t>
      </w:r>
      <w:r>
        <w:rPr>
          <w:rFonts w:ascii="Consolas" w:hAnsi="Consolas"/>
          <w:b w:val="0"/>
          <w:i w:val="0"/>
          <w:sz w:val="20"/>
        </w:rPr>
        <w:t>run-contract/v1</w:t>
      </w:r>
      <w:r>
        <w:rPr>
          <w:rFonts w:ascii="Arial" w:hAnsi="Arial"/>
          <w:b w:val="0"/>
          <w:i w:val="0"/>
          <w:sz w:val="22"/>
        </w:rPr>
        <w:t xml:space="preserve"> envelopes, </w:t>
      </w:r>
      <w:r>
        <w:rPr>
          <w:rFonts w:ascii="Consolas" w:hAnsi="Consolas"/>
          <w:b w:val="0"/>
          <w:i w:val="0"/>
          <w:sz w:val="20"/>
        </w:rPr>
        <w:t>artifact-manifest/v1</w:t>
      </w:r>
      <w:r>
        <w:rPr>
          <w:rFonts w:ascii="Arial" w:hAnsi="Arial"/>
          <w:b w:val="0"/>
          <w:i w:val="0"/>
          <w:sz w:val="22"/>
        </w:rPr>
        <w:t xml:space="preserve"> hashes, firm/fund identity refs, document metadata and SHA-256, extracted fields with </w:t>
      </w:r>
      <w:r>
        <w:rPr>
          <w:rFonts w:ascii="Consolas" w:hAnsi="Consolas"/>
          <w:b w:val="0"/>
          <w:i w:val="0"/>
          <w:sz w:val="20"/>
        </w:rPr>
        <w:t>source_doc_id</w:t>
      </w:r>
      <w:r>
        <w:rPr>
          <w:rFonts w:ascii="Arial" w:hAnsi="Arial"/>
          <w:b w:val="0"/>
          <w:i w:val="0"/>
          <w:sz w:val="22"/>
        </w:rPr>
        <w:t>, page, method, snippet and location, threshold decisions, explainability, and export-manifest provenance (</w:t>
      </w:r>
      <w:r>
        <w:rPr>
          <w:rFonts w:ascii="Consolas" w:hAnsi="Consolas"/>
          <w:b w:val="0"/>
          <w:i w:val="0"/>
          <w:sz w:val="20"/>
        </w:rPr>
        <w:t>src/inv_man_intake/run.py:177-245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src/inv_man_intake/run_manifest.py:45-94</w:t>
      </w:r>
      <w:r>
        <w:rPr>
          <w:rFonts w:ascii="Arial" w:hAnsi="Arial"/>
          <w:b w:val="0"/>
          <w:i w:val="0"/>
          <w:sz w:val="22"/>
        </w:rPr>
        <w:t xml:space="preserve">). A Manager-Database-like sibling can consume </w:t>
      </w:r>
      <w:r>
        <w:rPr>
          <w:rFonts w:ascii="Consolas" w:hAnsi="Consolas"/>
          <w:b w:val="0"/>
          <w:i w:val="0"/>
          <w:sz w:val="20"/>
        </w:rPr>
        <w:t>ManagerProfile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validation_queue_api</w:t>
      </w:r>
      <w:r>
        <w:rPr>
          <w:rFonts w:ascii="Arial" w:hAnsi="Arial"/>
          <w:b w:val="0"/>
          <w:i w:val="0"/>
          <w:sz w:val="22"/>
        </w:rPr>
        <w:t xml:space="preserve"> response shapes, or the named JSON artifacts; a backplane collector can consume the run and manifest.</w:t>
      </w:r>
    </w:p>
    <w:p>
      <w:r>
        <w:rPr>
          <w:rFonts w:ascii="Arial" w:hAnsi="Arial"/>
          <w:b w:val="0"/>
          <w:i w:val="0"/>
          <w:sz w:val="22"/>
        </w:rPr>
        <w:t xml:space="preserve">It should consume an authoritative identity-map resolver before joining on firm/fund. Its local generated IDs and free-text </w:t>
      </w:r>
      <w:r>
        <w:rPr>
          <w:rFonts w:ascii="Consolas" w:hAnsi="Consolas"/>
          <w:b w:val="0"/>
          <w:i w:val="0"/>
          <w:sz w:val="20"/>
        </w:rPr>
        <w:t>aliases_json</w:t>
      </w:r>
      <w:r>
        <w:rPr>
          <w:rFonts w:ascii="Arial" w:hAnsi="Arial"/>
          <w:b w:val="0"/>
          <w:i w:val="0"/>
          <w:sz w:val="22"/>
        </w:rPr>
        <w:t xml:space="preserve"> are not guaranteed fleet canonical. It also needs actual </w:t>
      </w:r>
      <w:r>
        <w:rPr>
          <w:rFonts w:ascii="Consolas" w:hAnsi="Consolas"/>
          <w:b w:val="0"/>
          <w:i w:val="0"/>
          <w:sz w:val="20"/>
        </w:rPr>
        <w:t>evidence-object/v1</w:t>
      </w:r>
      <w:r>
        <w:rPr>
          <w:rFonts w:ascii="Arial" w:hAnsi="Arial"/>
          <w:b w:val="0"/>
          <w:i w:val="0"/>
          <w:sz w:val="22"/>
        </w:rPr>
        <w:t xml:space="preserve"> files before a sibling can trust field-level provenance through a generic evidence API. Document vocabulary is another collision point: local types include package-specific labels, the standard-element library is deliberately non-authoritative (</w:t>
      </w:r>
      <w:r>
        <w:rPr>
          <w:rFonts w:ascii="Consolas" w:hAnsi="Consolas"/>
          <w:b w:val="0"/>
          <w:i w:val="0"/>
          <w:sz w:val="20"/>
        </w:rPr>
        <w:t>docs/contracts/standard_element_library.md:3-35</w:t>
      </w:r>
      <w:r>
        <w:rPr>
          <w:rFonts w:ascii="Arial" w:hAnsi="Arial"/>
          <w:b w:val="0"/>
          <w:i w:val="0"/>
          <w:sz w:val="22"/>
        </w:rPr>
        <w:t xml:space="preserve">), and identity refs emit non-conforming </w:t>
      </w:r>
      <w:r>
        <w:rPr>
          <w:rFonts w:ascii="Consolas" w:hAnsi="Consolas"/>
          <w:b w:val="0"/>
          <w:i w:val="0"/>
          <w:sz w:val="20"/>
        </w:rPr>
        <w:t>firm:</w:t>
      </w:r>
      <w:r>
        <w:rPr>
          <w:rFonts w:ascii="Arial" w:hAnsi="Arial"/>
          <w:b w:val="0"/>
          <w:i w:val="0"/>
          <w:sz w:val="22"/>
        </w:rPr>
        <w:t xml:space="preserve"> prefixes instead of the closed vocabulary </w:t>
      </w:r>
      <w:r>
        <w:rPr>
          <w:rFonts w:ascii="Consolas" w:hAnsi="Consolas"/>
          <w:b w:val="0"/>
          <w:i w:val="0"/>
          <w:sz w:val="20"/>
        </w:rPr>
        <w:t>manager:</w:t>
      </w:r>
      <w:r>
        <w:rPr>
          <w:rFonts w:ascii="Arial" w:hAnsi="Arial"/>
          <w:b w:val="0"/>
          <w:i w:val="0"/>
          <w:sz w:val="22"/>
        </w:rPr>
        <w:t xml:space="preserve"> (</w:t>
      </w:r>
      <w:r>
        <w:rPr>
          <w:rFonts w:ascii="Consolas" w:hAnsi="Consolas"/>
          <w:b w:val="0"/>
          <w:i w:val="0"/>
          <w:sz w:val="20"/>
        </w:rPr>
        <w:t>docs/contracts/identity-map-conventions.md:79-132</w:t>
      </w:r>
      <w:r>
        <w:rPr>
          <w:rFonts w:ascii="Arial" w:hAnsi="Arial"/>
          <w:b w:val="0"/>
          <w:i w:val="0"/>
          <w:sz w:val="22"/>
        </w:rPr>
        <w:t>). Use the contract’s closed entity vocabulary and explicit source-of-truth rule, not these names alone (</w:t>
      </w:r>
      <w:r>
        <w:rPr>
          <w:rFonts w:ascii="Consolas" w:hAnsi="Consolas"/>
          <w:b w:val="0"/>
          <w:i w:val="0"/>
          <w:sz w:val="20"/>
        </w:rPr>
        <w:t>docs/contracts/identity-map-conventions.md:79-132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10. Reuse candidates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src/inv_man_intake/storage/document_store.py</w:t>
      </w:r>
      <w:r>
        <w:rPr>
          <w:rFonts w:ascii="Arial" w:hAnsi="Arial"/>
          <w:b w:val="0"/>
          <w:i w:val="0"/>
          <w:sz w:val="22"/>
        </w:rPr>
        <w:t xml:space="preserve"> — content-addressed local blob/version store with atomic index writes.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src/inv_man_intake/run_manifest.py</w:t>
      </w:r>
      <w:r>
        <w:rPr>
          <w:rFonts w:ascii="Arial" w:hAnsi="Arial"/>
          <w:b w:val="0"/>
          <w:i w:val="0"/>
          <w:sz w:val="22"/>
        </w:rPr>
        <w:t xml:space="preserve"> — safe, hashed named-artifact manifest builder.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src/inv_man_intake/extraction/service.py</w:t>
      </w:r>
      <w:r>
        <w:rPr>
          <w:rFonts w:ascii="Arial" w:hAnsi="Arial"/>
          <w:b w:val="0"/>
          <w:i w:val="0"/>
          <w:sz w:val="22"/>
        </w:rPr>
        <w:t xml:space="preserve"> — provider/service transport seam, including local Docling adapter.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src/inv_man_intake/extraction/orchestrator.py</w:t>
      </w:r>
      <w:r>
        <w:rPr>
          <w:rFonts w:ascii="Arial" w:hAnsi="Arial"/>
          <w:b w:val="0"/>
          <w:i w:val="0"/>
          <w:sz w:val="22"/>
        </w:rPr>
        <w:t xml:space="preserve"> — bounded retry, attempt audit, correlation and escalation envelope.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src/inv_man_intake/data/repository.py</w:t>
      </w:r>
      <w:r>
        <w:rPr>
          <w:rFonts w:ascii="Arial" w:hAnsi="Arial"/>
          <w:b w:val="0"/>
          <w:i w:val="0"/>
          <w:sz w:val="22"/>
        </w:rPr>
        <w:t xml:space="preserve"> — small SQLite hierarchy and append-only field-correction repository.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src/inv_man_intake/scoring/explainability.py</w:t>
      </w:r>
      <w:r>
        <w:rPr>
          <w:rFonts w:ascii="Arial" w:hAnsi="Arial"/>
          <w:b w:val="0"/>
          <w:i w:val="0"/>
          <w:sz w:val="22"/>
        </w:rPr>
        <w:t xml:space="preserve"> — deterministic component explanation formatter.</w:t>
      </w:r>
    </w:p>
    <w:p>
      <w:pPr>
        <w:pStyle w:val="ListBullet"/>
      </w:pPr>
      <w:r>
        <w:rPr>
          <w:rFonts w:ascii="Consolas" w:hAnsi="Consolas"/>
          <w:b w:val="0"/>
          <w:i w:val="0"/>
          <w:sz w:val="20"/>
        </w:rPr>
        <w:t>app/static_operator_app.js</w:t>
      </w:r>
      <w:r>
        <w:rPr>
          <w:rFonts w:ascii="Arial" w:hAnsi="Arial"/>
          <w:b w:val="0"/>
          <w:i w:val="0"/>
          <w:sz w:val="22"/>
        </w:rPr>
        <w:t xml:space="preserve"> and </w:t>
      </w:r>
      <w:r>
        <w:rPr>
          <w:rFonts w:ascii="Consolas" w:hAnsi="Consolas"/>
          <w:b w:val="0"/>
          <w:i w:val="0"/>
          <w:sz w:val="20"/>
        </w:rPr>
        <w:t>app/pyodide_packet_bridge.py</w:t>
      </w:r>
      <w:r>
        <w:rPr>
          <w:rFonts w:ascii="Arial" w:hAnsi="Arial"/>
          <w:b w:val="0"/>
          <w:i w:val="0"/>
          <w:sz w:val="22"/>
        </w:rPr>
        <w:t xml:space="preserve"> — browser-local Pyodide packaging pattern, but only after replacing the text-only upload bridge.</w:t>
      </w:r>
    </w:p>
    <w:p>
      <w:pPr>
        <w:pStyle w:val="Heading2"/>
      </w:pPr>
      <w:r>
        <w:rPr>
          <w:rFonts w:ascii="Arial" w:hAnsi="Arial"/>
          <w:b/>
          <w:sz w:val="26"/>
        </w:rPr>
        <w:t>11. Proposed direction (evidence-based)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Finish what is scaffolded:</w:t>
      </w:r>
      <w:r>
        <w:rPr>
          <w:rFonts w:ascii="Arial" w:hAnsi="Arial"/>
          <w:b w:val="0"/>
          <w:i w:val="0"/>
          <w:sz w:val="22"/>
        </w:rPr>
        <w:t xml:space="preserve"> make </w:t>
      </w:r>
      <w:r>
        <w:rPr>
          <w:rFonts w:ascii="Consolas" w:hAnsi="Consolas"/>
          <w:b w:val="0"/>
          <w:i w:val="0"/>
          <w:sz w:val="20"/>
        </w:rPr>
        <w:t>run_pipeline</w:t>
      </w:r>
      <w:r>
        <w:rPr>
          <w:rFonts w:ascii="Arial" w:hAnsi="Arial"/>
          <w:b w:val="0"/>
          <w:i w:val="0"/>
          <w:sz w:val="22"/>
        </w:rPr>
        <w:t xml:space="preserve"> construct durable SQLite/filesystem stores and pass real-byte resolution through every input, replacing its smoke-core dependency (</w:t>
      </w:r>
      <w:r>
        <w:rPr>
          <w:rFonts w:ascii="Consolas" w:hAnsi="Consolas"/>
          <w:b w:val="0"/>
          <w:i w:val="0"/>
          <w:sz w:val="20"/>
        </w:rPr>
        <w:t>src/inv_man_intake/run.py:157-165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docs/runbooks/ingestion_lifecycle.md:68-103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Finish what is scaffolded:</w:t>
      </w:r>
      <w:r>
        <w:rPr>
          <w:rFonts w:ascii="Arial" w:hAnsi="Arial"/>
          <w:b w:val="0"/>
          <w:i w:val="0"/>
          <w:sz w:val="22"/>
        </w:rPr>
        <w:t xml:space="preserve"> promote Docling or real format-specific providers behind </w:t>
      </w:r>
      <w:r>
        <w:rPr>
          <w:rFonts w:ascii="Consolas" w:hAnsi="Consolas"/>
          <w:b w:val="0"/>
          <w:i w:val="0"/>
          <w:sz w:val="20"/>
        </w:rPr>
        <w:t>ExtractionService</w:t>
      </w:r>
      <w:r>
        <w:rPr>
          <w:rFonts w:ascii="Arial" w:hAnsi="Arial"/>
          <w:b w:val="0"/>
          <w:i w:val="0"/>
          <w:sz w:val="22"/>
        </w:rPr>
        <w:t>, and stop presenting regex PDF/PPTX fixture extraction as a multi-format solution (</w:t>
      </w:r>
      <w:r>
        <w:rPr>
          <w:rFonts w:ascii="Consolas" w:hAnsi="Consolas"/>
          <w:b w:val="0"/>
          <w:i w:val="0"/>
          <w:sz w:val="20"/>
        </w:rPr>
        <w:t>src/inv_man_intake/extraction/service.py:104-140</w:t>
      </w:r>
      <w:r>
        <w:rPr>
          <w:rFonts w:ascii="Arial" w:hAnsi="Arial"/>
          <w:b w:val="0"/>
          <w:i w:val="0"/>
          <w:sz w:val="22"/>
        </w:rPr>
        <w:t xml:space="preserve">, </w:t>
      </w:r>
      <w:r>
        <w:rPr>
          <w:rFonts w:ascii="Consolas" w:hAnsi="Consolas"/>
          <w:b w:val="0"/>
          <w:i w:val="0"/>
          <w:sz w:val="20"/>
        </w:rPr>
        <w:t>src/inv_man_intake/extraction/providers/pdf_primary.py:20-26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Finish what is scaffolded:</w:t>
      </w:r>
      <w:r>
        <w:rPr>
          <w:rFonts w:ascii="Arial" w:hAnsi="Arial"/>
          <w:b w:val="0"/>
          <w:i w:val="0"/>
          <w:sz w:val="22"/>
        </w:rPr>
        <w:t xml:space="preserve"> replace synthetic </w:t>
      </w:r>
      <w:r>
        <w:rPr>
          <w:rFonts w:ascii="Consolas" w:hAnsi="Consolas"/>
          <w:b w:val="0"/>
          <w:i w:val="0"/>
          <w:sz w:val="20"/>
        </w:rPr>
        <w:t>_performance_series</w:t>
      </w:r>
      <w:r>
        <w:rPr>
          <w:rFonts w:ascii="Arial" w:hAnsi="Arial"/>
          <w:b w:val="0"/>
          <w:i w:val="0"/>
          <w:sz w:val="22"/>
        </w:rPr>
        <w:t xml:space="preserve"> and hard-coded assignment with extracted, persisted performance inputs and an actual queue adapter (</w:t>
      </w:r>
      <w:r>
        <w:rPr>
          <w:rFonts w:ascii="Consolas" w:hAnsi="Consolas"/>
          <w:b w:val="0"/>
          <w:i w:val="0"/>
          <w:sz w:val="20"/>
        </w:rPr>
        <w:t>src/inv_man_intake/v1_smoke.py:274-308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Finish what is scaffolded:</w:t>
      </w:r>
      <w:r>
        <w:rPr>
          <w:rFonts w:ascii="Arial" w:hAnsi="Arial"/>
          <w:b w:val="0"/>
          <w:i w:val="0"/>
          <w:sz w:val="22"/>
        </w:rPr>
        <w:t xml:space="preserve"> emit one validated </w:t>
      </w:r>
      <w:r>
        <w:rPr>
          <w:rFonts w:ascii="Consolas" w:hAnsi="Consolas"/>
          <w:b w:val="0"/>
          <w:i w:val="0"/>
          <w:sz w:val="20"/>
        </w:rPr>
        <w:t>evidence-object/v1</w:t>
      </w:r>
      <w:r>
        <w:rPr>
          <w:rFonts w:ascii="Arial" w:hAnsi="Arial"/>
          <w:b w:val="0"/>
          <w:i w:val="0"/>
          <w:sz w:val="22"/>
        </w:rPr>
        <w:t xml:space="preserve"> per extracted fact, carrying existing snippets, method, confidence and </w:t>
      </w:r>
      <w:r>
        <w:rPr>
          <w:rFonts w:ascii="Consolas" w:hAnsi="Consolas"/>
          <w:b w:val="0"/>
          <w:i w:val="0"/>
          <w:sz w:val="20"/>
        </w:rPr>
        <w:t>SourceLocation</w:t>
      </w:r>
      <w:r>
        <w:rPr>
          <w:rFonts w:ascii="Arial" w:hAnsi="Arial"/>
          <w:b w:val="0"/>
          <w:i w:val="0"/>
          <w:sz w:val="22"/>
        </w:rPr>
        <w:t xml:space="preserve">, then point </w:t>
      </w:r>
      <w:r>
        <w:rPr>
          <w:rFonts w:ascii="Consolas" w:hAnsi="Consolas"/>
          <w:b w:val="0"/>
          <w:i w:val="0"/>
          <w:sz w:val="20"/>
        </w:rPr>
        <w:t>evidence_refs</w:t>
      </w:r>
      <w:r>
        <w:rPr>
          <w:rFonts w:ascii="Arial" w:hAnsi="Arial"/>
          <w:b w:val="0"/>
          <w:i w:val="0"/>
          <w:sz w:val="22"/>
        </w:rPr>
        <w:t xml:space="preserve"> at those IDs (</w:t>
      </w:r>
      <w:r>
        <w:rPr>
          <w:rFonts w:ascii="Consolas" w:hAnsi="Consolas"/>
          <w:b w:val="0"/>
          <w:i w:val="0"/>
          <w:sz w:val="20"/>
        </w:rPr>
        <w:t>docs/contracts/schemas/evidence-object-v1.schema.json:8-99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New capability:</w:t>
      </w:r>
      <w:r>
        <w:rPr>
          <w:rFonts w:ascii="Arial" w:hAnsi="Arial"/>
          <w:b w:val="0"/>
          <w:i w:val="0"/>
          <w:sz w:val="22"/>
        </w:rPr>
        <w:t xml:space="preserve"> integrate an authoritative firm/fund identity resolver and persist aliases/provenance of the resolution; do not federate generated local slugs as truth (</w:t>
      </w:r>
      <w:r>
        <w:rPr>
          <w:rFonts w:ascii="Consolas" w:hAnsi="Consolas"/>
          <w:b w:val="0"/>
          <w:i w:val="0"/>
          <w:sz w:val="20"/>
        </w:rPr>
        <w:t>docs/contracts/identity-map-conventions.md:94-132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New capability:</w:t>
      </w:r>
      <w:r>
        <w:rPr>
          <w:rFonts w:ascii="Arial" w:hAnsi="Arial"/>
          <w:b w:val="0"/>
          <w:i w:val="0"/>
          <w:sz w:val="22"/>
        </w:rPr>
        <w:t xml:space="preserve"> make the browser pass binary bytes to appropriate browser-capable parsers, or label it honestly as a text-preview demo (</w:t>
      </w:r>
      <w:r>
        <w:rPr>
          <w:rFonts w:ascii="Consolas" w:hAnsi="Consolas"/>
          <w:b w:val="0"/>
          <w:i w:val="0"/>
          <w:sz w:val="20"/>
        </w:rPr>
        <w:t>app/static_operator_app.js:458-499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ListBullet"/>
      </w:pPr>
      <w:r>
        <w:rPr>
          <w:rFonts w:ascii="Arial" w:hAnsi="Arial"/>
          <w:b/>
          <w:i w:val="0"/>
          <w:sz w:val="22"/>
        </w:rPr>
        <w:t>New capability:</w:t>
      </w:r>
      <w:r>
        <w:rPr>
          <w:rFonts w:ascii="Arial" w:hAnsi="Arial"/>
          <w:b w:val="0"/>
          <w:i w:val="0"/>
          <w:sz w:val="22"/>
        </w:rPr>
        <w:t xml:space="preserve"> measure a real-cost, representative package batch before committing to same-business-day service levels (</w:t>
      </w:r>
      <w:r>
        <w:rPr>
          <w:rFonts w:ascii="Consolas" w:hAnsi="Consolas"/>
          <w:b w:val="0"/>
          <w:i w:val="0"/>
          <w:sz w:val="20"/>
        </w:rPr>
        <w:t>README.md:117-119</w:t>
      </w:r>
      <w:r>
        <w:rPr>
          <w:rFonts w:ascii="Arial" w:hAnsi="Arial"/>
          <w:b w:val="0"/>
          <w:i w:val="0"/>
          <w:sz w:val="22"/>
        </w:rPr>
        <w:t>).</w:t>
      </w:r>
    </w:p>
    <w:p>
      <w:pPr>
        <w:pStyle w:val="Heading2"/>
      </w:pPr>
      <w:r>
        <w:rPr>
          <w:rFonts w:ascii="Arial" w:hAnsi="Arial"/>
          <w:b/>
          <w:sz w:val="26"/>
        </w:rPr>
        <w:t>12. What a colleague needs to know (5 bullets, no code identifiers)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It is a local-first way to inspect manager packages and generate a scored, traceable review packet without sending documents to a hosted application by default.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Today it is strongest for controlled, text-bearing PDF and presentation examples—not arbitrary office documents or scanned manager materials.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It can preserve document versions, hashes and page-level source pointers when configured with local durable storage.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Treat the score as a transparent prioritization aid; exceptions and conflicts are designed for analyst review, not automatic investment decisions.</w:t>
      </w:r>
    </w:p>
    <w:p>
      <w:pPr>
        <w:pStyle w:val="ListBullet"/>
      </w:pPr>
      <w:r>
        <w:rPr>
          <w:rFonts w:ascii="Arial" w:hAnsi="Arial"/>
          <w:b w:val="0"/>
          <w:i w:val="0"/>
          <w:sz w:val="22"/>
        </w:rPr>
        <w:t>For hand-off to another office tool, use the run record and hashed artifact list, but settle firm and fund identity in a shared authoritative system first.</w:t>
      </w:r>
    </w:p>
    <w:p>
      <w:r>
        <w:rPr>
          <w:rFonts w:ascii="Arial" w:hAnsi="Arial"/>
          <w:b w:val="0"/>
          <w:i w:val="0"/>
          <w:sz w:val="22"/>
        </w:rPr>
        <w:t>Verified 2026-09-04T17:25:00Z by gemini: 50 claims checked, 3 corrected, 1 unverifiable.</w:t>
      </w:r>
    </w:p>
    <w:sectPr w:rsidR="00FC693F" w:rsidRPr="0006063C" w:rsidSect="00034616">
      <w:pgSz w:w="12240" w:h="15840"/>
      <w:pgMar w:top="1296" w:right="1296" w:bottom="1296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