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learning-management-system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This is a database-backed learning prototype for one person now and, later, analyst training, company onboarding, and public education. It turns source material into a knowledge graph, prompts, learner attempts, feedback, and scheduled reviews rather than acting as a document repository (README.md:1-14; src/lms/main.py:104-129). Its operating constraint is an API-first FastAPI service with PostgreSQL, designed to keep personal and institutional data distinct through explicit scope fields and, for a firm, preferably separate databases (docs/product/project-plan.md:304-316; src/lms/settings.py:32-60). It tests a learning loop; it is not a validated analyst-training or office-wide governance platform.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 (file)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(working / partial / scaffold) with evidence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API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src/lms/main.py:create_app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integrations, authors, administrators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working: mounts authenticated routers for sources, graph, prompts, evidence, feedback, cases, capability, scheduling, LLM, and inspection (src/lms/main.py:104-127).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UI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src/lms/ui/api.py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src/lms/ui/*.py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learner, author, support/admin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working prototype: server-rendered </w:t>
            </w:r>
            <w:r>
              <w:rPr>
                <w:rFonts w:ascii="Consolas" w:hAnsi="Consolas"/>
                <w:b w:val="0"/>
                <w:i w:val="0"/>
                <w:sz w:val="20"/>
              </w:rPr>
              <w:t>/app/*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routes and static assets, not a separate SPA (docs/development/web-prototype.md:1-22; src/lms/main.py:118-129).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src/lms/__main__.py:main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owner/operator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working: research validation, source drift scan, Markdown/CSV import, typed JSONL export/import, auth and demo utilities are registered (src/lms/__main__.py:34-260).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PWA/static HTML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src/lms/ui/static/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docs/screenshots/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mobile prototype users and reviewers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partial: manifest and worker are served, but the worker explicitly has no offline sync; snapshots are HTML structural artifacts (docs/development/web-prototype.md:24-34,44-73).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artifacts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JSONL from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src/lms/export_import.py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backup/import and prospective sibling tools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 for LMS records: exports ordered typed rows with conservative redaction defaults and validates/imports them (src/lms/export_import.py:97-118,281-349).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src/lms/             Application: FastAPI routers, SQLAlchemy models, services, UI, CLI.</w:t>
      </w:r>
      <w:r>
        <w:br/>
      </w:r>
      <w:r>
        <w:rPr>
          <w:rFonts w:ascii="Consolas" w:hAnsi="Consolas"/>
          <w:sz w:val="20"/>
        </w:rPr>
        <w:t xml:space="preserve">  graphs|sources|... Domain packages for authored knowledge, provenance, learning activity and policy.</w:t>
      </w:r>
      <w:r>
        <w:br/>
      </w:r>
      <w:r>
        <w:rPr>
          <w:rFonts w:ascii="Consolas" w:hAnsi="Consolas"/>
          <w:sz w:val="20"/>
        </w:rPr>
        <w:t>alembic/             Schema migrations.</w:t>
      </w:r>
      <w:r>
        <w:br/>
      </w:r>
      <w:r>
        <w:rPr>
          <w:rFonts w:ascii="Consolas" w:hAnsi="Consolas"/>
          <w:sz w:val="20"/>
        </w:rPr>
        <w:t>tests/               Unit, API, end-to-end demo, UI snapshot, and deployment-contract tests.</w:t>
      </w:r>
      <w:r>
        <w:br/>
      </w:r>
      <w:r>
        <w:rPr>
          <w:rFonts w:ascii="Consolas" w:hAnsi="Consolas"/>
          <w:sz w:val="20"/>
        </w:rPr>
        <w:t>docs/                Product decisions, contracts, deployment, research registry, and handoff records.</w:t>
      </w:r>
      <w:r>
        <w:br/>
      </w:r>
      <w:r>
        <w:rPr>
          <w:rFonts w:ascii="Consolas" w:hAnsi="Consolas"/>
          <w:sz w:val="20"/>
        </w:rPr>
        <w:t>scripts/             Operational validators and automation helpers.</w:t>
      </w:r>
      <w:r>
        <w:br/>
      </w:r>
      <w:r>
        <w:rPr>
          <w:rFonts w:ascii="Consolas" w:hAnsi="Consolas"/>
          <w:sz w:val="20"/>
        </w:rPr>
        <w:t>config/              Model, coverage, and source-of-truth configuration.</w:t>
      </w:r>
      <w:r>
        <w:br/>
      </w:r>
      <w:r>
        <w:rPr>
          <w:rFonts w:ascii="Consolas" w:hAnsi="Consolas"/>
          <w:sz w:val="20"/>
        </w:rPr>
        <w:t>.github/             Consumer automation, synced from stranske/Workflows.</w:t>
      </w:r>
      <w:r>
        <w:br/>
      </w:r>
      <w:r>
        <w:rPr>
          <w:rFonts w:ascii="Consolas" w:hAnsi="Consolas"/>
          <w:sz w:val="20"/>
        </w:rPr>
        <w:t>design-system/       Shared design material; skipped as boilerplate here.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Knowledge graph authoring stores typed nodes and directed edges with status, source, provenance and scope. An edge means “source requires target”; normal cross-scope edges are forbidden (src/lms/graphs/models.py:53-112,115-190). This orientation is a contract importers must preserve.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Markdown intake parses H1/H2 sections, creates a source reference plus draft conceptual node for each, and turns nesting into draft prerequisite edges (</w:t>
      </w:r>
      <w:r>
        <w:rPr>
          <w:rFonts w:ascii="Consolas" w:hAnsi="Consolas"/>
          <w:b w:val="0"/>
          <w:i w:val="0"/>
          <w:sz w:val="20"/>
        </w:rPr>
        <w:t>import_markdown_notes</w:t>
      </w:r>
      <w:r>
        <w:rPr>
          <w:rFonts w:ascii="Arial" w:hAnsi="Arial"/>
          <w:b w:val="0"/>
          <w:i w:val="0"/>
          <w:sz w:val="22"/>
        </w:rPr>
        <w:t>, src/lms/importers/markdown.py:74-178). It is the most direct path from research notes to usable records.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CSV graph intake validates a fixed column contract, case-folded </w:t>
      </w:r>
      <w:r>
        <w:rPr>
          <w:rFonts w:ascii="Consolas" w:hAnsi="Consolas"/>
          <w:b w:val="0"/>
          <w:i w:val="0"/>
          <w:sz w:val="20"/>
        </w:rPr>
        <w:t>(scope, title)</w:t>
      </w:r>
      <w:r>
        <w:rPr>
          <w:rFonts w:ascii="Arial" w:hAnsi="Arial"/>
          <w:b w:val="0"/>
          <w:i w:val="0"/>
          <w:sz w:val="22"/>
        </w:rPr>
        <w:t xml:space="preserve"> uniqueness, known prerequisites, then emits nodes, source records, and edges (</w:t>
      </w:r>
      <w:r>
        <w:rPr>
          <w:rFonts w:ascii="Consolas" w:hAnsi="Consolas"/>
          <w:b w:val="0"/>
          <w:i w:val="0"/>
          <w:sz w:val="20"/>
        </w:rPr>
        <w:t>import_csv_graph</w:t>
      </w:r>
      <w:r>
        <w:rPr>
          <w:rFonts w:ascii="Arial" w:hAnsi="Arial"/>
          <w:b w:val="0"/>
          <w:i w:val="0"/>
          <w:sz w:val="22"/>
        </w:rPr>
        <w:t>, src/lms/importers/csv_graph.py:17-133,136-209). It is the spreadsheet-friendly authoring bridge.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Source provenance records a stable locator, passage range, SHA-256 content hash, visibility, and drift status; drift scans write audit events (</w:t>
      </w:r>
      <w:r>
        <w:rPr>
          <w:rFonts w:ascii="Consolas" w:hAnsi="Consolas"/>
          <w:b w:val="0"/>
          <w:i w:val="0"/>
          <w:sz w:val="20"/>
        </w:rPr>
        <w:t>SourceReference</w:t>
      </w:r>
      <w:r>
        <w:rPr>
          <w:rFonts w:ascii="Arial" w:hAnsi="Arial"/>
          <w:b w:val="0"/>
          <w:i w:val="0"/>
          <w:sz w:val="22"/>
        </w:rPr>
        <w:t xml:space="preserve">, src/lms/sources/models.py:17-79; </w:t>
      </w:r>
      <w:r>
        <w:rPr>
          <w:rFonts w:ascii="Consolas" w:hAnsi="Consolas"/>
          <w:b w:val="0"/>
          <w:i w:val="0"/>
          <w:sz w:val="20"/>
        </w:rPr>
        <w:t>scan_source_references</w:t>
      </w:r>
      <w:r>
        <w:rPr>
          <w:rFonts w:ascii="Arial" w:hAnsi="Arial"/>
          <w:b w:val="0"/>
          <w:i w:val="0"/>
          <w:sz w:val="22"/>
        </w:rPr>
        <w:t>, src/lms/sources/repository.py:217-367). This is the closest existing evidence object for a research workflow.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Attempts/evidence capture performance, confidence, support, scoring method and observed/inferred status; </w:t>
      </w:r>
      <w:r>
        <w:rPr>
          <w:rFonts w:ascii="Consolas" w:hAnsi="Consolas"/>
          <w:b w:val="0"/>
          <w:i w:val="0"/>
          <w:sz w:val="20"/>
        </w:rPr>
        <w:t>record_score</w:t>
      </w:r>
      <w:r>
        <w:rPr>
          <w:rFonts w:ascii="Arial" w:hAnsi="Arial"/>
          <w:b w:val="0"/>
          <w:i w:val="0"/>
          <w:sz w:val="22"/>
        </w:rPr>
        <w:t xml:space="preserve"> normalizes these to 0–1 (src/lms/evidence/models.py:28-32,40-151; src/lms/evidence/scoring.py:8-20). Downstream mastery, feedback and review depend on it.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Scheduling maps evidence to explainable Again/Hard/Good/Easy rules, then uses FSRS-6 state with hot/warm/cold retention policies (</w:t>
      </w:r>
      <w:r>
        <w:rPr>
          <w:rFonts w:ascii="Consolas" w:hAnsi="Consolas"/>
          <w:b w:val="0"/>
          <w:i w:val="0"/>
          <w:sz w:val="20"/>
        </w:rPr>
        <w:t>evidence_to_fsrs_rating</w:t>
      </w:r>
      <w:r>
        <w:rPr>
          <w:rFonts w:ascii="Arial" w:hAnsi="Arial"/>
          <w:b w:val="0"/>
          <w:i w:val="0"/>
          <w:sz w:val="22"/>
        </w:rPr>
        <w:t xml:space="preserve">, src/lms/scheduling/fsrs_adapter.py:135-222; </w:t>
      </w:r>
      <w:r>
        <w:rPr>
          <w:rFonts w:ascii="Consolas" w:hAnsi="Consolas"/>
          <w:b w:val="0"/>
          <w:i w:val="0"/>
          <w:sz w:val="20"/>
        </w:rPr>
        <w:t>review</w:t>
      </w:r>
      <w:r>
        <w:rPr>
          <w:rFonts w:ascii="Arial" w:hAnsi="Arial"/>
          <w:b w:val="0"/>
          <w:i w:val="0"/>
          <w:sz w:val="22"/>
        </w:rPr>
        <w:t>, src/lms/scheduling/fsrs_engine.py:37-114,166-209). It makes review timing inspectable rather than a hard-coded calendar.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Feedback, rubrics, hints, model answers and revision requests turn assessment into a next action; rubric scoring can create remediation metadata (src/lms/feedback/repository.py:239-253; src/lms/feedback/scoring.py:60-261). This is the core teaching workflow, not merely scoring.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Capability targets, estimates, gaps and maintenance plans model “what work can this learner do?” (src/lms/capability/models.py:52-319). They bridge to analyst-role learning but not job-performance validation.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LLM wrapper centralizes provider choice, budget reservation, PII redaction, trace classification, structured outputs and citation constraints (</w:t>
      </w:r>
      <w:r>
        <w:rPr>
          <w:rFonts w:ascii="Consolas" w:hAnsi="Consolas"/>
          <w:b w:val="0"/>
          <w:i w:val="0"/>
          <w:sz w:val="20"/>
        </w:rPr>
        <w:t>LLMClient.complete</w:t>
      </w:r>
      <w:r>
        <w:rPr>
          <w:rFonts w:ascii="Arial" w:hAnsi="Arial"/>
          <w:b w:val="0"/>
          <w:i w:val="0"/>
          <w:sz w:val="22"/>
        </w:rPr>
        <w:t>, src/lms/llm/client.py:64-192). It is a strong integration seam; individual feature code should not call a model directly.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Typed JSONL export/import orders records and validates relationships before applying an import (src/lms/export_import.py:97-118,281-349,451-566). It is the current portable data interchange, not a fleet run envelope.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 w:val="0"/>
          <w:i w:val="0"/>
          <w:sz w:val="22"/>
        </w:rPr>
        <w:t xml:space="preserve">Every persisted entity uses a random UUID string primary key from </w:t>
      </w:r>
      <w:r>
        <w:rPr>
          <w:rFonts w:ascii="Consolas" w:hAnsi="Consolas"/>
          <w:b w:val="0"/>
          <w:i w:val="0"/>
          <w:sz w:val="20"/>
        </w:rPr>
        <w:t>new_uuid()</w:t>
      </w:r>
      <w:r>
        <w:rPr>
          <w:rFonts w:ascii="Arial" w:hAnsi="Arial"/>
          <w:b w:val="0"/>
          <w:i w:val="0"/>
          <w:sz w:val="22"/>
        </w:rPr>
        <w:t xml:space="preserve">; user email and username are unique, but knowledge nodes have no global stable ID beyond UUID/title/scope (src/lms/auth/models.py:18-20,28-47; src/lms/graphs/models.py:83-99). PostgreSQL is the runtime persistence target, accessed through SQLAlchemy and Alembic; driverless </w:t>
      </w:r>
      <w:r>
        <w:rPr>
          <w:rFonts w:ascii="Consolas" w:hAnsi="Consolas"/>
          <w:b w:val="0"/>
          <w:i w:val="0"/>
          <w:sz w:val="20"/>
        </w:rPr>
        <w:t>postgres://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postgresql://</w:t>
      </w:r>
      <w:r>
        <w:rPr>
          <w:rFonts w:ascii="Arial" w:hAnsi="Arial"/>
          <w:b w:val="0"/>
          <w:i w:val="0"/>
          <w:sz w:val="22"/>
        </w:rPr>
        <w:t xml:space="preserve"> URLs are rewritten to </w:t>
      </w:r>
      <w:r>
        <w:rPr>
          <w:rFonts w:ascii="Consolas" w:hAnsi="Consolas"/>
          <w:b w:val="0"/>
          <w:i w:val="0"/>
          <w:sz w:val="20"/>
        </w:rPr>
        <w:t>postgresql+psycopg://</w:t>
      </w:r>
      <w:r>
        <w:rPr>
          <w:rFonts w:ascii="Arial" w:hAnsi="Arial"/>
          <w:b w:val="0"/>
          <w:i w:val="0"/>
          <w:sz w:val="22"/>
        </w:rPr>
        <w:t xml:space="preserve"> in settings (src/lms/settings.py:41-61) and consumed by the engine factory (src/lms/db/session.py:16-24). Records generally keep created/updated timestamps but there is no graph-version, document-supersession, or canonical alias-resolution model. Source content changes are tracked only as hashes plus </w:t>
      </w:r>
      <w:r>
        <w:rPr>
          <w:rFonts w:ascii="Consolas" w:hAnsi="Consolas"/>
          <w:b w:val="0"/>
          <w:i w:val="0"/>
          <w:sz w:val="20"/>
        </w:rPr>
        <w:t>current/stale/missing</w:t>
      </w:r>
      <w:r>
        <w:rPr>
          <w:rFonts w:ascii="Arial" w:hAnsi="Arial"/>
          <w:b w:val="0"/>
          <w:i w:val="0"/>
          <w:sz w:val="22"/>
        </w:rPr>
        <w:t xml:space="preserve"> drift status (src/lms/sources/models.py:57-74).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contract/object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emitted or consumed?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finding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LMS typed JSONL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emitted and consumed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export_jsonl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20"/>
              </w:rPr>
              <w:t>import_jsonl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serialize and apply LMS table records (src/lms/export_import.py:281-349).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run-contract/v1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artifact-manifest/v1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consumes; LMS runtime does not emit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validates schemas (lines 32-68,207-259); no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src/lms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reference to these names was found.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identity-map conventions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only for LMS data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the convention defines canonical </w:t>
            </w:r>
            <w:r>
              <w:rPr>
                <w:rFonts w:ascii="Consolas" w:hAnsi="Consolas"/>
                <w:b w:val="0"/>
                <w:i w:val="0"/>
                <w:sz w:val="20"/>
              </w:rPr>
              <w:t>type:id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formats (docs/contracts/identity-map-conventions.md:42-77), while LMS uses UUIDs and has no mapper.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capability bundle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only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docs/contracts/capability-bundle-v1.md:1-12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describes a Workflows artifact, not an LMS model or exporter.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>Inputs are Markdown, CSV graphs, source locators/content, learner answers, and optionally Anthropic completions. Libraries: FastAPI/Pydantic, SQLAlchemy/Alembic/psycopg, Mistune, pandas, FSRS and Argon2 (pyproject.toml:13-55). The real provider is Anthropic; without a key the default is deterministic fake output (src/lms/llm/providers.py:1-7,101-142,307-328). LangSmith is configuration/documentation for optional trace export, not a concrete SDK integration. Docker Compose and Render describe a FastAPI + Postgres installation; this UI requires the server and database (docs/development/deployment.md:1-20; docker-compose.yml:1-52).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 xml:space="preserve">The tested core is credible prototype software: </w:t>
      </w:r>
      <w:r>
        <w:rPr>
          <w:rFonts w:ascii="Consolas" w:hAnsi="Consolas"/>
          <w:b w:val="0"/>
          <w:i w:val="0"/>
          <w:sz w:val="20"/>
        </w:rPr>
        <w:t>uv run pytest -q -m 'not slow'</w:t>
      </w:r>
      <w:r>
        <w:rPr>
          <w:rFonts w:ascii="Arial" w:hAnsi="Arial"/>
          <w:b w:val="0"/>
          <w:i w:val="0"/>
          <w:sz w:val="22"/>
        </w:rPr>
        <w:t xml:space="preserve"> passed 1,124 tests, skipped one deferred Playwright smoke, deselected eight slow tests, and reported 89.65% coverage. CI invokes lint, Black, mypy and pytest on Python 3.12/3.13 with an 80% threshold (Makefile:1-44; .github/workflows/ci.yml:1-32). Production use remains bounded by these gaps: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Mastery is explicitly a deterministic FSRS-4.5-inspired placeholder, computed on demand rather than a validated estimator (src/lms/mastery/policy.py:11-31; src/lms/mastery/service.py:16-74).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Browser accessibility/visual behavior is not tested in the required gate; Playwright is opt-in and skipped by default (docs/development/web-prototype.md:75-123).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PWA offline sync and meaningful caching are deferred (docs/development/web-prototype.md:24-34).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Runtime research registry APIs are deliberately deferred indefinitely; registry entities are YAML rather than database records (docs/product/research-domain-model.md:1-5).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Firm-grade row-level security, institutional role separation, and the preferred separate-database boundary are future posture, not implemented controls (docs/product/project-plan.md:304-316).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live Anthropic gate has an entirely unchecked verification list, so unit tests do not establish a live provider deployment (docs/llm/PROVIDER_LIVE_VERIFICATION.md:58-98).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Courses, modules, lessons and certification entities remain explicitly deferred (README.md:241).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product plan says cross-scope linkage requires an explicit </w:t>
      </w:r>
      <w:r>
        <w:rPr>
          <w:rFonts w:ascii="Consolas" w:hAnsi="Consolas"/>
          <w:b w:val="0"/>
          <w:i w:val="0"/>
          <w:sz w:val="20"/>
        </w:rPr>
        <w:t>GraphReference</w:t>
      </w:r>
      <w:r>
        <w:rPr>
          <w:rFonts w:ascii="Arial" w:hAnsi="Arial"/>
          <w:b w:val="0"/>
          <w:i w:val="0"/>
          <w:sz w:val="22"/>
        </w:rPr>
        <w:t xml:space="preserve"> row (docs/product/project-plan.md:304-315). The runtime model instead has only </w:t>
      </w:r>
      <w:r>
        <w:rPr>
          <w:rFonts w:ascii="Consolas" w:hAnsi="Consolas"/>
          <w:b w:val="0"/>
          <w:i w:val="0"/>
          <w:sz w:val="20"/>
        </w:rPr>
        <w:t>KnowledgeEdge.is_graph_reference</w:t>
      </w:r>
      <w:r>
        <w:rPr>
          <w:rFonts w:ascii="Arial" w:hAnsi="Arial"/>
          <w:b w:val="0"/>
          <w:i w:val="0"/>
          <w:sz w:val="22"/>
        </w:rPr>
        <w:t xml:space="preserve">; there is no </w:t>
      </w:r>
      <w:r>
        <w:rPr>
          <w:rFonts w:ascii="Consolas" w:hAnsi="Consolas"/>
          <w:b w:val="0"/>
          <w:i w:val="0"/>
          <w:sz w:val="20"/>
        </w:rPr>
        <w:t>GraphReference</w:t>
      </w:r>
      <w:r>
        <w:rPr>
          <w:rFonts w:ascii="Arial" w:hAnsi="Arial"/>
          <w:b w:val="0"/>
          <w:i w:val="0"/>
          <w:sz w:val="22"/>
        </w:rPr>
        <w:t xml:space="preserve"> class or table in </w:t>
      </w:r>
      <w:r>
        <w:rPr>
          <w:rFonts w:ascii="Consolas" w:hAnsi="Consolas"/>
          <w:b w:val="0"/>
          <w:i w:val="0"/>
          <w:sz w:val="20"/>
        </w:rPr>
        <w:t>src/lms</w:t>
      </w:r>
      <w:r>
        <w:rPr>
          <w:rFonts w:ascii="Arial" w:hAnsi="Arial"/>
          <w:b w:val="0"/>
          <w:i w:val="0"/>
          <w:sz w:val="22"/>
        </w:rPr>
        <w:t xml:space="preserve"> (src/lms/graphs/models.py:115-190). The document overstates the implemented representation.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backplane workflow describes an emission/conformance gate (.github/workflows/backplane-conformance.yml:3-12), but its repo-specific emitter is intentionally unwired and prints “No emitter wired yet,” so it skips (lines 45-55). This repo does not currently produce fleet run artifacts.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Deployment documentation labels a specific hosted service as current (docs/development/deployment.md:58-63). A source-only shallow clone cannot prove that service is live, authenticated, migrated, or using real LLM credentials; treat it as an operator note, not verified current state.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 w:val="0"/>
          <w:i w:val="0"/>
          <w:sz w:val="22"/>
        </w:rPr>
        <w:t xml:space="preserve">The useful offers are source-grounded learning facts: </w:t>
      </w:r>
      <w:r>
        <w:rPr>
          <w:rFonts w:ascii="Consolas" w:hAnsi="Consolas"/>
          <w:b w:val="0"/>
          <w:i w:val="0"/>
          <w:sz w:val="20"/>
        </w:rPr>
        <w:t>SourceReference</w:t>
      </w:r>
      <w:r>
        <w:rPr>
          <w:rFonts w:ascii="Arial" w:hAnsi="Arial"/>
          <w:b w:val="0"/>
          <w:i w:val="0"/>
          <w:sz w:val="22"/>
        </w:rPr>
        <w:t xml:space="preserve"> carries locator, page/line range, content hash and visibility; nodes/edges carry scope and provenance; evidence, rubric, capability-gap and review records export through LMS JSONL (src/lms/sources/models.py:34-79; src/lms/graphs/models.py:53-190; src/lms/export_import.py:97-118). It can consume sibling document extracts as CSV graphs or Markdown notes.</w:t>
      </w:r>
    </w:p>
    <w:p>
      <w:r>
        <w:rPr>
          <w:rFonts w:ascii="Arial" w:hAnsi="Arial"/>
          <w:b w:val="0"/>
          <w:i w:val="0"/>
          <w:sz w:val="22"/>
        </w:rPr>
        <w:t xml:space="preserve">The hard interoperability risk is identity: siblings expect canonical </w:t>
      </w:r>
      <w:r>
        <w:rPr>
          <w:rFonts w:ascii="Consolas" w:hAnsi="Consolas"/>
          <w:b w:val="0"/>
          <w:i w:val="0"/>
          <w:sz w:val="20"/>
        </w:rPr>
        <w:t>entity_type:normalized_identity</w:t>
      </w:r>
      <w:r>
        <w:rPr>
          <w:rFonts w:ascii="Arial" w:hAnsi="Arial"/>
          <w:b w:val="0"/>
          <w:i w:val="0"/>
          <w:sz w:val="22"/>
        </w:rPr>
        <w:t xml:space="preserve"> references (docs/contracts/identity-map-conventions.md:42-61), whereas this app exposes UUIDs and free-text titles. Do not publish LMS UUIDs as manager/fund/person IDs. Add a canonical entity reference before joining investment-office entities. </w:t>
      </w:r>
      <w:r>
        <w:rPr>
          <w:rFonts w:ascii="Consolas" w:hAnsi="Consolas"/>
          <w:b w:val="0"/>
          <w:i w:val="0"/>
          <w:sz w:val="20"/>
        </w:rPr>
        <w:t>SourceReference</w:t>
      </w:r>
      <w:r>
        <w:rPr>
          <w:rFonts w:ascii="Arial" w:hAnsi="Arial"/>
          <w:b w:val="0"/>
          <w:i w:val="0"/>
          <w:sz w:val="22"/>
        </w:rPr>
        <w:t xml:space="preserve"> provenance and fleet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overlap conceptually but are not schema-compatible (</w:t>
      </w:r>
      <w:r>
        <w:rPr>
          <w:rFonts w:ascii="Consolas" w:hAnsi="Consolas"/>
          <w:b w:val="0"/>
          <w:i w:val="0"/>
          <w:sz w:val="20"/>
        </w:rPr>
        <w:t>docs/contracts/schemas/evidence-object-v1.schema.json:8-15</w:t>
      </w:r>
      <w:r>
        <w:rPr>
          <w:rFonts w:ascii="Arial" w:hAnsi="Arial"/>
          <w:b w:val="0"/>
          <w:i w:val="0"/>
          <w:sz w:val="22"/>
        </w:rPr>
        <w:t xml:space="preserve"> requires </w:t>
      </w:r>
      <w:r>
        <w:rPr>
          <w:rFonts w:ascii="Consolas" w:hAnsi="Consolas"/>
          <w:b w:val="0"/>
          <w:i w:val="0"/>
          <w:sz w:val="20"/>
        </w:rPr>
        <w:t>evidence_id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fact_ref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source_id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method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excerpt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SourceReference</w:t>
      </w:r>
      <w:r>
        <w:rPr>
          <w:rFonts w:ascii="Arial" w:hAnsi="Arial"/>
          <w:b w:val="0"/>
          <w:i w:val="0"/>
          <w:sz w:val="22"/>
        </w:rPr>
        <w:t xml:space="preserve"> stores locator, hash, and drift status only).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Provenance hash/drift scan: </w:t>
      </w:r>
      <w:r>
        <w:rPr>
          <w:rFonts w:ascii="Consolas" w:hAnsi="Consolas"/>
          <w:b w:val="0"/>
          <w:i w:val="0"/>
          <w:sz w:val="20"/>
        </w:rPr>
        <w:t>src/lms/sources/repository.py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Markdown-to-graph importer: </w:t>
      </w:r>
      <w:r>
        <w:rPr>
          <w:rFonts w:ascii="Consolas" w:hAnsi="Consolas"/>
          <w:b w:val="0"/>
          <w:i w:val="0"/>
          <w:sz w:val="20"/>
        </w:rPr>
        <w:t>src/lms/importers/markdown.py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CSV graph validator/importer: </w:t>
      </w:r>
      <w:r>
        <w:rPr>
          <w:rFonts w:ascii="Consolas" w:hAnsi="Consolas"/>
          <w:b w:val="0"/>
          <w:i w:val="0"/>
          <w:sz w:val="20"/>
        </w:rPr>
        <w:t>src/lms/importers/csv_graph.py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Redaction/budget/provider wrapper: </w:t>
      </w:r>
      <w:r>
        <w:rPr>
          <w:rFonts w:ascii="Consolas" w:hAnsi="Consolas"/>
          <w:b w:val="0"/>
          <w:i w:val="0"/>
          <w:sz w:val="20"/>
        </w:rPr>
        <w:t>src/lms/llm/client.py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redaction.py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Retention-tier FSRS adapter: </w:t>
      </w:r>
      <w:r>
        <w:rPr>
          <w:rFonts w:ascii="Consolas" w:hAnsi="Consolas"/>
          <w:b w:val="0"/>
          <w:i w:val="0"/>
          <w:sz w:val="20"/>
        </w:rPr>
        <w:t>src/lms/scheduling/fsrs_engine.py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fsrs_adapter.py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Dependency-aware JSONL export/import: </w:t>
      </w:r>
      <w:r>
        <w:rPr>
          <w:rFonts w:ascii="Consolas" w:hAnsi="Consolas"/>
          <w:b w:val="0"/>
          <w:i w:val="0"/>
          <w:sz w:val="20"/>
        </w:rPr>
        <w:t>src/lms/export_import.py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Finish scaffolded work: replace the mastery placeholder only after collecting and evaluating evidence, keeping its estimator version visible (src/lms/mastery/policy.py:11-31).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Finish scaffolded work: decide whether to activate real-browser accessibility testing; the present gate cannot assess it (docs/development/web-prototype.md:59-60,75-108).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Finish scaffolded work: wire a deterministic reference emitter if this repo is to participate in the fleet backplane (.github/workflows/backplane-conformance.yml:45-55).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Finish scaffolded work: complete and record the live-provider gate before treating study-coach output as a production capability (docs/llm/PROVIDER_LIVE_VERIFICATION.md:58-98).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New capability: introduce a canonical external-entity field and identity resolver adapter; keep UUIDs as local keys and emit fleet IDs only after resolution (docs/contracts/identity-map-conventions.md:94-130).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New capability: define a genuine evidence-object adapter from </w:t>
      </w:r>
      <w:r>
        <w:rPr>
          <w:rFonts w:ascii="Consolas" w:hAnsi="Consolas"/>
          <w:b w:val="0"/>
          <w:i w:val="0"/>
          <w:sz w:val="20"/>
        </w:rPr>
        <w:t>SourceReference</w:t>
      </w:r>
      <w:r>
        <w:rPr>
          <w:rFonts w:ascii="Arial" w:hAnsi="Arial"/>
          <w:b w:val="0"/>
          <w:i w:val="0"/>
          <w:sz w:val="22"/>
        </w:rPr>
        <w:t xml:space="preserve"> plus an attributed fact, rather than relabeling LMS records.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New capability: implement firm deployment authorization and RLS only together with the planned database separation, not as superficial UI roles (docs/product/project-plan.md:304-316).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turns sources into practice and review; it is not a finished corporate LMS.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can support analyst-training design, not prove analyst competence or investment performance.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Its strength is traceability from source passage to learner response.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It needs a server and PostgreSQL; it is not an offline desktop tool.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Before integration, agree on shared entity identifiers and data-boundary rules.</w:t>
      </w:r>
    </w:p>
    <w:p>
      <w:r>
        <w:rPr>
          <w:rFonts w:ascii="Arial" w:hAnsi="Arial"/>
          <w:b w:val="0"/>
          <w:i w:val="0"/>
          <w:sz w:val="22"/>
        </w:rPr>
        <w:t>Verified 2026-09-04T17:56:34Z by composer: 27 claims checked, 1 corrected, 1 unverifiable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