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Change Memo</w:t>
      </w:r>
    </w:p>
    <w:p>
      <w:r>
        <w:t>Example Fund: 2024 to 2025</w:t>
      </w:r>
    </w:p>
    <w:p>
      <w:pPr>
        <w:pStyle w:val="Heading2"/>
      </w:pPr>
      <w:r>
        <w:t>Fee Schedule</w:t>
      </w:r>
    </w:p>
    <w:p>
      <w:r>
        <w:t>Change type: Rate increase</w:t>
      </w:r>
    </w:p>
    <w:p>
      <w:r>
        <w:t>Tier: T1</w:t>
      </w:r>
    </w:p>
    <w:p>
      <w:r>
        <w:t>Prior (Management fee 1.00%)</w:t>
      </w:r>
    </w:p>
    <w:p>
      <w:r>
        <w:t>Current (Management fee 1.25%)</w:t>
      </w:r>
    </w:p>
    <w:p>
      <w:pPr>
        <w:pStyle w:val="Heading2"/>
      </w:pPr>
      <w:r>
        <w:t>Reporting timeline</w:t>
      </w:r>
    </w:p>
    <w:p>
      <w:r>
        <w:t>Change type: Clarification</w:t>
      </w:r>
    </w:p>
    <w:p>
      <w:r>
        <w:t>Tier: T2</w:t>
      </w:r>
    </w:p>
    <w:p>
      <w:r>
        <w:t>Prior (Quarterly reports within 45 days)</w:t>
      </w:r>
    </w:p>
    <w:p>
      <w:r>
        <w:t>Current (Quarterly reports within 30 days)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