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Personal-repo reuse note — FAA, Reader, trip-planner → work fleet</w:t>
      </w:r>
    </w:p>
    <w:p>
      <w:r>
        <w:rPr>
          <w:rFonts w:ascii="Arial" w:hAnsi="Arial"/>
          <w:b/>
          <w:i w:val="0"/>
          <w:sz w:val="22"/>
        </w:rPr>
        <w:t>Date:</w:t>
      </w:r>
      <w:r>
        <w:rPr>
          <w:rFonts w:ascii="Arial" w:hAnsi="Arial"/>
          <w:b w:val="0"/>
          <w:i w:val="0"/>
          <w:sz w:val="22"/>
        </w:rPr>
        <w:t xml:space="preserve"> 2026-09-04 · </w:t>
      </w:r>
      <w:r>
        <w:rPr>
          <w:rFonts w:ascii="Arial" w:hAnsi="Arial"/>
          <w:b/>
          <w:i w:val="0"/>
          <w:sz w:val="22"/>
        </w:rPr>
        <w:t>Scope:</w:t>
      </w:r>
      <w:r>
        <w:rPr>
          <w:rFonts w:ascii="Arial" w:hAnsi="Arial"/>
          <w:b w:val="0"/>
          <w:i w:val="0"/>
          <w:sz w:val="22"/>
        </w:rPr>
        <w:t xml:space="preserve"> Patterns and components from three personal repositories that can accelerate Inv-Man-Intake, Manager-Database, Pension-Data, Doc-Lineage, and shared infrastructure (Workflows). Each entry names a path, what it does, whether to </w:t>
      </w:r>
      <w:r>
        <w:rPr>
          <w:rFonts w:ascii="Arial" w:hAnsi="Arial"/>
          <w:b/>
          <w:i w:val="0"/>
          <w:sz w:val="22"/>
        </w:rPr>
        <w:t>lift code</w:t>
      </w:r>
      <w:r>
        <w:rPr>
          <w:rFonts w:ascii="Arial" w:hAnsi="Arial"/>
          <w:b w:val="0"/>
          <w:i w:val="0"/>
          <w:sz w:val="22"/>
        </w:rPr>
        <w:t xml:space="preserve"> or </w:t>
      </w:r>
      <w:r>
        <w:rPr>
          <w:rFonts w:ascii="Arial" w:hAnsi="Arial"/>
          <w:b/>
          <w:i w:val="0"/>
          <w:sz w:val="22"/>
        </w:rPr>
        <w:t>copy the pattern</w:t>
      </w:r>
      <w:r>
        <w:rPr>
          <w:rFonts w:ascii="Arial" w:hAnsi="Arial"/>
          <w:b w:val="0"/>
          <w:i w:val="0"/>
          <w:sz w:val="22"/>
        </w:rPr>
        <w:t>, and a concrete adoption step.</w:t>
      </w:r>
    </w:p>
    <w:p>
      <w:r>
        <w:rPr>
          <w:rFonts w:ascii="Arial" w:hAnsi="Arial"/>
          <w:b/>
          <w:i w:val="0"/>
          <w:sz w:val="22"/>
        </w:rPr>
        <w:t>Judgment upfront:</w:t>
      </w:r>
      <w:r>
        <w:rPr>
          <w:rFonts w:ascii="Arial" w:hAnsi="Arial"/>
          <w:b w:val="0"/>
          <w:i w:val="0"/>
          <w:sz w:val="22"/>
        </w:rPr>
        <w:t xml:space="preserve"> The strongest reusable assets are </w:t>
      </w:r>
      <w:r>
        <w:rPr>
          <w:rFonts w:ascii="Arial" w:hAnsi="Arial"/>
          <w:b w:val="0"/>
          <w:i/>
          <w:sz w:val="22"/>
        </w:rPr>
        <w:t>disciplines</w:t>
      </w:r>
      <w:r>
        <w:rPr>
          <w:rFonts w:ascii="Arial" w:hAnsi="Arial"/>
          <w:b w:val="0"/>
          <w:i w:val="0"/>
          <w:sz w:val="22"/>
        </w:rPr>
        <w:t xml:space="preserve"> (human-confirms-machine, registration never refutes sameness, content-hash immutability, data-zone egress gates), not domain modules. Lifting ranking or dedup code wholesale into investment tools would couple unrelated domains; lifting small, tested primitives (file locks, circuit breakers, provenance ledgers) is lower risk.</w:t>
      </w:r>
    </w:p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Fine-Art-Archive</w:t>
      </w:r>
    </w:p>
    <w:p>
      <w:pPr>
        <w:pStyle w:val="Heading3"/>
      </w:pPr>
      <w:r>
        <w:rPr>
          <w:rFonts w:ascii="Arial" w:hAnsi="Arial"/>
          <w:b/>
          <w:sz w:val="23"/>
        </w:rPr>
        <w:t>Sidecar schema + field provenance ledger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[LOCAL_WORKSPACE]/Fine-Art-Archive/src/fine_art_archive/sidecar.py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provenance.py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schemas/meta.schema.json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One JSON record per entity with </w:t>
      </w:r>
      <w:r>
        <w:rPr>
          <w:rFonts w:ascii="Consolas" w:hAnsi="Consolas"/>
          <w:b w:val="0"/>
          <w:i w:val="0"/>
          <w:sz w:val="20"/>
        </w:rPr>
        <w:t>schema_version</w:t>
      </w:r>
      <w:r>
        <w:rPr>
          <w:rFonts w:ascii="Arial" w:hAnsi="Arial"/>
          <w:b w:val="0"/>
          <w:i w:val="0"/>
          <w:sz w:val="22"/>
        </w:rPr>
        <w:t xml:space="preserve">, strict validation, and an additive </w:t>
      </w:r>
      <w:r>
        <w:rPr>
          <w:rFonts w:ascii="Consolas" w:hAnsi="Consolas"/>
          <w:b w:val="0"/>
          <w:i w:val="0"/>
          <w:sz w:val="20"/>
        </w:rPr>
        <w:t>field_provenance</w:t>
      </w:r>
      <w:r>
        <w:rPr>
          <w:rFonts w:ascii="Arial" w:hAnsi="Arial"/>
          <w:b w:val="0"/>
          <w:i w:val="0"/>
          <w:sz w:val="22"/>
        </w:rPr>
        <w:t xml:space="preserve"> ledger (status, source, note, </w:t>
      </w:r>
      <w:r>
        <w:rPr>
          <w:rFonts w:ascii="Consolas" w:hAnsi="Consolas"/>
          <w:b w:val="0"/>
          <w:i w:val="0"/>
          <w:sz w:val="20"/>
        </w:rPr>
        <w:t>prior_value</w:t>
      </w:r>
      <w:r>
        <w:rPr>
          <w:rFonts w:ascii="Arial" w:hAnsi="Arial"/>
          <w:b w:val="0"/>
          <w:i w:val="0"/>
          <w:sz w:val="22"/>
        </w:rPr>
        <w:t>) per fact.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Copy the pattern.</w:t>
      </w:r>
      <w:r>
        <w:rPr>
          <w:rFonts w:ascii="Arial" w:hAnsi="Arial"/>
          <w:b w:val="0"/>
          <w:i w:val="0"/>
          <w:sz w:val="22"/>
        </w:rPr>
        <w:t xml:space="preserve"> Pension-Data and Inv-Man-Intake already have field-level provenance tables; Doc-Lineage should adopt the same status vocabulary (</w:t>
      </w:r>
      <w:r>
        <w:rPr>
          <w:rFonts w:ascii="Consolas" w:hAnsi="Consolas"/>
          <w:b w:val="0"/>
          <w:i w:val="0"/>
          <w:sz w:val="20"/>
        </w:rPr>
        <w:t>not_researched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available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conflicting</w:t>
      </w:r>
      <w:r>
        <w:rPr>
          <w:rFonts w:ascii="Arial" w:hAnsi="Arial"/>
          <w:b w:val="0"/>
          <w:i w:val="0"/>
          <w:sz w:val="22"/>
        </w:rPr>
        <w:t>, …) for clause variables.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In Doc-Lineage, define </w:t>
      </w:r>
      <w:r>
        <w:rPr>
          <w:rFonts w:ascii="Consolas" w:hAnsi="Consolas"/>
          <w:b w:val="0"/>
          <w:i w:val="0"/>
          <w:sz w:val="20"/>
        </w:rPr>
        <w:t>tracked-variable/v1</w:t>
      </w:r>
      <w:r>
        <w:rPr>
          <w:rFonts w:ascii="Arial" w:hAnsi="Arial"/>
          <w:b w:val="0"/>
          <w:i w:val="0"/>
          <w:sz w:val="22"/>
        </w:rPr>
        <w:t xml:space="preserve"> rows with a </w:t>
      </w:r>
      <w:r>
        <w:rPr>
          <w:rFonts w:ascii="Consolas" w:hAnsi="Consolas"/>
          <w:b w:val="0"/>
          <w:i w:val="0"/>
          <w:sz w:val="20"/>
        </w:rPr>
        <w:t>field_provenance</w:t>
      </w:r>
      <w:r>
        <w:rPr>
          <w:rFonts w:ascii="Arial" w:hAnsi="Arial"/>
          <w:b w:val="0"/>
          <w:i w:val="0"/>
          <w:sz w:val="22"/>
        </w:rPr>
        <w:t xml:space="preserve"> block mirroring FAA; wire </w:t>
      </w:r>
      <w:r>
        <w:rPr>
          <w:rFonts w:ascii="Consolas" w:hAnsi="Consolas"/>
          <w:b w:val="0"/>
          <w:i w:val="0"/>
          <w:sz w:val="20"/>
        </w:rPr>
        <w:t>provenance.completeness_report()</w:t>
      </w:r>
      <w:r>
        <w:rPr>
          <w:rFonts w:ascii="Arial" w:hAnsi="Arial"/>
          <w:b w:val="0"/>
          <w:i w:val="0"/>
          <w:sz w:val="22"/>
        </w:rPr>
        <w:t xml:space="preserve"> logic as a CI gate on synthetic EDGAR fixtures before first blackline ship.</w:t>
      </w:r>
    </w:p>
    <w:p>
      <w:pPr>
        <w:pStyle w:val="Heading3"/>
      </w:pPr>
      <w:r>
        <w:rPr>
          <w:rFonts w:ascii="Arial" w:hAnsi="Arial"/>
          <w:b/>
          <w:sz w:val="23"/>
        </w:rPr>
        <w:t>Registration confirms sameness (never refutes it)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[LOCAL_WORKSPACE]/Fine-Art-Archive/src/fine_art_archive/identity/work_qid_uniqueness.py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WorkQidClaims</w:t>
      </w:r>
      <w:r>
        <w:rPr>
          <w:rFonts w:ascii="Arial" w:hAnsi="Arial"/>
          <w:b w:val="0"/>
          <w:i w:val="0"/>
          <w:sz w:val="22"/>
        </w:rPr>
        <w:t>)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Before assigning a canonical ID, scan incumbents; on collision, </w:t>
      </w:r>
      <w:r>
        <w:rPr>
          <w:rFonts w:ascii="Arial" w:hAnsi="Arial"/>
          <w:b/>
          <w:i w:val="0"/>
          <w:sz w:val="22"/>
        </w:rPr>
        <w:t>decline</w:t>
      </w:r>
      <w:r>
        <w:rPr>
          <w:rFonts w:ascii="Arial" w:hAnsi="Arial"/>
          <w:b w:val="0"/>
          <w:i w:val="0"/>
          <w:sz w:val="22"/>
        </w:rPr>
        <w:t xml:space="preserve"> the write and record a note naming the holder. Registration can only confirm sameness; dedup passes adjudicate merges.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Copy the pattern.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In Pension-Data </w:t>
      </w:r>
      <w:r>
        <w:rPr>
          <w:rFonts w:ascii="Consolas" w:hAnsi="Consolas"/>
          <w:b w:val="0"/>
          <w:i w:val="0"/>
          <w:sz w:val="20"/>
        </w:rPr>
        <w:t>entities/service.py</w:t>
      </w:r>
      <w:r>
        <w:rPr>
          <w:rFonts w:ascii="Arial" w:hAnsi="Arial"/>
          <w:b w:val="0"/>
          <w:i w:val="0"/>
          <w:sz w:val="22"/>
        </w:rPr>
        <w:t xml:space="preserve">, add a pre-write guard on </w:t>
      </w:r>
      <w:r>
        <w:rPr>
          <w:rFonts w:ascii="Consolas" w:hAnsi="Consolas"/>
          <w:b w:val="0"/>
          <w:i w:val="0"/>
          <w:sz w:val="20"/>
        </w:rPr>
        <w:t>manager: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fund:</w:t>
      </w:r>
      <w:r>
        <w:rPr>
          <w:rFonts w:ascii="Arial" w:hAnsi="Arial"/>
          <w:b w:val="0"/>
          <w:i w:val="0"/>
          <w:sz w:val="22"/>
        </w:rPr>
        <w:t xml:space="preserve"> canonical IDs: collision → queue row, never silent overwrite. In Inv-Man-Intake </w:t>
      </w:r>
      <w:r>
        <w:rPr>
          <w:rFonts w:ascii="Consolas" w:hAnsi="Consolas"/>
          <w:b w:val="0"/>
          <w:i w:val="0"/>
          <w:sz w:val="20"/>
        </w:rPr>
        <w:t>register_intake_bundle</w:t>
      </w:r>
      <w:r>
        <w:rPr>
          <w:rFonts w:ascii="Arial" w:hAnsi="Arial"/>
          <w:b w:val="0"/>
          <w:i w:val="0"/>
          <w:sz w:val="22"/>
        </w:rPr>
        <w:t>, treat duplicate firm/fund alias resolution the same way.</w:t>
      </w:r>
    </w:p>
    <w:p>
      <w:pPr>
        <w:pStyle w:val="Heading3"/>
      </w:pPr>
      <w:r>
        <w:rPr>
          <w:rFonts w:ascii="Arial" w:hAnsi="Arial"/>
          <w:b/>
          <w:sz w:val="23"/>
        </w:rPr>
        <w:t>Verification cascade (layered, blocking)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[LOCAL_WORKSPACE]/Fine-Art-Archive/src/fine_art_archive/collect/verify.py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Composes checks (aspect ratio, perceptual hash, optional CLIP) into a </w:t>
      </w:r>
      <w:r>
        <w:rPr>
          <w:rFonts w:ascii="Consolas" w:hAnsi="Consolas"/>
          <w:b w:val="0"/>
          <w:i w:val="0"/>
          <w:sz w:val="20"/>
        </w:rPr>
        <w:t>VerificationReport</w:t>
      </w:r>
      <w:r>
        <w:rPr>
          <w:rFonts w:ascii="Arial" w:hAnsi="Arial"/>
          <w:b w:val="0"/>
          <w:i w:val="0"/>
          <w:sz w:val="22"/>
        </w:rPr>
        <w:t xml:space="preserve"> with per-check </w:t>
      </w:r>
      <w:r>
        <w:rPr>
          <w:rFonts w:ascii="Consolas" w:hAnsi="Consolas"/>
          <w:b w:val="0"/>
          <w:i w:val="0"/>
          <w:sz w:val="20"/>
        </w:rPr>
        <w:t>PASS</w:t>
      </w:r>
      <w:r>
        <w:rPr>
          <w:rFonts w:ascii="Arial" w:hAnsi="Arial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FAIL</w:t>
      </w:r>
      <w:r>
        <w:rPr>
          <w:rFonts w:ascii="Arial" w:hAnsi="Arial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SKIP</w:t>
      </w:r>
      <w:r>
        <w:rPr>
          <w:rFonts w:ascii="Arial" w:hAnsi="Arial"/>
          <w:b w:val="0"/>
          <w:i w:val="0"/>
          <w:sz w:val="22"/>
        </w:rPr>
        <w:t xml:space="preserve"> and an overall gate before acquisition commits.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Copy the pattern</w:t>
      </w:r>
      <w:r>
        <w:rPr>
          <w:rFonts w:ascii="Arial" w:hAnsi="Arial"/>
          <w:b w:val="0"/>
          <w:i w:val="0"/>
          <w:sz w:val="22"/>
        </w:rPr>
        <w:t xml:space="preserve"> (interface + report shape).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Doc-Lineage M1 ingest: Layer 1 = PDF byte-hash + page count; Layer 2 = section-ID fingerprint; Layer 3 = semantic alignment score. Block blackline emit on </w:t>
      </w:r>
      <w:r>
        <w:rPr>
          <w:rFonts w:ascii="Consolas" w:hAnsi="Consolas"/>
          <w:b w:val="0"/>
          <w:i w:val="0"/>
          <w:sz w:val="20"/>
        </w:rPr>
        <w:t>FAIL</w:t>
      </w:r>
      <w:r>
        <w:rPr>
          <w:rFonts w:ascii="Arial" w:hAnsi="Arial"/>
          <w:b w:val="0"/>
          <w:i w:val="0"/>
          <w:sz w:val="22"/>
        </w:rPr>
        <w:t>. Inv-Man-Intake extraction orchestrator already has escalation records—map them to the same report struct.</w:t>
      </w:r>
    </w:p>
    <w:p>
      <w:pPr>
        <w:pStyle w:val="Heading3"/>
      </w:pPr>
      <w:r>
        <w:rPr>
          <w:rFonts w:ascii="Arial" w:hAnsi="Arial"/>
          <w:b/>
          <w:sz w:val="23"/>
        </w:rPr>
        <w:t>Concurrent-writer discipline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[LOCAL_WORKSPACE]/Fine-Art-Archive/src/fine_art_archive/fixity.py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_sidecar_file_lock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_write_sidecar_atomic</w:t>
      </w:r>
      <w:r>
        <w:rPr>
          <w:rFonts w:ascii="Arial" w:hAnsi="Arial"/>
          <w:b w:val="0"/>
          <w:i w:val="0"/>
          <w:sz w:val="22"/>
        </w:rPr>
        <w:t xml:space="preserve">); </w:t>
      </w:r>
      <w:r>
        <w:rPr>
          <w:rFonts w:ascii="Consolas" w:hAnsi="Consolas"/>
          <w:b w:val="0"/>
          <w:i w:val="0"/>
          <w:sz w:val="20"/>
        </w:rPr>
        <w:t>api/main.py</w:t>
      </w:r>
      <w:r>
        <w:rPr>
          <w:rFonts w:ascii="Arial" w:hAnsi="Arial"/>
          <w:b w:val="0"/>
          <w:i w:val="0"/>
          <w:sz w:val="22"/>
        </w:rPr>
        <w:t xml:space="preserve"> (JSONL compaction under lock)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Per-file </w:t>
      </w:r>
      <w:r>
        <w:rPr>
          <w:rFonts w:ascii="Consolas" w:hAnsi="Consolas"/>
          <w:b w:val="0"/>
          <w:i w:val="0"/>
          <w:sz w:val="20"/>
        </w:rPr>
        <w:t>fcntl</w:t>
      </w:r>
      <w:r>
        <w:rPr>
          <w:rFonts w:ascii="Arial" w:hAnsi="Arial"/>
          <w:b w:val="0"/>
          <w:i w:val="0"/>
          <w:sz w:val="22"/>
        </w:rPr>
        <w:t xml:space="preserve"> locks, temp-file atomic replace, read errors propagate (writers cannot compact a log they failed to load). Manifest rebuild is separate from per-sidecar mutation.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Lift the lock/atomic-write helpers</w:t>
      </w:r>
      <w:r>
        <w:rPr>
          <w:rFonts w:ascii="Arial" w:hAnsi="Arial"/>
          <w:b w:val="0"/>
          <w:i w:val="0"/>
          <w:sz w:val="22"/>
        </w:rPr>
        <w:t xml:space="preserve"> into Workflows </w:t>
      </w:r>
      <w:r>
        <w:rPr>
          <w:rFonts w:ascii="Consolas" w:hAnsi="Consolas"/>
          <w:b w:val="0"/>
          <w:i w:val="0"/>
          <w:sz w:val="20"/>
        </w:rPr>
        <w:t>packages/</w:t>
      </w:r>
      <w:r>
        <w:rPr>
          <w:rFonts w:ascii="Arial" w:hAnsi="Arial"/>
          <w:b w:val="0"/>
          <w:i w:val="0"/>
          <w:sz w:val="22"/>
        </w:rPr>
        <w:t xml:space="preserve"> as </w:t>
      </w:r>
      <w:r>
        <w:rPr>
          <w:rFonts w:ascii="Consolas" w:hAnsi="Consolas"/>
          <w:b w:val="0"/>
          <w:i w:val="0"/>
          <w:sz w:val="20"/>
        </w:rPr>
        <w:t>stranske_atomic_io</w:t>
      </w:r>
      <w:r>
        <w:rPr>
          <w:rFonts w:ascii="Arial" w:hAnsi="Arial"/>
          <w:b w:val="0"/>
          <w:i w:val="0"/>
          <w:sz w:val="22"/>
        </w:rPr>
        <w:t xml:space="preserve"> (≈40 lines); </w:t>
      </w:r>
      <w:r>
        <w:rPr>
          <w:rFonts w:ascii="Arial" w:hAnsi="Arial"/>
          <w:b/>
          <w:i w:val="0"/>
          <w:sz w:val="22"/>
        </w:rPr>
        <w:t>copy the one-writer policy</w:t>
      </w:r>
      <w:r>
        <w:rPr>
          <w:rFonts w:ascii="Arial" w:hAnsi="Arial"/>
          <w:b w:val="0"/>
          <w:i w:val="0"/>
          <w:sz w:val="22"/>
        </w:rPr>
        <w:t xml:space="preserve"> elsewhere.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Manager-Database offline WASM demo and Inv-Man-Intake Pyodide operator app: document single-writer SQLite like Reader. Doc-Lineage artifact dir: one run writer per </w:t>
      </w:r>
      <w:r>
        <w:rPr>
          <w:rFonts w:ascii="Consolas" w:hAnsi="Consolas"/>
          <w:b w:val="0"/>
          <w:i w:val="0"/>
          <w:sz w:val="20"/>
        </w:rPr>
        <w:t>run_id/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Arial" w:hAnsi="Arial"/>
          <w:b/>
          <w:sz w:val="23"/>
        </w:rPr>
        <w:t>Manifest gate (catalog ≠ corpus)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[LOCAL_WORKSPACE]/Fine-Art-Archive/scripts/build_manifest.py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api/store.py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UI and batch jobs list only works present in </w:t>
      </w:r>
      <w:r>
        <w:rPr>
          <w:rFonts w:ascii="Consolas" w:hAnsi="Consolas"/>
          <w:b w:val="0"/>
          <w:i w:val="0"/>
          <w:sz w:val="20"/>
        </w:rPr>
        <w:t>manifest.csv</w:t>
      </w:r>
      <w:r>
        <w:rPr>
          <w:rFonts w:ascii="Arial" w:hAnsi="Arial"/>
          <w:b w:val="0"/>
          <w:i w:val="0"/>
          <w:sz w:val="22"/>
        </w:rPr>
        <w:t>; promotion requires explicit rebuild.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Copy the pattern.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Pension-Data review PWA: separate </w:t>
      </w:r>
      <w:r>
        <w:rPr>
          <w:rFonts w:ascii="Consolas" w:hAnsi="Consolas"/>
          <w:b w:val="0"/>
          <w:i w:val="0"/>
          <w:sz w:val="20"/>
        </w:rPr>
        <w:t>published_facts.csv</w:t>
      </w:r>
      <w:r>
        <w:rPr>
          <w:rFonts w:ascii="Arial" w:hAnsi="Arial"/>
          <w:b w:val="0"/>
          <w:i w:val="0"/>
          <w:sz w:val="22"/>
        </w:rPr>
        <w:t xml:space="preserve"> manifest from raw staging tables; Inv-Man-Intake </w:t>
      </w:r>
      <w:r>
        <w:rPr>
          <w:rFonts w:ascii="Consolas" w:hAnsi="Consolas"/>
          <w:b w:val="0"/>
          <w:i w:val="0"/>
          <w:sz w:val="20"/>
        </w:rPr>
        <w:t>run_manifest.py</w:t>
      </w:r>
      <w:r>
        <w:rPr>
          <w:rFonts w:ascii="Arial" w:hAnsi="Arial"/>
          <w:b w:val="0"/>
          <w:i w:val="0"/>
          <w:sz w:val="22"/>
        </w:rPr>
        <w:t xml:space="preserve"> already hashes outputs—add an explicit "analyst-visible" manifest slice the static app reads.</w:t>
      </w:r>
    </w:p>
    <w:p>
      <w:pPr>
        <w:pStyle w:val="Heading3"/>
      </w:pPr>
      <w:r>
        <w:rPr>
          <w:rFonts w:ascii="Arial" w:hAnsi="Arial"/>
          <w:b/>
          <w:sz w:val="23"/>
        </w:rPr>
        <w:t>Run-contract validator (opt-in)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[LOCAL_WORKSPACE]/Fine-Art-Archive/scripts/validate_run_contract.py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Role-aware validation of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>; SKIP when repo not registered.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Already lifted</w:t>
      </w:r>
      <w:r>
        <w:rPr>
          <w:rFonts w:ascii="Arial" w:hAnsi="Arial"/>
          <w:b w:val="0"/>
          <w:i w:val="0"/>
          <w:sz w:val="22"/>
        </w:rPr>
        <w:t xml:space="preserve"> via Workflows sync—do not fork.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Register FAA as </w:t>
      </w:r>
      <w:r>
        <w:rPr>
          <w:rFonts w:ascii="Consolas" w:hAnsi="Consolas"/>
          <w:b w:val="0"/>
          <w:i w:val="0"/>
          <w:sz w:val="20"/>
        </w:rPr>
        <w:t>candidate</w:t>
      </w:r>
      <w:r>
        <w:rPr>
          <w:rFonts w:ascii="Arial" w:hAnsi="Arial"/>
          <w:b w:val="0"/>
          <w:i w:val="0"/>
          <w:sz w:val="22"/>
        </w:rPr>
        <w:t xml:space="preserve"> producer in Workflows </w:t>
      </w:r>
      <w:r>
        <w:rPr>
          <w:rFonts w:ascii="Consolas" w:hAnsi="Consolas"/>
          <w:b w:val="0"/>
          <w:i w:val="0"/>
          <w:sz w:val="20"/>
        </w:rPr>
        <w:t>config/backplane_participants.json</w:t>
      </w:r>
      <w:r>
        <w:rPr>
          <w:rFonts w:ascii="Arial" w:hAnsi="Arial"/>
          <w:b w:val="0"/>
          <w:i w:val="0"/>
          <w:sz w:val="22"/>
        </w:rPr>
        <w:t>; emit from one enrichment batch script to close the scaffold gap noted in the FAA dossier §8.</w:t>
      </w:r>
    </w:p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Reader</w:t>
      </w:r>
    </w:p>
    <w:p>
      <w:pPr>
        <w:pStyle w:val="Heading3"/>
      </w:pPr>
      <w:r>
        <w:rPr>
          <w:rFonts w:ascii="Arial" w:hAnsi="Arial"/>
          <w:b/>
          <w:sz w:val="23"/>
        </w:rPr>
        <w:t>Adult confirms AI drafts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Principles.md</w:t>
      </w:r>
      <w:r>
        <w:rPr>
          <w:rFonts w:ascii="Arial" w:hAnsi="Arial"/>
          <w:b w:val="0"/>
          <w:i w:val="0"/>
          <w:sz w:val="22"/>
        </w:rPr>
        <w:t xml:space="preserve"> (P-A3, P-E3); </w:t>
      </w:r>
      <w:r>
        <w:rPr>
          <w:rFonts w:ascii="Consolas" w:hAnsi="Consolas"/>
          <w:b w:val="0"/>
          <w:i w:val="0"/>
          <w:sz w:val="20"/>
        </w:rPr>
        <w:t>standards/progress.py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record_evidence</w:t>
      </w:r>
      <w:r>
        <w:rPr>
          <w:rFonts w:ascii="Arial" w:hAnsi="Arial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confirm_evidence</w:t>
      </w:r>
      <w:r>
        <w:rPr>
          <w:rFonts w:ascii="Arial" w:hAnsi="Arial"/>
          <w:b w:val="0"/>
          <w:i w:val="0"/>
          <w:sz w:val="22"/>
        </w:rPr>
        <w:t>); app scoring flows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Machine proposes miscues, questions, and provisional game evidence; </w:t>
      </w:r>
      <w:r>
        <w:rPr>
          <w:rFonts w:ascii="Arial" w:hAnsi="Arial"/>
          <w:b/>
          <w:i w:val="0"/>
          <w:sz w:val="22"/>
        </w:rPr>
        <w:t>only adult-confirmed rows</w:t>
      </w:r>
      <w:r>
        <w:rPr>
          <w:rFonts w:ascii="Arial" w:hAnsi="Arial"/>
          <w:b w:val="0"/>
          <w:i w:val="0"/>
          <w:sz w:val="22"/>
        </w:rPr>
        <w:t xml:space="preserve"> become stored truth or mastery updates. Measurement (WCPM) stays separate from intervention (P-F2).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Copy the pattern</w:t>
      </w:r>
      <w:r>
        <w:rPr>
          <w:rFonts w:ascii="Arial" w:hAnsi="Arial"/>
          <w:b w:val="0"/>
          <w:i w:val="0"/>
          <w:sz w:val="22"/>
        </w:rPr>
        <w:t xml:space="preserve"> (two-phase propose/confirm API).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Inv-Man-Intake </w:t>
      </w:r>
      <w:r>
        <w:rPr>
          <w:rFonts w:ascii="Consolas" w:hAnsi="Consolas"/>
          <w:b w:val="0"/>
          <w:i w:val="0"/>
          <w:sz w:val="20"/>
        </w:rPr>
        <w:t>assist/intake_assistant.py</w:t>
      </w:r>
      <w:r>
        <w:rPr>
          <w:rFonts w:ascii="Arial" w:hAnsi="Arial"/>
          <w:b w:val="0"/>
          <w:i w:val="0"/>
          <w:sz w:val="22"/>
        </w:rPr>
        <w:t xml:space="preserve"> and Pension-Data </w:t>
      </w:r>
      <w:r>
        <w:rPr>
          <w:rFonts w:ascii="Consolas" w:hAnsi="Consolas"/>
          <w:b w:val="0"/>
          <w:i w:val="0"/>
          <w:sz w:val="20"/>
        </w:rPr>
        <w:t>quality/confidence.py</w:t>
      </w:r>
      <w:r>
        <w:rPr>
          <w:rFonts w:ascii="Arial" w:hAnsi="Arial"/>
          <w:b w:val="0"/>
          <w:i w:val="0"/>
          <w:sz w:val="22"/>
        </w:rPr>
        <w:t xml:space="preserve">: split </w:t>
      </w:r>
      <w:r>
        <w:rPr>
          <w:rFonts w:ascii="Consolas" w:hAnsi="Consolas"/>
          <w:b w:val="0"/>
          <w:i w:val="0"/>
          <w:sz w:val="20"/>
        </w:rPr>
        <w:t>proposed_value</w:t>
      </w:r>
      <w:r>
        <w:rPr>
          <w:rFonts w:ascii="Arial" w:hAnsi="Arial"/>
          <w:b w:val="0"/>
          <w:i w:val="0"/>
          <w:sz w:val="22"/>
        </w:rPr>
        <w:t xml:space="preserve"> from </w:t>
      </w:r>
      <w:r>
        <w:rPr>
          <w:rFonts w:ascii="Consolas" w:hAnsi="Consolas"/>
          <w:b w:val="0"/>
          <w:i w:val="0"/>
          <w:sz w:val="20"/>
        </w:rPr>
        <w:t>confirmed_value</w:t>
      </w:r>
      <w:r>
        <w:rPr>
          <w:rFonts w:ascii="Arial" w:hAnsi="Arial"/>
          <w:b w:val="0"/>
          <w:i w:val="0"/>
          <w:sz w:val="22"/>
        </w:rPr>
        <w:t xml:space="preserve">; auto-accept only above threshold, else analyst queue. Manager-Database RAG: mark LLM answers </w:t>
      </w:r>
      <w:r>
        <w:rPr>
          <w:rFonts w:ascii="Consolas" w:hAnsi="Consolas"/>
          <w:b w:val="0"/>
          <w:i w:val="0"/>
          <w:sz w:val="20"/>
        </w:rPr>
        <w:t>draft</w:t>
      </w:r>
      <w:r>
        <w:rPr>
          <w:rFonts w:ascii="Arial" w:hAnsi="Arial"/>
          <w:b w:val="0"/>
          <w:i w:val="0"/>
          <w:sz w:val="22"/>
        </w:rPr>
        <w:t xml:space="preserve"> until analyst pins citations.</w:t>
      </w:r>
    </w:p>
    <w:p>
      <w:pPr>
        <w:pStyle w:val="Heading3"/>
      </w:pPr>
      <w:r>
        <w:rPr>
          <w:rFonts w:ascii="Arial" w:hAnsi="Arial"/>
          <w:b/>
          <w:sz w:val="23"/>
        </w:rPr>
        <w:t>Local-first + serialized one-writer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(Dropbox-synced </w:t>
      </w:r>
      <w:r>
        <w:rPr>
          <w:rFonts w:ascii="Consolas" w:hAnsi="Consolas"/>
          <w:b w:val="0"/>
          <w:i w:val="0"/>
          <w:sz w:val="20"/>
        </w:rPr>
        <w:t>reader.db</w:t>
      </w:r>
      <w:r>
        <w:rPr>
          <w:rFonts w:ascii="Arial" w:hAnsi="Arial"/>
          <w:b w:val="0"/>
          <w:i w:val="0"/>
          <w:sz w:val="22"/>
        </w:rPr>
        <w:t xml:space="preserve">); </w:t>
      </w:r>
      <w:r>
        <w:rPr>
          <w:rFonts w:ascii="Consolas" w:hAnsi="Consolas"/>
          <w:b w:val="0"/>
          <w:i w:val="0"/>
          <w:sz w:val="20"/>
        </w:rPr>
        <w:t>docs/draft_sync.md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Canonical SQLite on disk; </w:t>
      </w:r>
      <w:r>
        <w:rPr>
          <w:rFonts w:ascii="Arial" w:hAnsi="Arial"/>
          <w:b/>
          <w:i w:val="0"/>
          <w:sz w:val="22"/>
        </w:rPr>
        <w:t>never two servers writing one DB</w:t>
      </w:r>
      <w:r>
        <w:rPr>
          <w:rFonts w:ascii="Arial" w:hAnsi="Arial"/>
          <w:b w:val="0"/>
          <w:i w:val="0"/>
          <w:sz w:val="22"/>
        </w:rPr>
        <w:t xml:space="preserve">; drafts merge by </w:t>
      </w:r>
      <w:r>
        <w:rPr>
          <w:rFonts w:ascii="Consolas" w:hAnsi="Consolas"/>
          <w:b w:val="0"/>
          <w:i w:val="0"/>
          <w:sz w:val="20"/>
        </w:rPr>
        <w:t>updated_at</w:t>
      </w:r>
      <w:r>
        <w:rPr>
          <w:rFonts w:ascii="Arial" w:hAnsi="Arial"/>
          <w:b w:val="0"/>
          <w:i w:val="0"/>
          <w:sz w:val="22"/>
        </w:rPr>
        <w:t xml:space="preserve"> with background reconcile.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Copy the pattern.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Document the same handoff in Inv-Man-Intake runbooks for shared </w:t>
      </w:r>
      <w:r>
        <w:rPr>
          <w:rFonts w:ascii="Consolas" w:hAnsi="Consolas"/>
          <w:b w:val="0"/>
          <w:i w:val="0"/>
          <w:sz w:val="20"/>
        </w:rPr>
        <w:t>FAA_WORKS_DIR</w:t>
      </w:r>
      <w:r>
        <w:rPr>
          <w:rFonts w:ascii="Arial" w:hAnsi="Arial"/>
          <w:b w:val="0"/>
          <w:i w:val="0"/>
          <w:sz w:val="22"/>
        </w:rPr>
        <w:t>-style intake roots; Pension-Data PostgreSQL deploy guide: single migration writer, read replicas optional.</w:t>
      </w:r>
    </w:p>
    <w:p>
      <w:pPr>
        <w:pStyle w:val="Heading3"/>
      </w:pPr>
      <w:r>
        <w:rPr>
          <w:rFonts w:ascii="Arial" w:hAnsi="Arial"/>
          <w:b/>
          <w:sz w:val="23"/>
        </w:rPr>
        <w:t>Standards evidence module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standards/schema_standards.sql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standards/progress.py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standards/README.md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CASE-ingested skill graph, evidence ledger, mastery rollup; </w:t>
      </w:r>
      <w:r>
        <w:rPr>
          <w:rFonts w:ascii="Consolas" w:hAnsi="Consolas"/>
          <w:b w:val="0"/>
          <w:i w:val="0"/>
          <w:sz w:val="20"/>
        </w:rPr>
        <w:t>practice_kind='transfer'</w:t>
      </w:r>
      <w:r>
        <w:rPr>
          <w:rFonts w:ascii="Arial" w:hAnsi="Arial"/>
          <w:b w:val="0"/>
          <w:i w:val="0"/>
          <w:sz w:val="22"/>
        </w:rPr>
        <w:t xml:space="preserve"> never moves mastery; crosswalk is adult-mediated.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Copy the pattern</w:t>
      </w:r>
      <w:r>
        <w:rPr>
          <w:rFonts w:ascii="Arial" w:hAnsi="Arial"/>
          <w:b w:val="0"/>
          <w:i w:val="0"/>
          <w:sz w:val="22"/>
        </w:rPr>
        <w:t xml:space="preserve"> (ledger + rollup), not the CASE ingest.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Pension-Data: map </w:t>
      </w:r>
      <w:r>
        <w:rPr>
          <w:rFonts w:ascii="Consolas" w:hAnsi="Consolas"/>
          <w:b w:val="0"/>
          <w:i w:val="0"/>
          <w:sz w:val="20"/>
        </w:rPr>
        <w:t>fact:&lt;hash&gt;</w:t>
      </w:r>
      <w:r>
        <w:rPr>
          <w:rFonts w:ascii="Arial" w:hAnsi="Arial"/>
          <w:b w:val="0"/>
          <w:i w:val="0"/>
          <w:sz w:val="22"/>
        </w:rPr>
        <w:t xml:space="preserve"> staging rows to an evidence ledger table with </w:t>
      </w:r>
      <w:r>
        <w:rPr>
          <w:rFonts w:ascii="Consolas" w:hAnsi="Consolas"/>
          <w:b w:val="0"/>
          <w:i w:val="0"/>
          <w:sz w:val="20"/>
        </w:rPr>
        <w:t>confirmed_by</w:t>
      </w:r>
      <w:r>
        <w:rPr>
          <w:rFonts w:ascii="Arial" w:hAnsi="Arial"/>
          <w:b w:val="0"/>
          <w:i w:val="0"/>
          <w:sz w:val="22"/>
        </w:rPr>
        <w:t>; Doc-Lineage tracked variables use the same confirm path before export to Pension-Data staging.</w:t>
      </w:r>
    </w:p>
    <w:p>
      <w:pPr>
        <w:pStyle w:val="Heading3"/>
      </w:pPr>
      <w:r>
        <w:rPr>
          <w:rFonts w:ascii="Arial" w:hAnsi="Arial"/>
          <w:b/>
          <w:sz w:val="23"/>
        </w:rPr>
        <w:t>Principles registry (evidence-graded design constitution)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Principles.md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Each design rule carries mechanism, evidence level, anti-patterns, review cadence—copied from LMS </w:t>
      </w:r>
      <w:r>
        <w:rPr>
          <w:rFonts w:ascii="Consolas" w:hAnsi="Consolas"/>
          <w:b w:val="0"/>
          <w:i w:val="0"/>
          <w:sz w:val="20"/>
        </w:rPr>
        <w:t>research_registry/schemas.py</w:t>
      </w:r>
      <w:r>
        <w:rPr>
          <w:rFonts w:ascii="Arial" w:hAnsi="Arial"/>
          <w:b w:val="0"/>
          <w:i w:val="0"/>
          <w:sz w:val="22"/>
        </w:rPr>
        <w:t>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Copy the pattern</w:t>
      </w:r>
      <w:r>
        <w:rPr>
          <w:rFonts w:ascii="Arial" w:hAnsi="Arial"/>
          <w:b w:val="0"/>
          <w:i w:val="0"/>
          <w:sz w:val="22"/>
        </w:rPr>
        <w:t xml:space="preserve"> into each work repo as </w:t>
      </w:r>
      <w:r>
        <w:rPr>
          <w:rFonts w:ascii="Consolas" w:hAnsi="Consolas"/>
          <w:b w:val="0"/>
          <w:i w:val="0"/>
          <w:sz w:val="20"/>
        </w:rPr>
        <w:t>docs/PRINCIPLES.md</w:t>
      </w:r>
      <w:r>
        <w:rPr>
          <w:rFonts w:ascii="Arial" w:hAnsi="Arial"/>
          <w:b w:val="0"/>
          <w:i w:val="0"/>
          <w:sz w:val="22"/>
        </w:rPr>
        <w:t xml:space="preserve"> stub.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Workflows template sync adds a one-page principles skeleton; Doc-Lineage principle P-1: "blackline classification is human-auditable."</w:t>
      </w:r>
    </w:p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trip-planner</w:t>
      </w:r>
    </w:p>
    <w:p>
      <w:pPr>
        <w:pStyle w:val="Heading3"/>
      </w:pPr>
      <w:r>
        <w:rPr>
          <w:rFonts w:ascii="Arial" w:hAnsi="Arial"/>
          <w:b/>
          <w:sz w:val="23"/>
        </w:rPr>
        <w:t>Data-zone egress gate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[LOCAL_WORKSPACE]/trip-planner/trip_planner/app/services/planner_runtime_config.py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TRIP_PLANNER_DATA_ZONE</w:t>
      </w:r>
      <w:r>
        <w:rPr>
          <w:rFonts w:ascii="Arial" w:hAnsi="Arial"/>
          <w:b w:val="0"/>
          <w:i w:val="0"/>
          <w:sz w:val="22"/>
        </w:rPr>
        <w:t>)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proprietary</w:t>
      </w:r>
      <w:r>
        <w:rPr>
          <w:rFonts w:ascii="Arial" w:hAnsi="Arial"/>
          <w:b w:val="0"/>
          <w:i w:val="0"/>
          <w:sz w:val="22"/>
        </w:rPr>
        <w:t xml:space="preserve"> zone blocks OpenAI unless endpoint is explicitly authorized; defaults to deterministic fallback.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Lift code</w:t>
      </w:r>
      <w:r>
        <w:rPr>
          <w:rFonts w:ascii="Arial" w:hAnsi="Arial"/>
          <w:b w:val="0"/>
          <w:i w:val="0"/>
          <w:sz w:val="22"/>
        </w:rPr>
        <w:t xml:space="preserve"> (small module) into Workflows </w:t>
      </w:r>
      <w:r>
        <w:rPr>
          <w:rFonts w:ascii="Consolas" w:hAnsi="Consolas"/>
          <w:b w:val="0"/>
          <w:i w:val="0"/>
          <w:sz w:val="20"/>
        </w:rPr>
        <w:t>tools/data_zone.py</w:t>
      </w:r>
      <w:r>
        <w:rPr>
          <w:rFonts w:ascii="Arial" w:hAnsi="Arial"/>
          <w:b w:val="0"/>
          <w:i w:val="0"/>
          <w:sz w:val="22"/>
        </w:rPr>
        <w:t>; wire per repo.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Inv-Man-Intake and Manager-Database: gate LangSmith and remote extraction behind </w:t>
      </w:r>
      <w:r>
        <w:rPr>
          <w:rFonts w:ascii="Consolas" w:hAnsi="Consolas"/>
          <w:b w:val="0"/>
          <w:i w:val="0"/>
          <w:sz w:val="20"/>
        </w:rPr>
        <w:t>*_DATA_ZONE=proprietary</w:t>
      </w:r>
      <w:r>
        <w:rPr>
          <w:rFonts w:ascii="Arial" w:hAnsi="Arial"/>
          <w:b w:val="0"/>
          <w:i w:val="0"/>
          <w:sz w:val="22"/>
        </w:rPr>
        <w:t xml:space="preserve">; CI runs with </w:t>
      </w:r>
      <w:r>
        <w:rPr>
          <w:rFonts w:ascii="Consolas" w:hAnsi="Consolas"/>
          <w:b w:val="0"/>
          <w:i w:val="0"/>
          <w:sz w:val="20"/>
        </w:rPr>
        <w:t>synthetic</w:t>
      </w:r>
      <w:r>
        <w:rPr>
          <w:rFonts w:ascii="Arial" w:hAnsi="Arial"/>
          <w:b w:val="0"/>
          <w:i w:val="0"/>
          <w:sz w:val="22"/>
        </w:rPr>
        <w:t xml:space="preserve"> only.</w:t>
      </w:r>
    </w:p>
    <w:p>
      <w:pPr>
        <w:pStyle w:val="Heading3"/>
      </w:pPr>
      <w:r>
        <w:rPr>
          <w:rFonts w:ascii="Arial" w:hAnsi="Arial"/>
          <w:b/>
          <w:sz w:val="23"/>
        </w:rPr>
        <w:t>Source quality scorer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[LOCAL_WORKSPACE]/trip-planner/trip_planner/sources/quality.py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SourceQualityScorer</w:t>
      </w:r>
      <w:r>
        <w:rPr>
          <w:rFonts w:ascii="Arial" w:hAnsi="Arial"/>
          <w:b w:val="0"/>
          <w:i w:val="0"/>
          <w:sz w:val="22"/>
        </w:rPr>
        <w:t>)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Fuses freshness, channel fit, provenance strength, and conflict state into a bounded confidence label for ranking explanations.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Lift code</w:t>
      </w:r>
      <w:r>
        <w:rPr>
          <w:rFonts w:ascii="Arial" w:hAnsi="Arial"/>
          <w:b w:val="0"/>
          <w:i w:val="0"/>
          <w:sz w:val="22"/>
        </w:rPr>
        <w:t xml:space="preserve"> with renamed category priors (replace </w:t>
      </w:r>
      <w:r>
        <w:rPr>
          <w:rFonts w:ascii="Consolas" w:hAnsi="Consolas"/>
          <w:b w:val="0"/>
          <w:i w:val="0"/>
          <w:sz w:val="20"/>
        </w:rPr>
        <w:t>managed_travel_policy</w:t>
      </w:r>
      <w:r>
        <w:rPr>
          <w:rFonts w:ascii="Arial" w:hAnsi="Arial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regulatory_filing</w:t>
      </w:r>
      <w:r>
        <w:rPr>
          <w:rFonts w:ascii="Arial" w:hAnsi="Arial"/>
          <w:b w:val="0"/>
          <w:i w:val="0"/>
          <w:sz w:val="22"/>
        </w:rPr>
        <w:t>, etc.).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Inv-Man-Intake </w:t>
      </w:r>
      <w:r>
        <w:rPr>
          <w:rFonts w:ascii="Consolas" w:hAnsi="Consolas"/>
          <w:b w:val="0"/>
          <w:i w:val="0"/>
          <w:sz w:val="20"/>
        </w:rPr>
        <w:t>extraction/confidence.py</w:t>
      </w:r>
      <w:r>
        <w:rPr>
          <w:rFonts w:ascii="Arial" w:hAnsi="Arial"/>
          <w:b w:val="0"/>
          <w:i w:val="0"/>
          <w:sz w:val="22"/>
        </w:rPr>
        <w:t xml:space="preserve">: delegate duplicate-source resolution weights to shared scorer; Pension-Data </w:t>
      </w:r>
      <w:r>
        <w:rPr>
          <w:rFonts w:ascii="Consolas" w:hAnsi="Consolas"/>
          <w:b w:val="0"/>
          <w:i w:val="0"/>
          <w:sz w:val="20"/>
        </w:rPr>
        <w:t>sources/ppd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sources/edgar</w:t>
      </w:r>
      <w:r>
        <w:rPr>
          <w:rFonts w:ascii="Arial" w:hAnsi="Arial"/>
          <w:b w:val="0"/>
          <w:i w:val="0"/>
          <w:sz w:val="22"/>
        </w:rPr>
        <w:t xml:space="preserve"> adapters attach </w:t>
      </w:r>
      <w:r>
        <w:rPr>
          <w:rFonts w:ascii="Consolas" w:hAnsi="Consolas"/>
          <w:b w:val="0"/>
          <w:i w:val="0"/>
          <w:sz w:val="20"/>
        </w:rPr>
        <w:t>SourceRecord</w:t>
      </w:r>
      <w:r>
        <w:rPr>
          <w:rFonts w:ascii="Arial" w:hAnsi="Arial"/>
          <w:b w:val="0"/>
          <w:i w:val="0"/>
          <w:sz w:val="22"/>
        </w:rPr>
        <w:t xml:space="preserve"> metadata.</w:t>
      </w:r>
    </w:p>
    <w:p>
      <w:pPr>
        <w:pStyle w:val="Heading3"/>
      </w:pPr>
      <w:r>
        <w:rPr>
          <w:rFonts w:ascii="Arial" w:hAnsi="Arial"/>
          <w:b/>
          <w:sz w:val="23"/>
        </w:rPr>
        <w:t>HTTP circuit breaker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[LOCAL_WORKSPACE]/trip-planner/trip_planner/integrations/tpp/client.py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_CircuitBreaker</w:t>
      </w:r>
      <w:r>
        <w:rPr>
          <w:rFonts w:ascii="Arial" w:hAnsi="Arial"/>
          <w:b w:val="0"/>
          <w:i w:val="0"/>
          <w:sz w:val="22"/>
        </w:rPr>
        <w:t>)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Host-keyed breaker with exponential backoff and typed error taxonomy for remote policy calls.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Lift code</w:t>
      </w:r>
      <w:r>
        <w:rPr>
          <w:rFonts w:ascii="Arial" w:hAnsi="Arial"/>
          <w:b w:val="0"/>
          <w:i w:val="0"/>
          <w:sz w:val="22"/>
        </w:rPr>
        <w:t xml:space="preserve"> to Workflows </w:t>
      </w:r>
      <w:r>
        <w:rPr>
          <w:rFonts w:ascii="Consolas" w:hAnsi="Consolas"/>
          <w:b w:val="0"/>
          <w:i w:val="0"/>
          <w:sz w:val="20"/>
        </w:rPr>
        <w:t>packages/</w:t>
      </w:r>
      <w:r>
        <w:rPr>
          <w:rFonts w:ascii="Arial" w:hAnsi="Arial"/>
          <w:b w:val="0"/>
          <w:i w:val="0"/>
          <w:sz w:val="22"/>
        </w:rPr>
        <w:t xml:space="preserve"> (already mirrored in Manager-Database dossier §10).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Manager-Database </w:t>
      </w:r>
      <w:r>
        <w:rPr>
          <w:rFonts w:ascii="Consolas" w:hAnsi="Consolas"/>
          <w:b w:val="0"/>
          <w:i w:val="0"/>
          <w:sz w:val="20"/>
        </w:rPr>
        <w:t>adapters/edgar.py</w:t>
      </w:r>
      <w:r>
        <w:rPr>
          <w:rFonts w:ascii="Arial" w:hAnsi="Arial"/>
          <w:b w:val="0"/>
          <w:i w:val="0"/>
          <w:sz w:val="22"/>
        </w:rPr>
        <w:t xml:space="preserve"> and Pension-Data HTTP clients: wrap SEC/PPD calls; open breaker → fixture fallback in CI.</w:t>
      </w:r>
    </w:p>
    <w:p>
      <w:pPr>
        <w:pStyle w:val="Heading3"/>
      </w:pPr>
      <w:r>
        <w:rPr>
          <w:rFonts w:ascii="Arial" w:hAnsi="Arial"/>
          <w:b/>
          <w:sz w:val="23"/>
        </w:rPr>
        <w:t>Multicriteria ranking engine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[LOCAL_WORKSPACE]/trip-planner/trip_planner/ranking/base.py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BaseRankingEngine</w:t>
      </w:r>
      <w:r>
        <w:rPr>
          <w:rFonts w:ascii="Arial" w:hAnsi="Arial"/>
          <w:b w:val="0"/>
          <w:i w:val="0"/>
          <w:sz w:val="22"/>
        </w:rPr>
        <w:t>)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Weighted attribute scoring with explanation payloads for ranked scenarios.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Copy the pattern</w:t>
      </w:r>
      <w:r>
        <w:rPr>
          <w:rFonts w:ascii="Arial" w:hAnsi="Arial"/>
          <w:b w:val="0"/>
          <w:i w:val="0"/>
          <w:sz w:val="22"/>
        </w:rPr>
        <w:t xml:space="preserve"> (engine interface + explanation dict), not leisure/business profiles.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Inv-Man-Intake </w:t>
      </w:r>
      <w:r>
        <w:rPr>
          <w:rFonts w:ascii="Consolas" w:hAnsi="Consolas"/>
          <w:b w:val="0"/>
          <w:i w:val="0"/>
          <w:sz w:val="20"/>
        </w:rPr>
        <w:t>scoring/</w:t>
      </w:r>
      <w:r>
        <w:rPr>
          <w:rFonts w:ascii="Arial" w:hAnsi="Arial"/>
          <w:b w:val="0"/>
          <w:i w:val="0"/>
          <w:sz w:val="22"/>
        </w:rPr>
        <w:t xml:space="preserve">: emit per-dimension contributions matching </w:t>
      </w:r>
      <w:r>
        <w:rPr>
          <w:rFonts w:ascii="Consolas" w:hAnsi="Consolas"/>
          <w:b w:val="0"/>
          <w:i w:val="0"/>
          <w:sz w:val="20"/>
        </w:rPr>
        <w:t>RankedResultSet</w:t>
      </w:r>
      <w:r>
        <w:rPr>
          <w:rFonts w:ascii="Arial" w:hAnsi="Arial"/>
          <w:b w:val="0"/>
          <w:i w:val="0"/>
          <w:sz w:val="22"/>
        </w:rPr>
        <w:t xml:space="preserve"> shape for manager prioritization dashboards.</w:t>
      </w:r>
    </w:p>
    <w:p>
      <w:pPr>
        <w:pStyle w:val="Heading3"/>
      </w:pPr>
      <w:r>
        <w:rPr>
          <w:rFonts w:ascii="Arial" w:hAnsi="Arial"/>
          <w:b/>
          <w:sz w:val="23"/>
        </w:rPr>
        <w:t>Complexity ceiling enforcer</w:t>
      </w:r>
    </w:p>
    <w:p>
      <w:r>
        <w:rPr>
          <w:rFonts w:ascii="Arial" w:hAnsi="Arial"/>
          <w:b/>
          <w:i w:val="0"/>
          <w:sz w:val="22"/>
        </w:rPr>
        <w:t>Path: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[LOCAL_WORKSPACE]/trip-planner/scripts/measure_complexity.py</w:t>
      </w:r>
    </w:p>
    <w:p>
      <w:r>
        <w:rPr>
          <w:rFonts w:ascii="Arial" w:hAnsi="Arial"/>
          <w:b/>
          <w:i w:val="0"/>
          <w:sz w:val="22"/>
        </w:rPr>
        <w:t>What it does:</w:t>
      </w:r>
      <w:r>
        <w:rPr>
          <w:rFonts w:ascii="Arial" w:hAnsi="Arial"/>
          <w:b w:val="0"/>
          <w:i w:val="0"/>
          <w:sz w:val="22"/>
        </w:rPr>
        <w:t xml:space="preserve"> AST-based cyclomatic complexity gate (ceiling 25) in CI.</w:t>
      </w:r>
    </w:p>
    <w:p>
      <w:r>
        <w:rPr>
          <w:rFonts w:ascii="Arial" w:hAnsi="Arial"/>
          <w:b/>
          <w:i w:val="0"/>
          <w:sz w:val="22"/>
        </w:rPr>
        <w:t>Lift vs pattern: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Lift code</w:t>
      </w:r>
      <w:r>
        <w:rPr>
          <w:rFonts w:ascii="Arial" w:hAnsi="Arial"/>
          <w:b w:val="0"/>
          <w:i w:val="0"/>
          <w:sz w:val="22"/>
        </w:rPr>
        <w:t xml:space="preserve"> via Workflows sync to all Python repos missing it.</w:t>
      </w:r>
    </w:p>
    <w:p>
      <w:r>
        <w:rPr>
          <w:rFonts w:ascii="Arial" w:hAnsi="Arial"/>
          <w:b/>
          <w:i w:val="0"/>
          <w:sz w:val="22"/>
        </w:rPr>
        <w:t>Adoption:</w:t>
      </w:r>
      <w:r>
        <w:rPr>
          <w:rFonts w:ascii="Arial" w:hAnsi="Arial"/>
          <w:b w:val="0"/>
          <w:i w:val="0"/>
          <w:sz w:val="22"/>
        </w:rPr>
        <w:t xml:space="preserve"> Add to Workflows </w:t>
      </w:r>
      <w:r>
        <w:rPr>
          <w:rFonts w:ascii="Consolas" w:hAnsi="Consolas"/>
          <w:b w:val="0"/>
          <w:i w:val="0"/>
          <w:sz w:val="20"/>
        </w:rPr>
        <w:t>reusable-10-ci-python.yml</w:t>
      </w:r>
      <w:r>
        <w:rPr>
          <w:rFonts w:ascii="Arial" w:hAnsi="Arial"/>
          <w:b w:val="0"/>
          <w:i w:val="0"/>
          <w:sz w:val="22"/>
        </w:rPr>
        <w:t xml:space="preserve"> optional job; enable in Doc-Lineage from day one.</w:t>
      </w:r>
    </w:p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Cross-repo adoption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 target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Highest-value imports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First step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Inv-Man-Intake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Reader confirm gate; trip-planner data-zone + source quality; FAA provenance statuses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Add </w:t>
            </w:r>
            <w:r>
              <w:rPr>
                <w:rFonts w:ascii="Consolas" w:hAnsi="Consolas"/>
                <w:b w:val="0"/>
                <w:i w:val="0"/>
                <w:sz w:val="20"/>
              </w:rPr>
              <w:t>proposed</w:t>
            </w:r>
            <w:r>
              <w:rPr>
                <w:rFonts w:ascii="Arial" w:hAnsi="Arial"/>
                <w:b w:val="0"/>
                <w:i w:val="0"/>
                <w:sz w:val="22"/>
              </w:rPr>
              <w:t>/</w:t>
            </w:r>
            <w:r>
              <w:rPr>
                <w:rFonts w:ascii="Consolas" w:hAnsi="Consolas"/>
                <w:b w:val="0"/>
                <w:i w:val="0"/>
                <w:sz w:val="20"/>
              </w:rPr>
              <w:t>confirmed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field writes in </w:t>
            </w:r>
            <w:r>
              <w:rPr>
                <w:rFonts w:ascii="Consolas" w:hAnsi="Consolas"/>
                <w:b w:val="0"/>
                <w:i w:val="0"/>
                <w:sz w:val="20"/>
              </w:rPr>
              <w:t>data/provenance.py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register scorer categories in </w:t>
            </w:r>
            <w:r>
              <w:rPr>
                <w:rFonts w:ascii="Consolas" w:hAnsi="Consolas"/>
                <w:b w:val="0"/>
                <w:i w:val="0"/>
                <w:sz w:val="20"/>
              </w:rPr>
              <w:t>config/thresholds.toml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Manager-Database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trip-planner circuit breaker (lift); FAA atomic IO; Reader draft-vs-truth for RAG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Wrap </w:t>
            </w:r>
            <w:r>
              <w:rPr>
                <w:rFonts w:ascii="Consolas" w:hAnsi="Consolas"/>
                <w:b w:val="0"/>
                <w:i w:val="0"/>
                <w:sz w:val="20"/>
              </w:rPr>
              <w:t>adapters/edgar.py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with breaker; require analyst pin on </w:t>
            </w:r>
            <w:r>
              <w:rPr>
                <w:rFonts w:ascii="Consolas" w:hAnsi="Consolas"/>
                <w:b w:val="0"/>
                <w:i w:val="0"/>
                <w:sz w:val="20"/>
              </w:rPr>
              <w:t>chains/evidence.py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outputs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Pension-Data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FAA registration guard; Reader evidence ledger; trip-planner source quality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Extend </w:t>
            </w:r>
            <w:r>
              <w:rPr>
                <w:rFonts w:ascii="Consolas" w:hAnsi="Consolas"/>
                <w:b w:val="0"/>
                <w:i w:val="0"/>
                <w:sz w:val="20"/>
              </w:rPr>
              <w:t>entities/service.py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collision decline; add </w:t>
            </w:r>
            <w:r>
              <w:rPr>
                <w:rFonts w:ascii="Consolas" w:hAnsi="Consolas"/>
                <w:b w:val="0"/>
                <w:i w:val="0"/>
                <w:sz w:val="20"/>
              </w:rPr>
              <w:t>confirm_evidence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analogue to </w:t>
            </w:r>
            <w:r>
              <w:rPr>
                <w:rFonts w:ascii="Consolas" w:hAnsi="Consolas"/>
                <w:b w:val="0"/>
                <w:i w:val="0"/>
                <w:sz w:val="20"/>
              </w:rPr>
              <w:t>review_queue/extraction.py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Doc-Lineage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(greenfield)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FAA sidecar + verify + provenance; Reader confirm; Pension-Data hash lineage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Ship M1 with </w:t>
            </w:r>
            <w:r>
              <w:rPr>
                <w:rFonts w:ascii="Consolas" w:hAnsi="Consolas"/>
                <w:b w:val="0"/>
                <w:i w:val="0"/>
                <w:sz w:val="20"/>
              </w:rPr>
              <w:t>doc:&lt;sha256&gt;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IDs, variable ledger, static HTML page links per R1/R2 briefs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Workflows / infra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FAA 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validate_run_contract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(done); trip-planner </w:t>
            </w:r>
            <w:r>
              <w:rPr>
                <w:rFonts w:ascii="Consolas" w:hAnsi="Consolas"/>
                <w:b w:val="0"/>
                <w:i w:val="0"/>
                <w:sz w:val="20"/>
              </w:rPr>
              <w:t>measure_complexity</w:t>
            </w:r>
            <w:r>
              <w:rPr>
                <w:rFonts w:ascii="Arial" w:hAnsi="Arial"/>
                <w:b w:val="0"/>
                <w:i w:val="0"/>
                <w:sz w:val="22"/>
              </w:rPr>
              <w:t>, data-zone, circuit breaker; Reader principles template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One PR: </w:t>
            </w:r>
            <w:r>
              <w:rPr>
                <w:rFonts w:ascii="Consolas" w:hAnsi="Consolas"/>
                <w:b w:val="0"/>
                <w:i w:val="0"/>
                <w:sz w:val="20"/>
              </w:rPr>
              <w:t>tools/data_zone.py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sync manifest entry; principles template in </w:t>
            </w:r>
            <w:r>
              <w:rPr>
                <w:rFonts w:ascii="Consolas" w:hAnsi="Consolas"/>
                <w:b w:val="0"/>
                <w:i w:val="0"/>
                <w:sz w:val="20"/>
              </w:rPr>
              <w:t>templates/consumer-repo/docs/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What not to reuse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FAA preference learning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preference/bradley_terry.py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selection/lenses.py</w:t>
      </w:r>
      <w:r>
        <w:rPr>
          <w:rFonts w:ascii="Arial" w:hAnsi="Arial"/>
          <w:b w:val="0"/>
          <w:i w:val="0"/>
          <w:sz w:val="22"/>
        </w:rPr>
        <w:t>): domain-specific taste model; not transferable to manager scoring without new labels.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Reader FSRS scheduling</w:t>
      </w:r>
      <w:r>
        <w:rPr>
          <w:rFonts w:ascii="Arial" w:hAnsi="Arial"/>
          <w:b w:val="0"/>
          <w:i w:val="0"/>
          <w:sz w:val="22"/>
        </w:rPr>
        <w:t>: depends on LMS mastery graph; Pension-Data has its own bitemporal facts—do not merge schedulers.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trip-planner leisure ranking profiles</w:t>
      </w:r>
      <w:r>
        <w:rPr>
          <w:rFonts w:ascii="Arial" w:hAnsi="Arial"/>
          <w:b w:val="0"/>
          <w:i w:val="0"/>
          <w:sz w:val="22"/>
        </w:rPr>
        <w:t>: business policy compiler shape is useful; vacation weights are not.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FAA DINOv2 / vision dedup</w:t>
      </w:r>
      <w:r>
        <w:rPr>
          <w:rFonts w:ascii="Arial" w:hAnsi="Arial"/>
          <w:b w:val="0"/>
          <w:i w:val="0"/>
          <w:sz w:val="22"/>
        </w:rPr>
        <w:t xml:space="preserve">: operational GPU cache off-repo; Inv-Man-Intake image path should use </w:t>
      </w:r>
      <w:r>
        <w:rPr>
          <w:rFonts w:ascii="Consolas" w:hAnsi="Consolas"/>
          <w:b w:val="0"/>
          <w:i w:val="0"/>
          <w:sz w:val="20"/>
        </w:rPr>
        <w:t>stranske_pdf_extract</w:t>
      </w:r>
      <w:r>
        <w:rPr>
          <w:rFonts w:ascii="Arial" w:hAnsi="Arial"/>
          <w:b w:val="0"/>
          <w:i w:val="0"/>
          <w:sz w:val="22"/>
        </w:rPr>
        <w:t>, not art embeddings.</w:t>
      </w:r>
    </w:p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Confidence and open risks</w:t>
      </w:r>
    </w:p>
    <w:p>
      <w:r>
        <w:rPr>
          <w:rFonts w:ascii="Arial" w:hAnsi="Arial"/>
          <w:b/>
          <w:i w:val="0"/>
          <w:sz w:val="22"/>
        </w:rPr>
        <w:t>Confidence: high</w:t>
      </w:r>
      <w:r>
        <w:rPr>
          <w:rFonts w:ascii="Arial" w:hAnsi="Arial"/>
          <w:b w:val="0"/>
          <w:i w:val="0"/>
          <w:sz w:val="22"/>
        </w:rPr>
        <w:t xml:space="preserve"> on discipline patterns (confirm gate, registration guard, data zone, atomic IO)—they are small, tested, and align with existing fleet contracts. </w:t>
      </w:r>
      <w:r>
        <w:rPr>
          <w:rFonts w:ascii="Arial" w:hAnsi="Arial"/>
          <w:b/>
          <w:i w:val="0"/>
          <w:sz w:val="22"/>
        </w:rPr>
        <w:t>Medium</w:t>
      </w:r>
      <w:r>
        <w:rPr>
          <w:rFonts w:ascii="Arial" w:hAnsi="Arial"/>
          <w:b w:val="0"/>
          <w:i w:val="0"/>
          <w:sz w:val="22"/>
        </w:rPr>
        <w:t xml:space="preserve"> on lifting </w:t>
      </w:r>
      <w:r>
        <w:rPr>
          <w:rFonts w:ascii="Consolas" w:hAnsi="Consolas"/>
          <w:b w:val="0"/>
          <w:i w:val="0"/>
          <w:sz w:val="20"/>
        </w:rPr>
        <w:t>SourceQualityScorer</w:t>
      </w:r>
      <w:r>
        <w:rPr>
          <w:rFonts w:ascii="Arial" w:hAnsi="Arial"/>
          <w:b w:val="0"/>
          <w:i w:val="0"/>
          <w:sz w:val="22"/>
        </w:rPr>
        <w:t xml:space="preserve"> without calibrating investment-specific category priors. </w:t>
      </w:r>
      <w:r>
        <w:rPr>
          <w:rFonts w:ascii="Arial" w:hAnsi="Arial"/>
          <w:b/>
          <w:i w:val="0"/>
          <w:sz w:val="22"/>
        </w:rPr>
        <w:t>Low</w:t>
      </w:r>
      <w:r>
        <w:rPr>
          <w:rFonts w:ascii="Arial" w:hAnsi="Arial"/>
          <w:b w:val="0"/>
          <w:i w:val="0"/>
          <w:sz w:val="22"/>
        </w:rPr>
        <w:t xml:space="preserve"> on any cross-domain ranking lift until asset-class weights are validated against Inv-Man-Intake fixtures.</w:t>
      </w:r>
    </w:p>
    <w:p>
      <w:r>
        <w:rPr>
          <w:rFonts w:ascii="Arial" w:hAnsi="Arial"/>
          <w:b/>
          <w:i w:val="0"/>
          <w:sz w:val="22"/>
        </w:rPr>
        <w:t>Would change my mind:</w:t>
      </w:r>
      <w:r>
        <w:rPr>
          <w:rFonts w:ascii="Arial" w:hAnsi="Arial"/>
          <w:b w:val="0"/>
          <w:i w:val="0"/>
          <w:sz w:val="22"/>
        </w:rPr>
        <w:t xml:space="preserve"> If Workflows </w:t>
      </w:r>
      <w:r>
        <w:rPr>
          <w:rFonts w:ascii="Consolas" w:hAnsi="Consolas"/>
          <w:b w:val="0"/>
          <w:i w:val="0"/>
          <w:sz w:val="20"/>
        </w:rPr>
        <w:t>stranske_pdf_extract</w:t>
      </w:r>
      <w:r>
        <w:rPr>
          <w:rFonts w:ascii="Arial" w:hAnsi="Arial"/>
          <w:b w:val="0"/>
          <w:i w:val="0"/>
          <w:sz w:val="22"/>
        </w:rPr>
        <w:t xml:space="preserve"> ships first, Doc-Lineage and Inv-Man-Intake should prefer its </w:t>
      </w:r>
      <w:r>
        <w:rPr>
          <w:rFonts w:ascii="Consolas" w:hAnsi="Consolas"/>
          <w:b w:val="0"/>
          <w:i w:val="0"/>
          <w:sz w:val="20"/>
        </w:rPr>
        <w:t>EvidenceRef</w:t>
      </w:r>
      <w:r>
        <w:rPr>
          <w:rFonts w:ascii="Arial" w:hAnsi="Arial"/>
          <w:b w:val="0"/>
          <w:i w:val="0"/>
          <w:sz w:val="22"/>
        </w:rPr>
        <w:t xml:space="preserve"> contract over FAA sidecar fields for page citations—FAA provenance becomes a pattern reference only.</w:t>
      </w:r>
    </w:p>
    <w:p>
      <w:r>
        <w:rPr>
          <w:rFonts w:ascii="Arial" w:hAnsi="Arial"/>
          <w:b w:val="0"/>
          <w:i w:val="0"/>
          <w:sz w:val="22"/>
        </w:rPr>
        <w:t xml:space="preserve">Verified against dossiers and clone paths under </w:t>
      </w:r>
      <w:r>
        <w:rPr>
          <w:rFonts w:ascii="Consolas" w:hAnsi="Consolas"/>
          <w:b w:val="0"/>
          <w:i w:val="0"/>
          <w:sz w:val="20"/>
        </w:rPr>
        <w:t>research-program/[LOCAL_WORKSPACE]/</w:t>
      </w:r>
      <w:r>
        <w:rPr>
          <w:rFonts w:ascii="Arial" w:hAnsi="Arial"/>
          <w:b w:val="0"/>
          <w:i w:val="0"/>
          <w:sz w:val="22"/>
        </w:rPr>
        <w:t xml:space="preserve"> and Reader at </w:t>
      </w:r>
      <w:r>
        <w:rPr>
          <w:rFonts w:ascii="Consolas" w:hAnsi="Consolas"/>
          <w:b w:val="0"/>
          <w:i w:val="0"/>
          <w:sz w:val="20"/>
        </w:rPr>
        <w:t>~/Library/CloudStorage/Dropbox/Learning/Code/Reader</w:t>
      </w:r>
      <w:r>
        <w:rPr>
          <w:rFonts w:ascii="Arial" w:hAnsi="Arial"/>
          <w:b w:val="0"/>
          <w:i w:val="0"/>
          <w:sz w:val="22"/>
        </w:rPr>
        <w:t xml:space="preserve"> on 2026-09-04.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