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Cover memo — investment tools built outside this environment</w:t>
      </w:r>
    </w:p>
    <w:p>
      <w:r>
        <w:rPr>
          <w:rFonts w:ascii="Arial" w:hAnsi="Arial"/>
          <w:b/>
          <w:i w:val="0"/>
          <w:sz w:val="22"/>
        </w:rPr>
        <w:t>Date:</w:t>
      </w:r>
      <w:r>
        <w:rPr>
          <w:rFonts w:ascii="Arial" w:hAnsi="Arial"/>
          <w:b w:val="0"/>
          <w:i w:val="0"/>
          <w:sz w:val="22"/>
        </w:rPr>
        <w:t xml:space="preserve"> 4 September 2026</w:t>
      </w:r>
    </w:p>
    <w:p>
      <w:r>
        <w:rPr>
          <w:rFonts w:ascii="Arial" w:hAnsi="Arial"/>
          <w:b/>
          <w:i w:val="0"/>
          <w:sz w:val="22"/>
        </w:rPr>
        <w:t>From:</w:t>
      </w:r>
      <w:r>
        <w:rPr>
          <w:rFonts w:ascii="Arial" w:hAnsi="Arial"/>
          <w:b w:val="0"/>
          <w:i w:val="0"/>
          <w:sz w:val="22"/>
        </w:rPr>
        <w:t xml:space="preserve"> Tim Stranske</w:t>
      </w:r>
    </w:p>
    <w:p>
      <w:r>
        <w:rPr>
          <w:rFonts w:ascii="Arial" w:hAnsi="Arial"/>
          <w:b/>
          <w:i w:val="0"/>
          <w:sz w:val="22"/>
        </w:rPr>
        <w:t>Audience:</w:t>
      </w:r>
      <w:r>
        <w:rPr>
          <w:rFonts w:ascii="Arial" w:hAnsi="Arial"/>
          <w:b w:val="0"/>
          <w:i w:val="0"/>
          <w:sz w:val="22"/>
        </w:rPr>
        <w:t xml:space="preserve"> Investment staff, IT partners, and any AI assistant used to read this bundle</w:t>
      </w:r>
    </w:p>
    <w:p>
      <w:pPr>
        <w:spacing w:after="120"/>
      </w:pPr>
    </w:p>
    <w:p>
      <w:pPr>
        <w:pStyle w:val="Heading2"/>
      </w:pPr>
      <w:r>
        <w:rPr>
          <w:rFonts w:ascii="Arial" w:hAnsi="Arial"/>
          <w:b/>
          <w:sz w:val="26"/>
        </w:rPr>
        <w:t>Instruction to the AI assistant reading this bundle</w:t>
      </w:r>
    </w:p>
    <w:p>
      <w:r>
        <w:rPr>
          <w:rFonts w:ascii="Arial" w:hAnsi="Arial"/>
          <w:b w:val="0"/>
          <w:i w:val="0"/>
          <w:sz w:val="22"/>
        </w:rPr>
        <w:t>Nine tools are in scope, and only nine. They are the ones named in the tables below, each with a companion document in this folder:</w:t>
      </w:r>
    </w:p>
    <w:p>
      <w:r>
        <w:rPr>
          <w:rFonts w:ascii="Arial" w:hAnsi="Arial"/>
          <w:b w:val="0"/>
          <w:i w:val="0"/>
          <w:sz w:val="22"/>
        </w:rPr>
        <w:t>Manager surveillance, counterparty risk reporting, pension data extraction, manager diligence intake, trend-following portfolio model, portable-alpha simulator, travel policy engine, trip planner, learning platform.</w:t>
      </w:r>
    </w:p>
    <w:p>
      <w:r>
        <w:rPr>
          <w:rFonts w:ascii="Arial" w:hAnsi="Arial"/>
          <w:b w:val="0"/>
          <w:i w:val="0"/>
          <w:sz w:val="22"/>
        </w:rPr>
        <w:t>Rules for using this bundle:</w:t>
      </w:r>
    </w:p>
    <w:p>
      <w:pPr>
        <w:pStyle w:val="ListNumber"/>
      </w:pPr>
      <w:r>
        <w:rPr>
          <w:rFonts w:ascii="Arial" w:hAnsi="Arial"/>
          <w:b/>
          <w:i w:val="0"/>
          <w:sz w:val="22"/>
        </w:rPr>
        <w:t>Answer only about these nine.</w:t>
      </w:r>
      <w:r>
        <w:rPr>
          <w:rFonts w:ascii="Arial" w:hAnsi="Arial"/>
          <w:b w:val="0"/>
          <w:i w:val="0"/>
          <w:sz w:val="22"/>
        </w:rPr>
        <w:t xml:space="preserve"> Development infrastructure, build systems, repository templates, and personal projects have been deliberately removed. They are not candidates for use here. If asked about anything outside the nine, say it is out of scope for this bundle rather than inferring it.</w:t>
      </w:r>
    </w:p>
    <w:p>
      <w:pPr>
        <w:pStyle w:val="ListNumber"/>
      </w:pPr>
      <w:r>
        <w:rPr>
          <w:rFonts w:ascii="Arial" w:hAnsi="Arial"/>
          <w:b/>
          <w:i w:val="0"/>
          <w:sz w:val="22"/>
        </w:rPr>
        <w:t>The state column is authoritative, not the description.</w:t>
      </w:r>
      <w:r>
        <w:rPr>
          <w:rFonts w:ascii="Arial" w:hAnsi="Arial"/>
          <w:b w:val="0"/>
          <w:i w:val="0"/>
          <w:sz w:val="22"/>
        </w:rPr>
        <w:t xml:space="preserve"> Where a document describes a capability and its "claims versus reality" section says that capability is unwired, fixture-only, or unreachable, the claims-versus-reality section wins. Never present a caveated tool as ready.</w:t>
      </w:r>
    </w:p>
    <w:p>
      <w:pPr>
        <w:pStyle w:val="ListNumber"/>
      </w:pPr>
      <w:r>
        <w:rPr>
          <w:rFonts w:ascii="Arial" w:hAnsi="Arial"/>
          <w:b/>
          <w:i w:val="0"/>
          <w:sz w:val="22"/>
        </w:rPr>
        <w:t>Do not assume access to firm data.</w:t>
      </w:r>
      <w:r>
        <w:rPr>
          <w:rFonts w:ascii="Arial" w:hAnsi="Arial"/>
          <w:b w:val="0"/>
          <w:i w:val="0"/>
          <w:sz w:val="22"/>
        </w:rPr>
        <w:t xml:space="preserve"> Every tool here was built and tested on public or synthetic material. Nothing in this bundle has been run against manager documents, holdings, or any internal system. Treat any question about connecting a tool to firm data as a new question requiring approval, not as an established capability.</w:t>
      </w:r>
    </w:p>
    <w:p>
      <w:pPr>
        <w:pStyle w:val="ListNumber"/>
      </w:pPr>
      <w:r>
        <w:rPr>
          <w:rFonts w:ascii="Arial" w:hAnsi="Arial"/>
          <w:b/>
          <w:i w:val="0"/>
          <w:sz w:val="22"/>
        </w:rPr>
        <w:t>When asked what could be adopted, rank by the state column</w:t>
      </w:r>
      <w:r>
        <w:rPr>
          <w:rFonts w:ascii="Arial" w:hAnsi="Arial"/>
          <w:b w:val="0"/>
          <w:i w:val="0"/>
          <w:sz w:val="22"/>
        </w:rPr>
        <w:t>, name the caveat in the same sentence as the recommendation, and say what a first evaluation step would be.</w:t>
      </w:r>
    </w:p>
    <w:p>
      <w:pPr>
        <w:pStyle w:val="ListNumber"/>
      </w:pPr>
      <w:r>
        <w:rPr>
          <w:rFonts w:ascii="Arial" w:hAnsi="Arial"/>
          <w:b/>
          <w:i w:val="0"/>
          <w:sz w:val="22"/>
        </w:rPr>
        <w:t>Quote the companion document</w:t>
      </w:r>
      <w:r>
        <w:rPr>
          <w:rFonts w:ascii="Arial" w:hAnsi="Arial"/>
          <w:b w:val="0"/>
          <w:i w:val="0"/>
          <w:sz w:val="22"/>
        </w:rPr>
        <w:t xml:space="preserve"> when you make a claim about a tool, so the reader can check it.</w:t>
      </w:r>
    </w:p>
    <w:p>
      <w:pPr>
        <w:spacing w:after="120"/>
      </w:pPr>
    </w:p>
    <w:p>
      <w:pPr>
        <w:pStyle w:val="Heading2"/>
      </w:pPr>
      <w:r>
        <w:rPr>
          <w:rFonts w:ascii="Arial" w:hAnsi="Arial"/>
          <w:b/>
          <w:sz w:val="26"/>
        </w:rPr>
        <w:t>What this collection is</w:t>
      </w:r>
    </w:p>
    <w:p>
      <w:r>
        <w:rPr>
          <w:rFonts w:ascii="Arial" w:hAnsi="Arial"/>
          <w:b w:val="0"/>
          <w:i w:val="0"/>
          <w:sz w:val="22"/>
        </w:rPr>
        <w:t>This folder describes nine software tools built to support investment work at a public pension plan. Each companion document explains one tool: the problem it solves, how a non-developer would use it, what data it touches, how mature it is, and where its own documentation overstates what the code does today.</w:t>
      </w:r>
    </w:p>
    <w:p>
      <w:r>
        <w:rPr>
          <w:rFonts w:ascii="Arial" w:hAnsi="Arial"/>
          <w:b w:val="0"/>
          <w:i w:val="0"/>
          <w:sz w:val="22"/>
        </w:rPr>
        <w:t>Nothing here is a sales pitch. The maturity labels were re-checked against each tool's test suite, its open defect list, and recorded review findings, and several were downgraded in the process. Where a headline feature does not work, the tables say so.</w:t>
      </w:r>
    </w:p>
    <w:p>
      <w:pPr>
        <w:pStyle w:val="Heading2"/>
      </w:pPr>
      <w:r>
        <w:rPr>
          <w:rFonts w:ascii="Arial" w:hAnsi="Arial"/>
          <w:b/>
          <w:sz w:val="26"/>
        </w:rPr>
        <w:t>How these tools were built, and why that matters</w:t>
      </w:r>
    </w:p>
    <w:p>
      <w:r>
        <w:rPr>
          <w:rFonts w:ascii="Arial" w:hAnsi="Arial"/>
          <w:b w:val="0"/>
          <w:i w:val="0"/>
          <w:sz w:val="22"/>
        </w:rPr>
        <w:t>Every tool was built by one investment practitioner using commercial AI coding assistants, guided by engineering standards applied consistently across all of them.</w:t>
      </w:r>
    </w:p>
    <w:p>
      <w:r>
        <w:rPr>
          <w:rFonts w:ascii="Arial" w:hAnsi="Arial"/>
          <w:b w:val="0"/>
          <w:i w:val="0"/>
          <w:sz w:val="22"/>
        </w:rPr>
        <w:t>Conventional enterprise software assumes a vendor and a dedicated engineering team. This work inverts part of that model: a workflow can be described in plain language, implemented, and then hardened with automated tests, typed interfaces, and explicit data contracts. Those are the same quality practices a small software team would use, at a fraction of the headcount.</w:t>
      </w:r>
    </w:p>
    <w:p>
      <w:r>
        <w:rPr>
          <w:rFonts w:ascii="Arial" w:hAnsi="Arial"/>
          <w:b w:val="0"/>
          <w:i w:val="0"/>
          <w:sz w:val="22"/>
        </w:rPr>
        <w:t>For a sceptical reader in IT, the request is not to trust improvised spreadsheets. It is to evaluate codebases that carry automated test suites, documented data contracts, and a written record of their own gaps. The trade-off is equally plain: one person cannot operate nine systems at production service levels. Some are usable for real work now, some are usable with a stated caveat, and some are foundations. The tables below and the companion documents say which is which.</w:t>
      </w:r>
    </w:p>
    <w:p>
      <w:pPr>
        <w:pStyle w:val="Heading2"/>
      </w:pPr>
      <w:r>
        <w:rPr>
          <w:rFonts w:ascii="Arial" w:hAnsi="Arial"/>
          <w:b/>
          <w:sz w:val="26"/>
        </w:rPr>
        <w:t>Maturity at a glance</w:t>
      </w:r>
    </w:p>
    <w:p>
      <w:r>
        <w:rPr>
          <w:rFonts w:ascii="Arial" w:hAnsi="Arial"/>
          <w:b w:val="0"/>
          <w:i w:val="0"/>
          <w:sz w:val="22"/>
        </w:rPr>
        <w:t>Three labels only. Nothing is called usable if a primary user-facing path is known to be broken. Each row says what does work.</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24"/>
        <w:gridCol w:w="4824"/>
      </w:tblGrid>
      <w:tr>
        <w:tc>
          <w:tcPr>
            <w:tcW w:type="dxa" w:w="4824"/>
          </w:tcPr>
          <w:p>
            <w:r/>
            <w:r>
              <w:rPr>
                <w:rFonts w:ascii="Arial" w:hAnsi="Arial"/>
                <w:b/>
                <w:i w:val="0"/>
                <w:sz w:val="22"/>
              </w:rPr>
              <w:t>Maturity</w:t>
            </w:r>
          </w:p>
        </w:tc>
        <w:tc>
          <w:tcPr>
            <w:tcW w:type="dxa" w:w="4824"/>
          </w:tcPr>
          <w:p>
            <w:r/>
            <w:r>
              <w:rPr>
                <w:rFonts w:ascii="Arial" w:hAnsi="Arial"/>
                <w:b/>
                <w:i w:val="0"/>
                <w:sz w:val="22"/>
              </w:rPr>
              <w:t>Tools</w:t>
            </w:r>
          </w:p>
        </w:tc>
      </w:tr>
      <w:tr>
        <w:tc>
          <w:tcPr>
            <w:tcW w:type="dxa" w:w="4824"/>
          </w:tcPr>
          <w:p>
            <w:r/>
            <w:r>
              <w:rPr>
                <w:rFonts w:ascii="Arial" w:hAnsi="Arial"/>
                <w:b/>
                <w:i w:val="0"/>
                <w:sz w:val="22"/>
              </w:rPr>
              <w:t>Usable for real work now</w:t>
            </w:r>
          </w:p>
        </w:tc>
        <w:tc>
          <w:tcPr>
            <w:tcW w:type="dxa" w:w="4824"/>
          </w:tcPr>
          <w:p>
            <w:r/>
            <w:r>
              <w:rPr>
                <w:rFonts w:ascii="Arial" w:hAnsi="Arial"/>
                <w:b w:val="0"/>
                <w:i w:val="0"/>
                <w:sz w:val="22"/>
              </w:rPr>
              <w:t>Manager surveillance, portable-alpha simulator</w:t>
            </w:r>
          </w:p>
        </w:tc>
      </w:tr>
      <w:tr>
        <w:tc>
          <w:tcPr>
            <w:tcW w:type="dxa" w:w="4824"/>
          </w:tcPr>
          <w:p>
            <w:r/>
            <w:r>
              <w:rPr>
                <w:rFonts w:ascii="Arial" w:hAnsi="Arial"/>
                <w:b/>
                <w:i w:val="0"/>
                <w:sz w:val="22"/>
              </w:rPr>
              <w:t>Usable with a named caveat</w:t>
            </w:r>
          </w:p>
        </w:tc>
        <w:tc>
          <w:tcPr>
            <w:tcW w:type="dxa" w:w="4824"/>
          </w:tcPr>
          <w:p>
            <w:r/>
            <w:r>
              <w:rPr>
                <w:rFonts w:ascii="Arial" w:hAnsi="Arial"/>
                <w:b w:val="0"/>
                <w:i w:val="0"/>
                <w:sz w:val="22"/>
              </w:rPr>
              <w:t>Counterparty risk reporting, trend-following portfolio model, pension data extraction, manager diligence intake, travel policy engine</w:t>
            </w:r>
          </w:p>
        </w:tc>
      </w:tr>
      <w:tr>
        <w:tc>
          <w:tcPr>
            <w:tcW w:type="dxa" w:w="4824"/>
          </w:tcPr>
          <w:p>
            <w:r/>
            <w:r>
              <w:rPr>
                <w:rFonts w:ascii="Arial" w:hAnsi="Arial"/>
                <w:b/>
                <w:i w:val="0"/>
                <w:sz w:val="22"/>
              </w:rPr>
              <w:t>Prototype or foundation only</w:t>
            </w:r>
          </w:p>
        </w:tc>
        <w:tc>
          <w:tcPr>
            <w:tcW w:type="dxa" w:w="4824"/>
          </w:tcPr>
          <w:p>
            <w:r/>
            <w:r>
              <w:rPr>
                <w:rFonts w:ascii="Arial" w:hAnsi="Arial"/>
                <w:b w:val="0"/>
                <w:i w:val="0"/>
                <w:sz w:val="22"/>
              </w:rPr>
              <w:t>Trip planner, learning platform</w:t>
            </w:r>
          </w:p>
        </w:tc>
      </w:tr>
    </w:tbl>
    <w:p/>
    <w:p>
      <w:pPr>
        <w:pStyle w:val="Heading2"/>
      </w:pPr>
      <w:r>
        <w:rPr>
          <w:rFonts w:ascii="Arial" w:hAnsi="Arial"/>
          <w:b/>
          <w:sz w:val="26"/>
        </w:rPr>
        <w:t>Operating constraints these tools were designed for</w:t>
      </w:r>
    </w:p>
    <w:p>
      <w:pPr>
        <w:pStyle w:val="ListNumber"/>
      </w:pPr>
      <w:r>
        <w:rPr>
          <w:rFonts w:ascii="Arial" w:hAnsi="Arial"/>
          <w:b/>
          <w:i w:val="0"/>
          <w:sz w:val="22"/>
        </w:rPr>
        <w:t>No mandatory installation for the person using the tool.</w:t>
      </w:r>
      <w:r>
        <w:rPr>
          <w:rFonts w:ascii="Arial" w:hAnsi="Arial"/>
          <w:b w:val="0"/>
          <w:i w:val="0"/>
          <w:sz w:val="22"/>
        </w:rPr>
        <w:t xml:space="preserve"> A browser, Excel, or a packaged executable, rather than a source-code checkout.</w:t>
      </w:r>
    </w:p>
    <w:p>
      <w:pPr>
        <w:pStyle w:val="ListNumber"/>
      </w:pPr>
      <w:r>
        <w:rPr>
          <w:rFonts w:ascii="Arial" w:hAnsi="Arial"/>
          <w:b/>
          <w:i w:val="0"/>
          <w:sz w:val="22"/>
        </w:rPr>
        <w:t>Browser and Office as the primary surfaces.</w:t>
      </w:r>
      <w:r>
        <w:rPr>
          <w:rFonts w:ascii="Arial" w:hAnsi="Arial"/>
          <w:b w:val="0"/>
          <w:i w:val="0"/>
          <w:sz w:val="22"/>
        </w:rPr>
        <w:t xml:space="preserve"> Dashboards, workbooks, and board-pack exports are first-class outputs, not afterthoughts.</w:t>
      </w:r>
    </w:p>
    <w:p>
      <w:pPr>
        <w:pStyle w:val="ListNumber"/>
      </w:pPr>
      <w:r>
        <w:rPr>
          <w:rFonts w:ascii="Arial" w:hAnsi="Arial"/>
          <w:b/>
          <w:i w:val="0"/>
          <w:sz w:val="22"/>
        </w:rPr>
        <w:t>Traceability back to the source document.</w:t>
      </w:r>
      <w:r>
        <w:rPr>
          <w:rFonts w:ascii="Arial" w:hAnsi="Arial"/>
          <w:b w:val="0"/>
          <w:i w:val="0"/>
          <w:sz w:val="22"/>
        </w:rPr>
        <w:t xml:space="preserve"> Page pointers, content hashes, and run manifests exist so any produced number can be checked against the document it came from.</w:t>
      </w:r>
    </w:p>
    <w:p>
      <w:pPr>
        <w:pStyle w:val="ListNumber"/>
      </w:pPr>
      <w:r>
        <w:rPr>
          <w:rFonts w:ascii="Arial" w:hAnsi="Arial"/>
          <w:b/>
          <w:i w:val="0"/>
          <w:sz w:val="22"/>
        </w:rPr>
        <w:t>No proprietary data leaving the environment by default.</w:t>
      </w:r>
      <w:r>
        <w:rPr>
          <w:rFonts w:ascii="Arial" w:hAnsi="Arial"/>
          <w:b w:val="0"/>
          <w:i w:val="0"/>
          <w:sz w:val="22"/>
        </w:rPr>
        <w:t xml:space="preserve"> Local databases, offline bundles, and synthetic demonstration modes are deliberate design choices, and any AI-backed feature is switched off unless explicitly configured.</w:t>
      </w:r>
    </w:p>
    <w:p>
      <w:pPr>
        <w:pStyle w:val="Heading2"/>
      </w:pPr>
      <w:r>
        <w:rPr>
          <w:rFonts w:ascii="Arial" w:hAnsi="Arial"/>
          <w:b/>
          <w:sz w:val="26"/>
        </w:rPr>
        <w:t>Interoperability</w:t>
      </w:r>
    </w:p>
    <w:p>
      <w:r>
        <w:rPr>
          <w:rFonts w:ascii="Arial" w:hAnsi="Arial"/>
          <w:b w:val="0"/>
          <w:i w:val="0"/>
          <w:sz w:val="22"/>
        </w:rPr>
        <w:t>These tools are converging on shared formats for run records, artifact manifests, evidence objects, and canonical names for firms and funds, so that output from one can be consumed by another without rework. Only some emit the shared format today; the rest still use their own. Until that finishes, treat exported spreadsheets and structured files as the practical integration surface between tools, and expect naming differences between them to need a translation step.</w:t>
      </w:r>
    </w:p>
    <w:p>
      <w:pPr>
        <w:pStyle w:val="Heading2"/>
      </w:pPr>
      <w:r>
        <w:rPr>
          <w:rFonts w:ascii="Arial" w:hAnsi="Arial"/>
          <w:b/>
          <w:sz w:val="26"/>
        </w:rPr>
        <w:t>What I would suggest we could use</w:t>
      </w:r>
    </w:p>
    <w:p>
      <w:pPr>
        <w:pStyle w:val="ListNumber"/>
      </w:pPr>
      <w:r>
        <w:rPr>
          <w:rFonts w:ascii="Arial" w:hAnsi="Arial"/>
          <w:b/>
          <w:i w:val="0"/>
          <w:sz w:val="22"/>
        </w:rPr>
        <w:t>Manager surveillance platform.</w:t>
      </w:r>
      <w:r>
        <w:rPr>
          <w:rFonts w:ascii="Arial" w:hAnsi="Arial"/>
          <w:b w:val="0"/>
          <w:i w:val="0"/>
          <w:sz w:val="22"/>
        </w:rPr>
        <w:t xml:space="preserve"> Ingests regulatory filings, compares quarterly holdings between periods, scores conviction, and answers research questions with citations back to the filing. Runs behind a firewall or as an offline browser demonstration. The United States filing path is the proven one; foreign-registry adapters are placeholders.</w:t>
      </w:r>
    </w:p>
    <w:p>
      <w:pPr>
        <w:pStyle w:val="ListNumber"/>
      </w:pPr>
      <w:r>
        <w:rPr>
          <w:rFonts w:ascii="Arial" w:hAnsi="Arial"/>
          <w:b/>
          <w:i w:val="0"/>
          <w:sz w:val="22"/>
        </w:rPr>
        <w:t>Counterparty risk reporting.</w:t>
      </w:r>
      <w:r>
        <w:rPr>
          <w:rFonts w:ascii="Arial" w:hAnsi="Arial"/>
          <w:b w:val="0"/>
          <w:i w:val="0"/>
          <w:sz w:val="22"/>
        </w:rPr>
        <w:t xml:space="preserve"> Replaces a legacy spreadsheet process with a button-driven run that produces the Excel history, the board slides, and an auditable record of inputs each month. The maintainer command path and the Excel macro path are verified; the packaged Windows executable still needs confirmation on a real work machine.</w:t>
      </w:r>
    </w:p>
    <w:p>
      <w:pPr>
        <w:pStyle w:val="ListNumber"/>
      </w:pPr>
      <w:r>
        <w:rPr>
          <w:rFonts w:ascii="Arial" w:hAnsi="Arial"/>
          <w:b/>
          <w:i w:val="0"/>
          <w:sz w:val="22"/>
        </w:rPr>
        <w:t>Trend-following portfolio model.</w:t>
      </w:r>
      <w:r>
        <w:rPr>
          <w:rFonts w:ascii="Arial" w:hAnsi="Arial"/>
          <w:b w:val="0"/>
          <w:i w:val="0"/>
          <w:sz w:val="22"/>
        </w:rPr>
        <w:t xml:space="preserve"> Walk-forward manager ranking and allocation simulation with institutional Excel output. Use the command-line or Excel export path today. The browser dashboard should not be treated as audit-ready until its selection-state defects are closed.</w:t>
      </w:r>
    </w:p>
    <w:p>
      <w:pPr>
        <w:pStyle w:val="ListNumber"/>
      </w:pPr>
      <w:r>
        <w:rPr>
          <w:rFonts w:ascii="Arial" w:hAnsi="Arial"/>
          <w:b/>
          <w:i w:val="0"/>
          <w:sz w:val="22"/>
        </w:rPr>
        <w:t>Pension data extraction.</w:t>
      </w:r>
      <w:r>
        <w:rPr>
          <w:rFonts w:ascii="Arial" w:hAnsi="Arial"/>
          <w:b w:val="0"/>
          <w:i w:val="0"/>
          <w:sz w:val="22"/>
        </w:rPr>
        <w:t xml:space="preserve"> Turns published pension reports into checkable figures with page-level provenance. The extraction pipeline works; the web interface currently serves sample data rather than live results, so pilot it as a command-line run over approved documents.</w:t>
      </w:r>
    </w:p>
    <w:p>
      <w:pPr>
        <w:pStyle w:val="Heading2"/>
      </w:pPr>
      <w:r>
        <w:rPr>
          <w:rFonts w:ascii="Arial" w:hAnsi="Arial"/>
          <w:b/>
          <w:sz w:val="26"/>
        </w:rPr>
        <w:t>Quick reference</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12"/>
        <w:gridCol w:w="2412"/>
        <w:gridCol w:w="2412"/>
        <w:gridCol w:w="2412"/>
      </w:tblGrid>
      <w:tr>
        <w:tc>
          <w:tcPr>
            <w:tcW w:type="dxa" w:w="2412"/>
          </w:tcPr>
          <w:p>
            <w:r/>
            <w:r>
              <w:rPr>
                <w:rFonts w:ascii="Arial" w:hAnsi="Arial"/>
                <w:b/>
                <w:i w:val="0"/>
                <w:sz w:val="22"/>
              </w:rPr>
              <w:t>Tool</w:t>
            </w:r>
          </w:p>
        </w:tc>
        <w:tc>
          <w:tcPr>
            <w:tcW w:type="dxa" w:w="2412"/>
          </w:tcPr>
          <w:p>
            <w:r/>
            <w:r>
              <w:rPr>
                <w:rFonts w:ascii="Arial" w:hAnsi="Arial"/>
                <w:b/>
                <w:i w:val="0"/>
                <w:sz w:val="22"/>
              </w:rPr>
              <w:t>What it does</w:t>
            </w:r>
          </w:p>
        </w:tc>
        <w:tc>
          <w:tcPr>
            <w:tcW w:type="dxa" w:w="2412"/>
          </w:tcPr>
          <w:p>
            <w:r/>
            <w:r>
              <w:rPr>
                <w:rFonts w:ascii="Arial" w:hAnsi="Arial"/>
                <w:b/>
                <w:i w:val="0"/>
                <w:sz w:val="22"/>
              </w:rPr>
              <w:t>State</w:t>
            </w:r>
          </w:p>
        </w:tc>
        <w:tc>
          <w:tcPr>
            <w:tcW w:type="dxa" w:w="2412"/>
          </w:tcPr>
          <w:p>
            <w:r/>
            <w:r>
              <w:rPr>
                <w:rFonts w:ascii="Arial" w:hAnsi="Arial"/>
                <w:b/>
                <w:i w:val="0"/>
                <w:sz w:val="22"/>
              </w:rPr>
              <w:t>How a colleague would run it</w:t>
            </w:r>
          </w:p>
        </w:tc>
      </w:tr>
      <w:tr>
        <w:tc>
          <w:tcPr>
            <w:tcW w:type="dxa" w:w="2412"/>
          </w:tcPr>
          <w:p>
            <w:r/>
            <w:r>
              <w:rPr>
                <w:rFonts w:ascii="Arial" w:hAnsi="Arial"/>
                <w:b w:val="0"/>
                <w:i w:val="0"/>
                <w:sz w:val="22"/>
              </w:rPr>
              <w:t>Manager surveillance</w:t>
            </w:r>
          </w:p>
        </w:tc>
        <w:tc>
          <w:tcPr>
            <w:tcW w:type="dxa" w:w="2412"/>
          </w:tcPr>
          <w:p>
            <w:r/>
            <w:r>
              <w:rPr>
                <w:rFonts w:ascii="Arial" w:hAnsi="Arial"/>
                <w:b w:val="0"/>
                <w:i w:val="0"/>
                <w:sz w:val="22"/>
              </w:rPr>
              <w:t>Track managers, holdings, activism</w:t>
            </w:r>
          </w:p>
        </w:tc>
        <w:tc>
          <w:tcPr>
            <w:tcW w:type="dxa" w:w="2412"/>
          </w:tcPr>
          <w:p>
            <w:r/>
            <w:r>
              <w:rPr>
                <w:rFonts w:ascii="Arial" w:hAnsi="Arial"/>
                <w:b w:val="0"/>
                <w:i w:val="0"/>
                <w:sz w:val="22"/>
              </w:rPr>
              <w:t>Usable for real work now</w:t>
            </w:r>
          </w:p>
        </w:tc>
        <w:tc>
          <w:tcPr>
            <w:tcW w:type="dxa" w:w="2412"/>
          </w:tcPr>
          <w:p>
            <w:r/>
            <w:r>
              <w:rPr>
                <w:rFonts w:ascii="Arial" w:hAnsi="Arial"/>
                <w:b w:val="0"/>
                <w:i w:val="0"/>
                <w:sz w:val="22"/>
              </w:rPr>
              <w:t>Web dashboard or offline browser demo. United States filing path proven; foreign adapters stubbed</w:t>
            </w:r>
          </w:p>
        </w:tc>
      </w:tr>
      <w:tr>
        <w:tc>
          <w:tcPr>
            <w:tcW w:type="dxa" w:w="2412"/>
          </w:tcPr>
          <w:p>
            <w:r/>
            <w:r>
              <w:rPr>
                <w:rFonts w:ascii="Arial" w:hAnsi="Arial"/>
                <w:b w:val="0"/>
                <w:i w:val="0"/>
                <w:sz w:val="22"/>
              </w:rPr>
              <w:t>Portable-alpha model</w:t>
            </w:r>
          </w:p>
        </w:tc>
        <w:tc>
          <w:tcPr>
            <w:tcW w:type="dxa" w:w="2412"/>
          </w:tcPr>
          <w:p>
            <w:r/>
            <w:r>
              <w:rPr>
                <w:rFonts w:ascii="Arial" w:hAnsi="Arial"/>
                <w:b w:val="0"/>
                <w:i w:val="0"/>
                <w:sz w:val="22"/>
              </w:rPr>
              <w:t>Monte Carlo sleeve scenarios</w:t>
            </w:r>
          </w:p>
        </w:tc>
        <w:tc>
          <w:tcPr>
            <w:tcW w:type="dxa" w:w="2412"/>
          </w:tcPr>
          <w:p>
            <w:r/>
            <w:r>
              <w:rPr>
                <w:rFonts w:ascii="Arial" w:hAnsi="Arial"/>
                <w:b w:val="0"/>
                <w:i w:val="0"/>
                <w:sz w:val="22"/>
              </w:rPr>
              <w:t>Usable for real work now</w:t>
            </w:r>
          </w:p>
        </w:tc>
        <w:tc>
          <w:tcPr>
            <w:tcW w:type="dxa" w:w="2412"/>
          </w:tcPr>
          <w:p>
            <w:r/>
            <w:r>
              <w:rPr>
                <w:rFonts w:ascii="Arial" w:hAnsi="Arial"/>
                <w:b w:val="0"/>
                <w:i w:val="0"/>
                <w:sz w:val="22"/>
              </w:rPr>
              <w:t>Scenario wizard in a private Python environment</w:t>
            </w:r>
          </w:p>
        </w:tc>
      </w:tr>
      <w:tr>
        <w:tc>
          <w:tcPr>
            <w:tcW w:type="dxa" w:w="2412"/>
          </w:tcPr>
          <w:p>
            <w:r/>
            <w:r>
              <w:rPr>
                <w:rFonts w:ascii="Arial" w:hAnsi="Arial"/>
                <w:b w:val="0"/>
                <w:i w:val="0"/>
                <w:sz w:val="22"/>
              </w:rPr>
              <w:t>Counterparty risk</w:t>
            </w:r>
          </w:p>
        </w:tc>
        <w:tc>
          <w:tcPr>
            <w:tcW w:type="dxa" w:w="2412"/>
          </w:tcPr>
          <w:p>
            <w:r/>
            <w:r>
              <w:rPr>
                <w:rFonts w:ascii="Arial" w:hAnsi="Arial"/>
                <w:b w:val="0"/>
                <w:i w:val="0"/>
                <w:sz w:val="22"/>
              </w:rPr>
              <w:t>Monthly exposure Excel and board pack</w:t>
            </w:r>
          </w:p>
        </w:tc>
        <w:tc>
          <w:tcPr>
            <w:tcW w:type="dxa" w:w="2412"/>
          </w:tcPr>
          <w:p>
            <w:r/>
            <w:r>
              <w:rPr>
                <w:rFonts w:ascii="Arial" w:hAnsi="Arial"/>
                <w:b w:val="0"/>
                <w:i w:val="0"/>
                <w:sz w:val="22"/>
              </w:rPr>
              <w:t>Usable with a named caveat. Maintainer command path and Excel macro path work; the frozen Windows bundle is unverified off-platform</w:t>
            </w:r>
          </w:p>
        </w:tc>
        <w:tc>
          <w:tcPr>
            <w:tcW w:type="dxa" w:w="2412"/>
          </w:tcPr>
          <w:p>
            <w:r/>
            <w:r>
              <w:rPr>
                <w:rFonts w:ascii="Arial" w:hAnsi="Arial"/>
                <w:b w:val="0"/>
                <w:i w:val="0"/>
                <w:sz w:val="22"/>
              </w:rPr>
              <w:t>Windows desktop app or Excel macro workbook</w:t>
            </w:r>
          </w:p>
        </w:tc>
      </w:tr>
      <w:tr>
        <w:tc>
          <w:tcPr>
            <w:tcW w:type="dxa" w:w="2412"/>
          </w:tcPr>
          <w:p>
            <w:r/>
            <w:r>
              <w:rPr>
                <w:rFonts w:ascii="Arial" w:hAnsi="Arial"/>
                <w:b w:val="0"/>
                <w:i w:val="0"/>
                <w:sz w:val="22"/>
              </w:rPr>
              <w:t>Trend portfolio model</w:t>
            </w:r>
          </w:p>
        </w:tc>
        <w:tc>
          <w:tcPr>
            <w:tcW w:type="dxa" w:w="2412"/>
          </w:tcPr>
          <w:p>
            <w:r/>
            <w:r>
              <w:rPr>
                <w:rFonts w:ascii="Arial" w:hAnsi="Arial"/>
                <w:b w:val="0"/>
                <w:i w:val="0"/>
                <w:sz w:val="22"/>
              </w:rPr>
              <w:t>Manager ranking and walk-forward simulation</w:t>
            </w:r>
          </w:p>
        </w:tc>
        <w:tc>
          <w:tcPr>
            <w:tcW w:type="dxa" w:w="2412"/>
          </w:tcPr>
          <w:p>
            <w:r/>
            <w:r>
              <w:rPr>
                <w:rFonts w:ascii="Arial" w:hAnsi="Arial"/>
                <w:b w:val="0"/>
                <w:i w:val="0"/>
                <w:sz w:val="22"/>
              </w:rPr>
              <w:t>Usable with a named caveat. Command pipeline and Excel export work; the browser flow shows contradictory selection metrics</w:t>
            </w:r>
          </w:p>
        </w:tc>
        <w:tc>
          <w:tcPr>
            <w:tcW w:type="dxa" w:w="2412"/>
          </w:tcPr>
          <w:p>
            <w:r/>
            <w:r>
              <w:rPr>
                <w:rFonts w:ascii="Arial" w:hAnsi="Arial"/>
                <w:b w:val="0"/>
                <w:i w:val="0"/>
                <w:sz w:val="22"/>
              </w:rPr>
              <w:t>Command line, or the offline browser bundle for review only</w:t>
            </w:r>
          </w:p>
        </w:tc>
      </w:tr>
      <w:tr>
        <w:tc>
          <w:tcPr>
            <w:tcW w:type="dxa" w:w="2412"/>
          </w:tcPr>
          <w:p>
            <w:r/>
            <w:r>
              <w:rPr>
                <w:rFonts w:ascii="Arial" w:hAnsi="Arial"/>
                <w:b w:val="0"/>
                <w:i w:val="0"/>
                <w:sz w:val="22"/>
              </w:rPr>
              <w:t>Pension data extraction</w:t>
            </w:r>
          </w:p>
        </w:tc>
        <w:tc>
          <w:tcPr>
            <w:tcW w:type="dxa" w:w="2412"/>
          </w:tcPr>
          <w:p>
            <w:r/>
            <w:r>
              <w:rPr>
                <w:rFonts w:ascii="Arial" w:hAnsi="Arial"/>
                <w:b w:val="0"/>
                <w:i w:val="0"/>
                <w:sz w:val="22"/>
              </w:rPr>
              <w:t>Facts from pension reports</w:t>
            </w:r>
          </w:p>
        </w:tc>
        <w:tc>
          <w:tcPr>
            <w:tcW w:type="dxa" w:w="2412"/>
          </w:tcPr>
          <w:p>
            <w:r/>
            <w:r>
              <w:rPr>
                <w:rFonts w:ascii="Arial" w:hAnsi="Arial"/>
                <w:b w:val="0"/>
                <w:i w:val="0"/>
                <w:sz w:val="22"/>
              </w:rPr>
              <w:t>Usable with a named caveat. Single-document pipeline works; the web interface serves fixtures and its AI routes are disabled</w:t>
            </w:r>
          </w:p>
        </w:tc>
        <w:tc>
          <w:tcPr>
            <w:tcW w:type="dxa" w:w="2412"/>
          </w:tcPr>
          <w:p>
            <w:r/>
            <w:r>
              <w:rPr>
                <w:rFonts w:ascii="Arial" w:hAnsi="Arial"/>
                <w:b w:val="0"/>
                <w:i w:val="0"/>
                <w:sz w:val="22"/>
              </w:rPr>
              <w:t>Command-line pilot on approved documents; do not treat the web interface as a live data service</w:t>
            </w:r>
          </w:p>
        </w:tc>
      </w:tr>
      <w:tr>
        <w:tc>
          <w:tcPr>
            <w:tcW w:type="dxa" w:w="2412"/>
          </w:tcPr>
          <w:p>
            <w:r/>
            <w:r>
              <w:rPr>
                <w:rFonts w:ascii="Arial" w:hAnsi="Arial"/>
                <w:b w:val="0"/>
                <w:i w:val="0"/>
                <w:sz w:val="22"/>
              </w:rPr>
              <w:t>Manager intake</w:t>
            </w:r>
          </w:p>
        </w:tc>
        <w:tc>
          <w:tcPr>
            <w:tcW w:type="dxa" w:w="2412"/>
          </w:tcPr>
          <w:p>
            <w:r/>
            <w:r>
              <w:rPr>
                <w:rFonts w:ascii="Arial" w:hAnsi="Arial"/>
                <w:b w:val="0"/>
                <w:i w:val="0"/>
                <w:sz w:val="22"/>
              </w:rPr>
              <w:t>Score and explain diligence packages</w:t>
            </w:r>
          </w:p>
        </w:tc>
        <w:tc>
          <w:tcPr>
            <w:tcW w:type="dxa" w:w="2412"/>
          </w:tcPr>
          <w:p>
            <w:r/>
            <w:r>
              <w:rPr>
                <w:rFonts w:ascii="Arial" w:hAnsi="Arial"/>
                <w:b w:val="0"/>
                <w:i w:val="0"/>
                <w:sz w:val="22"/>
              </w:rPr>
              <w:t>Usable with a named caveat. Local document validation and scoring work; the default command run is in-memory and formats are narrow</w:t>
            </w:r>
          </w:p>
        </w:tc>
        <w:tc>
          <w:tcPr>
            <w:tcW w:type="dxa" w:w="2412"/>
          </w:tcPr>
          <w:p>
            <w:r/>
            <w:r>
              <w:rPr>
                <w:rFonts w:ascii="Arial" w:hAnsi="Arial"/>
                <w:b w:val="0"/>
                <w:i w:val="0"/>
                <w:sz w:val="22"/>
              </w:rPr>
              <w:t>Local command against configured stores; browser demo for narrow formats only</w:t>
            </w:r>
          </w:p>
        </w:tc>
      </w:tr>
      <w:tr>
        <w:tc>
          <w:tcPr>
            <w:tcW w:type="dxa" w:w="2412"/>
          </w:tcPr>
          <w:p>
            <w:r/>
            <w:r>
              <w:rPr>
                <w:rFonts w:ascii="Arial" w:hAnsi="Arial"/>
                <w:b w:val="0"/>
                <w:i w:val="0"/>
                <w:sz w:val="22"/>
              </w:rPr>
              <w:t>Travel policy engine</w:t>
            </w:r>
          </w:p>
        </w:tc>
        <w:tc>
          <w:tcPr>
            <w:tcW w:type="dxa" w:w="2412"/>
          </w:tcPr>
          <w:p>
            <w:r/>
            <w:r>
              <w:rPr>
                <w:rFonts w:ascii="Arial" w:hAnsi="Arial"/>
                <w:b w:val="0"/>
                <w:i w:val="0"/>
                <w:sz w:val="22"/>
              </w:rPr>
              <w:t>Policy check and workbook fill</w:t>
            </w:r>
          </w:p>
        </w:tc>
        <w:tc>
          <w:tcPr>
            <w:tcW w:type="dxa" w:w="2412"/>
          </w:tcPr>
          <w:p>
            <w:r/>
            <w:r>
              <w:rPr>
                <w:rFonts w:ascii="Arial" w:hAnsi="Arial"/>
                <w:b w:val="0"/>
                <w:i w:val="0"/>
                <w:sz w:val="22"/>
              </w:rPr>
              <w:t>Usable with a named caveat. Deterministic checks and spreadsheet fill work; blocking rules can pass a request when an input is missing</w:t>
            </w:r>
          </w:p>
        </w:tc>
        <w:tc>
          <w:tcPr>
            <w:tcW w:type="dxa" w:w="2412"/>
          </w:tcPr>
          <w:p>
            <w:r/>
            <w:r>
              <w:rPr>
                <w:rFonts w:ascii="Arial" w:hAnsi="Arial"/>
                <w:b w:val="0"/>
                <w:i w:val="0"/>
                <w:sz w:val="22"/>
              </w:rPr>
              <w:t>Internal web service. The public site is a synthetic demonstration only</w:t>
            </w:r>
          </w:p>
        </w:tc>
      </w:tr>
      <w:tr>
        <w:tc>
          <w:tcPr>
            <w:tcW w:type="dxa" w:w="2412"/>
          </w:tcPr>
          <w:p>
            <w:r/>
            <w:r>
              <w:rPr>
                <w:rFonts w:ascii="Arial" w:hAnsi="Arial"/>
                <w:b w:val="0"/>
                <w:i w:val="0"/>
                <w:sz w:val="22"/>
              </w:rPr>
              <w:t>Trip planner</w:t>
            </w:r>
          </w:p>
        </w:tc>
        <w:tc>
          <w:tcPr>
            <w:tcW w:type="dxa" w:w="2412"/>
          </w:tcPr>
          <w:p>
            <w:r/>
            <w:r>
              <w:rPr>
                <w:rFonts w:ascii="Arial" w:hAnsi="Arial"/>
                <w:b w:val="0"/>
                <w:i w:val="0"/>
                <w:sz w:val="22"/>
              </w:rPr>
              <w:t>Plan and rank travel scenarios</w:t>
            </w:r>
          </w:p>
        </w:tc>
        <w:tc>
          <w:tcPr>
            <w:tcW w:type="dxa" w:w="2412"/>
          </w:tcPr>
          <w:p>
            <w:r/>
            <w:r>
              <w:rPr>
                <w:rFonts w:ascii="Arial" w:hAnsi="Arial"/>
                <w:b w:val="0"/>
                <w:i w:val="0"/>
                <w:sz w:val="22"/>
              </w:rPr>
              <w:t>Prototype or foundation only. Ranking and budgeting on static catalogue data work; the approval-packet button does not submit anything and the remote policy link is off</w:t>
            </w:r>
          </w:p>
        </w:tc>
        <w:tc>
          <w:tcPr>
            <w:tcW w:type="dxa" w:w="2412"/>
          </w:tcPr>
          <w:p>
            <w:r/>
            <w:r>
              <w:rPr>
                <w:rFonts w:ascii="Arial" w:hAnsi="Arial"/>
                <w:b w:val="0"/>
                <w:i w:val="0"/>
                <w:sz w:val="22"/>
              </w:rPr>
              <w:t>Browser application for scenario exploration, not for approval workflows</w:t>
            </w:r>
          </w:p>
        </w:tc>
      </w:tr>
      <w:tr>
        <w:tc>
          <w:tcPr>
            <w:tcW w:type="dxa" w:w="2412"/>
          </w:tcPr>
          <w:p>
            <w:r/>
            <w:r>
              <w:rPr>
                <w:rFonts w:ascii="Arial" w:hAnsi="Arial"/>
                <w:b w:val="0"/>
                <w:i w:val="0"/>
                <w:sz w:val="22"/>
              </w:rPr>
              <w:t>Learning platform</w:t>
            </w:r>
          </w:p>
        </w:tc>
        <w:tc>
          <w:tcPr>
            <w:tcW w:type="dxa" w:w="2412"/>
          </w:tcPr>
          <w:p>
            <w:r/>
            <w:r>
              <w:rPr>
                <w:rFonts w:ascii="Arial" w:hAnsi="Arial"/>
                <w:b w:val="0"/>
                <w:i w:val="0"/>
                <w:sz w:val="22"/>
              </w:rPr>
              <w:t>Turns source material into practice and assessment</w:t>
            </w:r>
          </w:p>
        </w:tc>
        <w:tc>
          <w:tcPr>
            <w:tcW w:type="dxa" w:w="2412"/>
          </w:tcPr>
          <w:p>
            <w:r/>
            <w:r>
              <w:rPr>
                <w:rFonts w:ascii="Arial" w:hAnsi="Arial"/>
                <w:b w:val="0"/>
                <w:i w:val="0"/>
                <w:sz w:val="22"/>
              </w:rPr>
              <w:t>Prototype or foundation only. Test-covered core; firm-grade controls and the production learner loop are incomplete</w:t>
            </w:r>
          </w:p>
        </w:tc>
        <w:tc>
          <w:tcPr>
            <w:tcW w:type="dxa" w:w="2412"/>
          </w:tcPr>
          <w:p>
            <w:r/>
            <w:r>
              <w:rPr>
                <w:rFonts w:ascii="Arial" w:hAnsi="Arial"/>
                <w:b w:val="0"/>
                <w:i w:val="0"/>
                <w:sz w:val="22"/>
              </w:rPr>
              <w:t>Internal web service with a database. Not a validated corporate learning system</w:t>
            </w:r>
          </w:p>
        </w:tc>
      </w:tr>
    </w:tbl>
    <w:p/>
    <w:p>
      <w:pPr>
        <w:pStyle w:val="Heading2"/>
      </w:pPr>
      <w:r>
        <w:rPr>
          <w:rFonts w:ascii="Arial" w:hAnsi="Arial"/>
          <w:b/>
          <w:sz w:val="26"/>
        </w:rPr>
        <w:t>Evidence basis</w:t>
      </w:r>
    </w:p>
    <w:p>
      <w:r>
        <w:rPr>
          <w:rFonts w:ascii="Arial" w:hAnsi="Arial"/>
          <w:b w:val="0"/>
          <w:i w:val="0"/>
          <w:sz w:val="22"/>
        </w:rPr>
        <w:t>Maturity labels were set from three sources, not from the tools' own documentation: each companion document's claims-versus-reality section, the recorded review findings for that tool, and its current open defect list as of 4 September 2026. Where those disagreed with the tool's README, the evidence won and the label was downgraded. A record of every changed label is retained with the source material.</w:t>
      </w:r>
    </w:p>
    <w:p>
      <w:pPr>
        <w:spacing w:after="120"/>
      </w:pPr>
    </w:p>
    <w:p>
      <w:r>
        <w:rPr>
          <w:rFonts w:ascii="Arial" w:hAnsi="Arial"/>
          <w:b w:val="0"/>
          <w:i/>
          <w:sz w:val="22"/>
        </w:rPr>
        <w:t>End of cover memo. Nine companion documents follow, one per tool.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