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Pension-Data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>Pension-Data turns pension-system documents into comparable, reviewable facts: funded status, actuarial measures, cash flows, allocations, fees, manager/fund relationships, consultant disclosures, risk disclosures, and selected security holdings. Intended users are investment allocators, pension executives, and policy analysts (</w:t>
      </w:r>
      <w:hyperlink r:id="rId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docs/Planning/PENSION_DATA_PLAN.md:5-13</w:t>
        </w:r>
      </w:hyperlink>
      <w:r>
        <w:rPr>
          <w:rFonts w:ascii="Arial" w:hAnsi="Arial"/>
          <w:b w:val="0"/>
          <w:i w:val="0"/>
          <w:sz w:val="22"/>
        </w:rPr>
        <w:t>). The design constraint is privacy and constrained work machines: a reviewer can use a generated browser bundle on loopback or an internal host without public SaaS egress, while a developer runs the Python pipeline locally (</w:t>
      </w:r>
      <w:hyperlink r:id="rId1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docs/deploy/IN_PERIMETER_REAL_DATA_REVIEW.md:3-18</w:t>
        </w:r>
      </w:hyperlink>
      <w:r>
        <w:rPr>
          <w:rFonts w:ascii="Arial" w:hAnsi="Arial"/>
          <w:b w:val="0"/>
          <w:i w:val="0"/>
          <w:sz w:val="22"/>
        </w:rPr>
        <w:t>). It is an extraction-and-artifact foundation, not yet a complete production analyst application.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entry point (file)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who uses 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 (working / partial / scaffold) with evidence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one-pdf-pilot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→ </w:t>
            </w:r>
            <w:hyperlink r:id="rId11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one_pdf_pilot_cli.py:97-137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data engineer or research operator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takes one PDF plus plan/time metadata, writes pilot and backplane artifacts; full suite includes its command path (</w:t>
            </w:r>
            <w:hyperlink r:id="rId12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tests/ops/test_one_pdf_pilot_cli.py:63-104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Python API</w:t>
            </w:r>
          </w:p>
        </w:tc>
        <w:tc>
          <w:tcPr>
            <w:tcW w:type="dxa" w:w="2412"/>
          </w:tcPr>
          <w:p>
            <w:r/>
            <w:hyperlink r:id="rId13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api/app.py:28-136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internal integration developer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health/config and authenticated saved-view/history endpoints work, but they feed hard-coded fixtures; NL and findings routes return HTTP 501.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Static HTML/PWA</w:t>
            </w:r>
          </w:p>
        </w:tc>
        <w:tc>
          <w:tcPr>
            <w:tcW w:type="dxa" w:w="2412"/>
          </w:tcPr>
          <w:p>
            <w:r/>
            <w:hyperlink r:id="rId14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apps/web/index.html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hyperlink r:id="rId15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apps/web/app.js:149-254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investment-office reviewer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 for bundles, partial for live use: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validates and displays a local/generated JSON bundle, saves views in browser storage; checked-in bundle is explicitly demo data (</w:t>
            </w:r>
            <w:hyperlink r:id="rId16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apps/web/README.md:17-18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Artifacts</w:t>
            </w:r>
          </w:p>
        </w:tc>
        <w:tc>
          <w:tcPr>
            <w:tcW w:type="dxa" w:w="2412"/>
          </w:tcPr>
          <w:p>
            <w:r/>
            <w:hyperlink r:id="rId17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one_pdf_pilot.py:282-498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hyperlink r:id="rId18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backplane_emitter.py:104-235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reviewers and sibling automation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emits parser, staging, warnings, component-coverage, manifest, and backplane envelope JSON from a one-PDF run.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macOS desktop</w:t>
            </w:r>
          </w:p>
        </w:tc>
        <w:tc>
          <w:tcPr>
            <w:tcW w:type="dxa" w:w="2412"/>
          </w:tcPr>
          <w:p>
            <w:r/>
            <w:hyperlink r:id="rId19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apps/mac-desktop</w:t>
              </w:r>
            </w:hyperlink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prospective power user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Scaffold: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Electron has a window shell and Tauri has a minimal Rust entry point (</w:t>
            </w:r>
            <w:hyperlink r:id="rId20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apps/mac-desktop/src-tauri/src/main.rs:1-8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 xml:space="preserve">), but </w:t>
            </w:r>
            <w:r>
              <w:rPr>
                <w:rFonts w:ascii="Consolas" w:hAnsi="Consolas"/>
                <w:b w:val="0"/>
                <w:i w:val="0"/>
                <w:sz w:val="20"/>
              </w:rPr>
              <w:t>src-ui/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is empty until synced from web UI; implementation plan tracks release signing, benchmark parity, sidecar, and test work as pending (</w:t>
            </w:r>
            <w:hyperlink r:id="rId21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apps/mac-desktop/IMPLEMENTATION_PLAN.md:14-26</w:t>
              </w:r>
            </w:hyperlink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pPr>
        <w:ind w:left="360"/>
      </w:pPr>
      <w:r>
        <w:rPr>
          <w:rFonts w:ascii="Consolas" w:hAnsi="Consolas"/>
          <w:sz w:val="20"/>
        </w:rPr>
        <w:t>src/pension_data/</w:t>
      </w:r>
      <w:r>
        <w:br/>
      </w:r>
      <w:r>
        <w:rPr>
          <w:rFonts w:ascii="Consolas" w:hAnsi="Consolas"/>
          <w:sz w:val="20"/>
        </w:rPr>
        <w:t xml:space="preserve">  api/            FastAPI server, auth, and route adapters</w:t>
      </w:r>
      <w:r>
        <w:br/>
      </w:r>
      <w:r>
        <w:rPr>
          <w:rFonts w:ascii="Consolas" w:hAnsi="Consolas"/>
          <w:sz w:val="20"/>
        </w:rPr>
        <w:t xml:space="preserve">  ingest/, parser/, extract/  document checksuming, PDF parsing, domain extractors, persistence adapters</w:t>
      </w:r>
      <w:r>
        <w:br/>
      </w:r>
      <w:r>
        <w:rPr>
          <w:rFonts w:ascii="Consolas" w:hAnsi="Consolas"/>
          <w:sz w:val="20"/>
        </w:rPr>
        <w:t xml:space="preserve">  db/, entities/, provenance/ SQLite/PostgreSQL strategy, staging models, identity and evidence lineage</w:t>
      </w:r>
      <w:r>
        <w:br/>
      </w:r>
      <w:r>
        <w:rPr>
          <w:rFonts w:ascii="Consolas" w:hAnsi="Consolas"/>
          <w:sz w:val="20"/>
        </w:rPr>
        <w:t xml:space="preserve">  query/, quant/, quality/   saved views, safe SQL, metrics/scenarios, confidence and anomaly controls</w:t>
      </w:r>
      <w:r>
        <w:br/>
      </w:r>
      <w:r>
        <w:rPr>
          <w:rFonts w:ascii="Consolas" w:hAnsi="Consolas"/>
          <w:sz w:val="20"/>
        </w:rPr>
        <w:t xml:space="preserve">  ops/, sources/, langchain/ pilot orchestration, external-source adapters, optional LLM tooling</w:t>
      </w:r>
      <w:r>
        <w:br/>
      </w:r>
      <w:r>
        <w:rPr>
          <w:rFonts w:ascii="Consolas" w:hAnsi="Consolas"/>
          <w:sz w:val="20"/>
        </w:rPr>
        <w:t>apps/</w:t>
      </w:r>
      <w:r>
        <w:br/>
      </w:r>
      <w:r>
        <w:rPr>
          <w:rFonts w:ascii="Consolas" w:hAnsi="Consolas"/>
          <w:sz w:val="20"/>
        </w:rPr>
        <w:t xml:space="preserve">  web/            dependency-light static review workspace and PWA</w:t>
      </w:r>
      <w:r>
        <w:br/>
      </w:r>
      <w:r>
        <w:rPr>
          <w:rFonts w:ascii="Consolas" w:hAnsi="Consolas"/>
          <w:sz w:val="20"/>
        </w:rPr>
        <w:t xml:space="preserve">  mac-desktop/    Tauri/Electron packaging track</w:t>
      </w:r>
      <w:r>
        <w:br/>
      </w:r>
      <w:r>
        <w:rPr>
          <w:rFonts w:ascii="Consolas" w:hAnsi="Consolas"/>
          <w:sz w:val="20"/>
        </w:rPr>
        <w:t>config/           pension registry, source maps, saved queries, model/backplane policy</w:t>
      </w:r>
      <w:r>
        <w:br/>
      </w:r>
      <w:r>
        <w:rPr>
          <w:rFonts w:ascii="Consolas" w:hAnsi="Consolas"/>
          <w:sz w:val="20"/>
        </w:rPr>
        <w:t>docs/             contracts, runbooks, deployment and planning material</w:t>
      </w:r>
      <w:r>
        <w:br/>
      </w:r>
      <w:r>
        <w:rPr>
          <w:rFonts w:ascii="Consolas" w:hAnsi="Consolas"/>
          <w:sz w:val="20"/>
        </w:rPr>
        <w:t>scripts/          CLIs, bundle builders, source collection, replay and validation helpers</w:t>
      </w:r>
      <w:r>
        <w:br/>
      </w:r>
      <w:r>
        <w:rPr>
          <w:rFonts w:ascii="Consolas" w:hAnsi="Consolas"/>
          <w:sz w:val="20"/>
        </w:rPr>
        <w:t>tests/            1,386-test unit, contract, fixture, golden, and integration suite</w:t>
      </w:r>
      <w:r>
        <w:br/>
      </w:r>
      <w:r>
        <w:rPr>
          <w:rFonts w:ascii="Consolas" w:hAnsi="Consolas"/>
          <w:sz w:val="20"/>
        </w:rPr>
        <w:t>.github/          CI and most agent automation; synced from a shared engineering-standards repository</w:t>
      </w:r>
    </w:p>
    <w:p/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One-document production-shaped run: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run_one_pdf_pilot</w:t>
      </w:r>
      <w:r>
        <w:rPr>
          <w:rFonts w:ascii="Arial" w:hAnsi="Arial"/>
          <w:b w:val="0"/>
          <w:i w:val="0"/>
          <w:sz w:val="22"/>
        </w:rPr>
        <w:t xml:space="preserve"> consumes a PDF and plan/date metadata, invokes parsing and orchestration, then writes deterministic JSON artifacts and a manifest (</w:t>
      </w:r>
      <w:hyperlink r:id="rId1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one_pdf_pilot.py:282-498</w:t>
        </w:r>
      </w:hyperlink>
      <w:r>
        <w:rPr>
          <w:rFonts w:ascii="Arial" w:hAnsi="Arial"/>
          <w:b w:val="0"/>
          <w:i w:val="0"/>
          <w:sz w:val="22"/>
        </w:rPr>
        <w:t>). It is the clearest end-to-end integration seam.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PDF-to-facts fallback: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parse_pdf_to_funded_input</w:t>
      </w:r>
      <w:r>
        <w:rPr>
          <w:rFonts w:ascii="Arial" w:hAnsi="Arial"/>
          <w:b w:val="0"/>
          <w:i w:val="0"/>
          <w:sz w:val="22"/>
        </w:rPr>
        <w:t xml:space="preserve"> produces raw funded/actuarial input, attempts, confidence, evidence anchors, and escalation information; complex tables can be cross-checked by </w:t>
      </w:r>
      <w:r>
        <w:rPr>
          <w:rFonts w:ascii="Consolas" w:hAnsi="Consolas"/>
          <w:b w:val="0"/>
          <w:i w:val="0"/>
          <w:sz w:val="20"/>
        </w:rPr>
        <w:t>run_hybrid_table_extraction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2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pdf_pipeline.py:120-144, 492-542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2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hybrid_backend.py:221-332</w:t>
        </w:r>
      </w:hyperlink>
      <w:r>
        <w:rPr>
          <w:rFonts w:ascii="Arial" w:hAnsi="Arial"/>
          <w:b w:val="0"/>
          <w:i w:val="0"/>
          <w:sz w:val="22"/>
        </w:rPr>
        <w:t>). This is where extraction reliability is decided.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Document orchestration: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run_document_orchestration</w:t>
      </w:r>
      <w:r>
        <w:rPr>
          <w:rFonts w:ascii="Arial" w:hAnsi="Arial"/>
          <w:b w:val="0"/>
          <w:i w:val="0"/>
          <w:sz w:val="22"/>
        </w:rPr>
        <w:t xml:space="preserve"> covers discovery, immutable ingestion, extraction, validation, and publishing with outcomes and retries (</w:t>
      </w:r>
      <w:hyperlink r:id="rId2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document_orchestration.py:84-175, 717-862</w:t>
        </w:r>
      </w:hyperlink>
      <w:r>
        <w:rPr>
          <w:rFonts w:ascii="Arial" w:hAnsi="Arial"/>
          <w:b w:val="0"/>
          <w:i w:val="0"/>
          <w:sz w:val="22"/>
        </w:rPr>
        <w:t>). It isolates bad documents within a batch.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Domain extraction and staging projection: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build_extraction_persistence_artifacts</w:t>
      </w:r>
      <w:r>
        <w:rPr>
          <w:rFonts w:ascii="Arial" w:hAnsi="Arial"/>
          <w:b w:val="0"/>
          <w:i w:val="0"/>
          <w:sz w:val="22"/>
        </w:rPr>
        <w:t xml:space="preserve"> and its adapters turn funded, allocation, fee, governance, lifecycle, position, risk, and flow observations into shared staging rows (</w:t>
      </w:r>
      <w:hyperlink r:id="rId2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extract/persistence.py:39-171, 941-1089</w:t>
        </w:r>
      </w:hyperlink>
      <w:r>
        <w:rPr>
          <w:rFonts w:ascii="Arial" w:hAnsi="Arial"/>
          <w:b w:val="0"/>
          <w:i w:val="0"/>
          <w:sz w:val="22"/>
        </w:rPr>
        <w:t>). New domains need to join this contract, not bypass it.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Confidence and human review: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route_confidence_row</w:t>
      </w:r>
      <w:r>
        <w:rPr>
          <w:rFonts w:ascii="Arial" w:hAnsi="Arial"/>
          <w:b w:val="0"/>
          <w:i w:val="0"/>
          <w:sz w:val="22"/>
        </w:rPr>
        <w:t xml:space="preserve"> assigns auto-accept, publish-with-warning, or high-priority review; </w:t>
      </w:r>
      <w:r>
        <w:rPr>
          <w:rFonts w:ascii="Consolas" w:hAnsi="Consolas"/>
          <w:b w:val="0"/>
          <w:i w:val="0"/>
          <w:sz w:val="20"/>
        </w:rPr>
        <w:t>build_extraction_review_queue</w:t>
      </w:r>
      <w:r>
        <w:rPr>
          <w:rFonts w:ascii="Arial" w:hAnsi="Arial"/>
          <w:b w:val="0"/>
          <w:i w:val="0"/>
          <w:sz w:val="22"/>
        </w:rPr>
        <w:t xml:space="preserve"> creates auditable queue rows (</w:t>
      </w:r>
      <w:hyperlink r:id="rId2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quality/confidence.py:14-83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2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review_queue/extraction.py:38-104</w:t>
        </w:r>
      </w:hyperlink>
      <w:r>
        <w:rPr>
          <w:rFonts w:ascii="Arial" w:hAnsi="Arial"/>
          <w:b w:val="0"/>
          <w:i w:val="0"/>
          <w:sz w:val="22"/>
        </w:rPr>
        <w:t>). This prevents uncertain extraction from looking certain.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Identity management: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build_canonical_stable_id</w:t>
      </w:r>
      <w:r>
        <w:rPr>
          <w:rFonts w:ascii="Arial" w:hAnsi="Arial"/>
          <w:b w:val="0"/>
          <w:i w:val="0"/>
          <w:sz w:val="22"/>
        </w:rPr>
        <w:t>, source linking, explicit entity merges, matching and lineage create deterministic entity IDs and forward merge paths (</w:t>
      </w:r>
      <w:hyperlink r:id="rId2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entities/service.py:54-104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2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entities/service.py:199-272</w:t>
        </w:r>
      </w:hyperlink>
      <w:r>
        <w:rPr>
          <w:rFonts w:ascii="Arial" w:hAnsi="Arial"/>
          <w:b w:val="0"/>
          <w:i w:val="0"/>
          <w:sz w:val="22"/>
        </w:rPr>
        <w:t>). It is the principal cross-repo join mechanism.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Immutable source versions and bitemporal facts:</w:t>
      </w:r>
      <w:r>
        <w:rPr>
          <w:rFonts w:ascii="Arial" w:hAnsi="Arial"/>
          <w:b w:val="0"/>
          <w:i w:val="0"/>
          <w:sz w:val="22"/>
        </w:rPr>
        <w:t xml:space="preserve"> raw artifacts are deduplicated by content hash and superseded rather than overwritten (</w:t>
      </w:r>
      <w:hyperlink r:id="rId2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ingest/artifacts.py:24-35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2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ingest/artifacts.py:127-161</w:t>
        </w:r>
      </w:hyperlink>
      <w:r>
        <w:rPr>
          <w:rFonts w:ascii="Arial" w:hAnsi="Arial"/>
          <w:b w:val="0"/>
          <w:i w:val="0"/>
          <w:sz w:val="22"/>
        </w:rPr>
        <w:t>); staged facts retain valid/assertion time and restatement state (</w:t>
      </w:r>
      <w:hyperlink r:id="rId3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db/models/core_facts.py:48-75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Quantitative interpretation: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compute_derived_metrics</w:t>
      </w:r>
      <w:r>
        <w:rPr>
          <w:rFonts w:ascii="Arial" w:hAnsi="Arial"/>
          <w:b w:val="0"/>
          <w:i w:val="0"/>
          <w:sz w:val="22"/>
        </w:rPr>
        <w:t xml:space="preserve"> produces funded gap, unfunded ratio, cash flow, and contribution coverage with fact and evidence lineage (</w:t>
      </w:r>
      <w:hyperlink r:id="rId3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quant/metric_engine.py:70-116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3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quant/metric_engine.py:241-345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Fleet artifact projection: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build_backplane_reference_run</w:t>
      </w:r>
      <w:r>
        <w:rPr>
          <w:rFonts w:ascii="Arial" w:hAnsi="Arial"/>
          <w:b w:val="0"/>
          <w:i w:val="0"/>
          <w:sz w:val="22"/>
        </w:rPr>
        <w:t xml:space="preserve"> converts a successful pilot manifest into hashed </w:t>
      </w:r>
      <w:r>
        <w:rPr>
          <w:rFonts w:ascii="Consolas" w:hAnsi="Consolas"/>
          <w:b w:val="0"/>
          <w:i w:val="0"/>
          <w:sz w:val="20"/>
        </w:rPr>
        <w:t>artifact-manifest/v1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files (</w:t>
      </w:r>
      <w:hyperlink r:id="rId1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backplane_emitter.py:104-235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r>
        <w:rPr>
          <w:rFonts w:ascii="Arial" w:hAnsi="Arial"/>
          <w:b w:val="0"/>
          <w:i w:val="0"/>
          <w:sz w:val="22"/>
        </w:rPr>
        <w:t xml:space="preserve">The main natural key is </w:t>
      </w:r>
      <w:r>
        <w:rPr>
          <w:rFonts w:ascii="Consolas" w:hAnsi="Consolas"/>
          <w:b w:val="0"/>
          <w:i w:val="0"/>
          <w:sz w:val="20"/>
        </w:rPr>
        <w:t>plan_id</w:t>
      </w:r>
      <w:r>
        <w:rPr>
          <w:rFonts w:ascii="Arial" w:hAnsi="Arial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plan_period</w:t>
      </w:r>
      <w:r>
        <w:rPr>
          <w:rFonts w:ascii="Arial" w:hAnsi="Arial"/>
          <w:b w:val="0"/>
          <w:i w:val="0"/>
          <w:sz w:val="22"/>
        </w:rPr>
        <w:t xml:space="preserve">, with effective and ingestion dates separating what was true from when it was known. Facts use deterministic </w:t>
      </w:r>
      <w:r>
        <w:rPr>
          <w:rFonts w:ascii="Consolas" w:hAnsi="Consolas"/>
          <w:b w:val="0"/>
          <w:i w:val="0"/>
          <w:sz w:val="20"/>
        </w:rPr>
        <w:t>fact:&lt;sha256-prefix&gt;</w:t>
      </w:r>
      <w:r>
        <w:rPr>
          <w:rFonts w:ascii="Arial" w:hAnsi="Arial"/>
          <w:b w:val="0"/>
          <w:i w:val="0"/>
          <w:sz w:val="22"/>
        </w:rPr>
        <w:t xml:space="preserve"> IDs made from their business fields, document, version, and evidence (</w:t>
      </w:r>
      <w:hyperlink r:id="rId3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extract/common/ids.py:9-13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2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extract/persistence.py:214-274</w:t>
        </w:r>
      </w:hyperlink>
      <w:r>
        <w:rPr>
          <w:rFonts w:ascii="Arial" w:hAnsi="Arial"/>
          <w:b w:val="0"/>
          <w:i w:val="0"/>
          <w:sz w:val="22"/>
        </w:rPr>
        <w:t xml:space="preserve">). Documents use </w:t>
      </w:r>
      <w:r>
        <w:rPr>
          <w:rFonts w:ascii="Consolas" w:hAnsi="Consolas"/>
          <w:b w:val="0"/>
          <w:i w:val="0"/>
          <w:sz w:val="20"/>
        </w:rPr>
        <w:t>artifact:&lt;hash&gt;</w:t>
      </w:r>
      <w:r>
        <w:rPr>
          <w:rFonts w:ascii="Arial" w:hAnsi="Arial"/>
          <w:b w:val="0"/>
          <w:i w:val="0"/>
          <w:sz w:val="22"/>
        </w:rPr>
        <w:t xml:space="preserve"> from plan, period, URL, checksum, and fetch timestamp; changed content supersedes the prior active artifact (</w:t>
      </w:r>
      <w:hyperlink r:id="rId2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ingest/artifacts.py:24-35</w:t>
        </w:r>
      </w:hyperlink>
      <w:r>
        <w:rPr>
          <w:rFonts w:ascii="Arial" w:hAnsi="Arial"/>
          <w:b w:val="0"/>
          <w:i w:val="0"/>
          <w:sz w:val="22"/>
        </w:rPr>
        <w:t>). Security keys prefer CUSIP, then ticker, then normalized name (</w:t>
      </w:r>
      <w:hyperlink r:id="rId3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security_positions.py:89-97</w:t>
        </w:r>
      </w:hyperlink>
      <w:r>
        <w:rPr>
          <w:rFonts w:ascii="Arial" w:hAnsi="Arial"/>
          <w:b w:val="0"/>
          <w:i w:val="0"/>
          <w:sz w:val="22"/>
        </w:rPr>
        <w:t>). Form 5500 joins use a normalized nine-digit EIN plus three-digit plan number (</w:t>
      </w:r>
      <w:hyperlink r:id="rId3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entities/models.py:30-46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 w:val="0"/>
          <w:i w:val="0"/>
          <w:sz w:val="22"/>
        </w:rPr>
        <w:t xml:space="preserve">SQLite is the local default; PostgreSQL is required for production/shared use and needs the optional </w:t>
      </w:r>
      <w:r>
        <w:rPr>
          <w:rFonts w:ascii="Consolas" w:hAnsi="Consolas"/>
          <w:b w:val="0"/>
          <w:i w:val="0"/>
          <w:sz w:val="20"/>
        </w:rPr>
        <w:t>psycopg</w:t>
      </w:r>
      <w:r>
        <w:rPr>
          <w:rFonts w:ascii="Arial" w:hAnsi="Arial"/>
          <w:b w:val="0"/>
          <w:i w:val="0"/>
          <w:sz w:val="22"/>
        </w:rPr>
        <w:t xml:space="preserve"> extra (</w:t>
      </w:r>
      <w:hyperlink r:id="rId3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db/strategy.py:15-16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3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db/strategy.py:46-98</w:t>
        </w:r>
      </w:hyperlink>
      <w:r>
        <w:rPr>
          <w:rFonts w:ascii="Arial" w:hAnsi="Arial"/>
          <w:b w:val="0"/>
          <w:i w:val="0"/>
          <w:sz w:val="22"/>
        </w:rPr>
        <w:t>). The code can persist staged core metrics idempotently and closes prior assertions on restatement (</w:t>
      </w:r>
      <w:hyperlink r:id="rId3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db/staging_persistence.py:96-172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 w:val="0"/>
          <w:i w:val="0"/>
          <w:sz w:val="22"/>
        </w:rPr>
        <w:t xml:space="preserve">The repo ships document-orchestration, entity-linkage, query-run, findings, backplane run, evidence-object, and artifact-manifest contracts. It </w:t>
      </w:r>
      <w:r>
        <w:rPr>
          <w:rFonts w:ascii="Arial" w:hAnsi="Arial"/>
          <w:b/>
          <w:i w:val="0"/>
          <w:sz w:val="22"/>
        </w:rPr>
        <w:t>emits</w:t>
      </w:r>
      <w:r>
        <w:rPr>
          <w:rFonts w:ascii="Arial" w:hAnsi="Arial"/>
          <w:b w:val="0"/>
          <w:i w:val="0"/>
          <w:sz w:val="22"/>
        </w:rPr>
        <w:t xml:space="preserve"> the one-PDF manifest and a validated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envelope (</w:t>
      </w:r>
      <w:hyperlink r:id="rId3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tests/ops/test_backplane_emitter.py:91-150</w:t>
        </w:r>
      </w:hyperlink>
      <w:r>
        <w:rPr>
          <w:rFonts w:ascii="Arial" w:hAnsi="Arial"/>
          <w:b w:val="0"/>
          <w:i w:val="0"/>
          <w:sz w:val="22"/>
        </w:rPr>
        <w:t xml:space="preserve">). It </w:t>
      </w:r>
      <w:r>
        <w:rPr>
          <w:rFonts w:ascii="Arial" w:hAnsi="Arial"/>
          <w:b/>
          <w:i w:val="0"/>
          <w:sz w:val="22"/>
        </w:rPr>
        <w:t>constructs</w:t>
      </w:r>
      <w:r>
        <w:rPr>
          <w:rFonts w:ascii="Arial" w:hAnsi="Arial"/>
          <w:b w:val="0"/>
          <w:i w:val="0"/>
          <w:sz w:val="22"/>
        </w:rPr>
        <w:t xml:space="preserve"> local </w:t>
      </w:r>
      <w:r>
        <w:rPr>
          <w:rFonts w:ascii="Consolas" w:hAnsi="Consolas"/>
          <w:b w:val="0"/>
          <w:i w:val="0"/>
          <w:sz w:val="20"/>
        </w:rPr>
        <w:t>EvidenceReference</w:t>
      </w:r>
      <w:r>
        <w:rPr>
          <w:rFonts w:ascii="Arial" w:hAnsi="Arial"/>
          <w:b w:val="0"/>
          <w:i w:val="0"/>
          <w:sz w:val="22"/>
        </w:rPr>
        <w:t xml:space="preserve"> objects including optional page, excerpt, and method (</w:t>
      </w:r>
      <w:hyperlink r:id="rId3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extract/common/evidence.py:89-157</w:t>
        </w:r>
      </w:hyperlink>
      <w:r>
        <w:rPr>
          <w:rFonts w:ascii="Arial" w:hAnsi="Arial"/>
          <w:b w:val="0"/>
          <w:i w:val="0"/>
          <w:sz w:val="22"/>
        </w:rPr>
        <w:t xml:space="preserve">), but does not emit separate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files; the envelope contains hashed reference strings. Query run records are implemented by the query/LangChain modules, while the documented artifact layout warns callers not to write default artifacts into the checkout (</w:t>
      </w:r>
      <w:hyperlink r:id="rId3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docs/contracts/query-run-record-contract.md:27-47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r>
        <w:rPr>
          <w:rFonts w:ascii="Arial" w:hAnsi="Arial"/>
          <w:b w:val="0"/>
          <w:i w:val="0"/>
          <w:sz w:val="22"/>
        </w:rPr>
        <w:t>Inputs include operator-supplied PDFs, local CSV/XLS holdings files, Public Plans Database API/cache, Form 5500 rows, and EDGAR 13F submissions/XML. PPD and EDGAR clients have live HTTP methods but tests use cached/recorded fixtures because network is sandboxed (</w:t>
      </w:r>
      <w:hyperlink r:id="rId4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sources/ppd/client.py:1-14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4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sources/edgar/client.py:12-16</w:t>
        </w:r>
      </w:hyperlink>
      <w:r>
        <w:rPr>
          <w:rFonts w:ascii="Arial" w:hAnsi="Arial"/>
          <w:b w:val="0"/>
          <w:i w:val="0"/>
          <w:sz w:val="22"/>
        </w:rPr>
        <w:t xml:space="preserve">). PDF parsing uses </w:t>
      </w:r>
      <w:r>
        <w:rPr>
          <w:rFonts w:ascii="Consolas" w:hAnsi="Consolas"/>
          <w:b w:val="0"/>
          <w:i w:val="0"/>
          <w:sz w:val="20"/>
        </w:rPr>
        <w:t>pypdf</w:t>
      </w:r>
      <w:r>
        <w:rPr>
          <w:rFonts w:ascii="Arial" w:hAnsi="Arial"/>
          <w:b w:val="0"/>
          <w:i w:val="0"/>
          <w:sz w:val="22"/>
        </w:rPr>
        <w:t xml:space="preserve"> plus the shared </w:t>
      </w:r>
      <w:r>
        <w:rPr>
          <w:rFonts w:ascii="Consolas" w:hAnsi="Consolas"/>
          <w:b w:val="0"/>
          <w:i w:val="0"/>
          <w:sz w:val="20"/>
        </w:rPr>
        <w:t>stranske-pdf-extract</w:t>
      </w:r>
      <w:r>
        <w:rPr>
          <w:rFonts w:ascii="Arial" w:hAnsi="Arial"/>
          <w:b w:val="0"/>
          <w:i w:val="0"/>
          <w:sz w:val="22"/>
        </w:rPr>
        <w:t xml:space="preserve">; XML uses </w:t>
      </w:r>
      <w:r>
        <w:rPr>
          <w:rFonts w:ascii="Consolas" w:hAnsi="Consolas"/>
          <w:b w:val="0"/>
          <w:i w:val="0"/>
          <w:sz w:val="20"/>
        </w:rPr>
        <w:t>defusedxml</w:t>
      </w:r>
      <w:r>
        <w:rPr>
          <w:rFonts w:ascii="Arial" w:hAnsi="Arial"/>
          <w:b w:val="0"/>
          <w:i w:val="0"/>
          <w:sz w:val="22"/>
        </w:rPr>
        <w:t xml:space="preserve">; XLS uses optional </w:t>
      </w:r>
      <w:r>
        <w:rPr>
          <w:rFonts w:ascii="Consolas" w:hAnsi="Consolas"/>
          <w:b w:val="0"/>
          <w:i w:val="0"/>
          <w:sz w:val="20"/>
        </w:rPr>
        <w:t>openpyxl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4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pyproject.toml:22-56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3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security_positions.py:184-208</w:t>
        </w:r>
      </w:hyperlink>
      <w:r>
        <w:rPr>
          <w:rFonts w:ascii="Arial" w:hAnsi="Arial"/>
          <w:b w:val="0"/>
          <w:i w:val="0"/>
          <w:sz w:val="22"/>
        </w:rPr>
        <w:t xml:space="preserve">). FastAPI/Uvicorn provide the local server. Optional LangChain/OpenAI/Anthropic/LangSmith support requires the </w:t>
      </w:r>
      <w:r>
        <w:rPr>
          <w:rFonts w:ascii="Consolas" w:hAnsi="Consolas"/>
          <w:b w:val="0"/>
          <w:i w:val="0"/>
          <w:sz w:val="20"/>
        </w:rPr>
        <w:t>langchain</w:t>
      </w:r>
      <w:r>
        <w:rPr>
          <w:rFonts w:ascii="Arial" w:hAnsi="Arial"/>
          <w:b w:val="0"/>
          <w:i w:val="0"/>
          <w:sz w:val="22"/>
        </w:rPr>
        <w:t xml:space="preserve"> extra and API credentials (</w:t>
      </w:r>
      <w:hyperlink r:id="rId4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pyproject.toml:45-51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4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langchain/foundation.py:104-143</w:t>
        </w:r>
      </w:hyperlink>
      <w:r>
        <w:rPr>
          <w:rFonts w:ascii="Arial" w:hAnsi="Arial"/>
          <w:b w:val="0"/>
          <w:i w:val="0"/>
          <w:sz w:val="22"/>
        </w:rPr>
        <w:t>). There is no Docker requirement; real shared persistence requires a PostgreSQL server.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r>
        <w:rPr>
          <w:rFonts w:ascii="Arial" w:hAnsi="Arial"/>
          <w:b w:val="0"/>
          <w:i w:val="0"/>
          <w:sz w:val="22"/>
        </w:rPr>
        <w:t xml:space="preserve">The quality posture is unusually strong for an alpha package: this checkout’s </w:t>
      </w:r>
      <w:r>
        <w:rPr>
          <w:rFonts w:ascii="Consolas" w:hAnsi="Consolas"/>
          <w:b w:val="0"/>
          <w:i w:val="0"/>
          <w:sz w:val="20"/>
        </w:rPr>
        <w:t>pytest -q</w:t>
      </w:r>
      <w:r>
        <w:rPr>
          <w:rFonts w:ascii="Arial" w:hAnsi="Arial"/>
          <w:b w:val="0"/>
          <w:i w:val="0"/>
          <w:sz w:val="22"/>
        </w:rPr>
        <w:t xml:space="preserve"> passed </w:t>
      </w:r>
      <w:r>
        <w:rPr>
          <w:rFonts w:ascii="Arial" w:hAnsi="Arial"/>
          <w:b/>
          <w:i w:val="0"/>
          <w:sz w:val="22"/>
        </w:rPr>
        <w:t>1,382 tests with 4 skipped</w:t>
      </w:r>
      <w:r>
        <w:rPr>
          <w:rFonts w:ascii="Arial" w:hAnsi="Arial"/>
          <w:b w:val="0"/>
          <w:i w:val="0"/>
          <w:sz w:val="22"/>
        </w:rPr>
        <w:t>; CI calls the shared Python gate for Ruff, Black, mypy, pytest on Python 3.12/3.13 with 80% coverage (</w:t>
      </w:r>
      <w:hyperlink r:id="rId4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pyproject.toml:57-69, 100</w:t>
        </w:r>
      </w:hyperlink>
      <w:r>
        <w:rPr>
          <w:rFonts w:ascii="Arial" w:hAnsi="Arial"/>
          <w:b w:val="0"/>
          <w:i w:val="0"/>
          <w:sz w:val="22"/>
        </w:rPr>
        <w:t xml:space="preserve">, </w:t>
      </w:r>
      <w:hyperlink r:id="rId4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.github/workflows/ci.yml:24-32</w:t>
        </w:r>
      </w:hyperlink>
      <w:r>
        <w:rPr>
          <w:rFonts w:ascii="Arial" w:hAnsi="Arial"/>
          <w:b w:val="0"/>
          <w:i w:val="0"/>
          <w:sz w:val="22"/>
        </w:rPr>
        <w:t>). Fixture and golden coverage is not proof of live source access or a live database deployment.</w:t>
      </w:r>
    </w:p>
    <w:p>
      <w:r>
        <w:rPr>
          <w:rFonts w:ascii="Arial" w:hAnsi="Arial"/>
          <w:b w:val="0"/>
          <w:i w:val="0"/>
          <w:sz w:val="22"/>
        </w:rPr>
        <w:t>Main gaps: (1) analyst UI and LangChain findings are explicitly incomplete (</w:t>
      </w:r>
      <w:hyperlink r:id="rId4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README.md:99-105</w:t>
        </w:r>
      </w:hyperlink>
      <w:r>
        <w:rPr>
          <w:rFonts w:ascii="Arial" w:hAnsi="Arial"/>
          <w:b w:val="0"/>
          <w:i w:val="0"/>
          <w:sz w:val="22"/>
        </w:rPr>
        <w:t>); (2) the API has fixture-only data and three 501 LLM endpoints (</w:t>
      </w:r>
      <w:hyperlink r:id="rId1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api/app.py:41-127</w:t>
        </w:r>
      </w:hyperlink>
      <w:r>
        <w:rPr>
          <w:rFonts w:ascii="Arial" w:hAnsi="Arial"/>
          <w:b w:val="0"/>
          <w:i w:val="0"/>
          <w:sz w:val="22"/>
        </w:rPr>
        <w:t>); (3) desktop lacks signing, measured device data, features, a sidecar, and regression tests (</w:t>
      </w:r>
      <w:hyperlink r:id="rId2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IMPLEMENTATION_PLAN.md:14-26</w:t>
        </w:r>
      </w:hyperlink>
      <w:r>
        <w:rPr>
          <w:rFonts w:ascii="Arial" w:hAnsi="Arial"/>
          <w:b w:val="0"/>
          <w:i w:val="0"/>
          <w:sz w:val="22"/>
        </w:rPr>
        <w:t>); (4) live source paths were not exercised here; (5) Cloudflare is fixture-only (</w:t>
      </w:r>
      <w:hyperlink r:id="rId4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web-cloudflare-pages.yml:103-116</w:t>
        </w:r>
      </w:hyperlink>
      <w:r>
        <w:rPr>
          <w:rFonts w:ascii="Arial" w:hAnsi="Arial"/>
          <w:b w:val="0"/>
          <w:i w:val="0"/>
          <w:sz w:val="22"/>
        </w:rPr>
        <w:t>); and (6) the run-contract doc is stale (</w:t>
      </w:r>
      <w:hyperlink r:id="rId4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run-contract-v1.md:15-17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README calls the server’s </w:t>
      </w:r>
      <w:r>
        <w:rPr>
          <w:rFonts w:ascii="Consolas" w:hAnsi="Consolas"/>
          <w:b w:val="0"/>
          <w:i w:val="0"/>
          <w:sz w:val="20"/>
        </w:rPr>
        <w:t>/api</w:t>
      </w:r>
      <w:r>
        <w:rPr>
          <w:rFonts w:ascii="Arial" w:hAnsi="Arial"/>
          <w:b w:val="0"/>
          <w:i w:val="0"/>
          <w:sz w:val="22"/>
        </w:rPr>
        <w:t xml:space="preserve"> routes “deterministic,” which is true, but it may suggest an operational data service. Both exposed analytical routes supply </w:t>
      </w:r>
      <w:r>
        <w:rPr>
          <w:rFonts w:ascii="Consolas" w:hAnsi="Consolas"/>
          <w:b w:val="0"/>
          <w:i w:val="0"/>
          <w:sz w:val="20"/>
        </w:rPr>
        <w:t>_fixture_*</w:t>
      </w:r>
      <w:r>
        <w:rPr>
          <w:rFonts w:ascii="Arial" w:hAnsi="Arial"/>
          <w:b w:val="0"/>
          <w:i w:val="0"/>
          <w:sz w:val="22"/>
        </w:rPr>
        <w:t xml:space="preserve"> rows, not database queries (</w:t>
      </w:r>
      <w:hyperlink r:id="rId4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README.md:32-37</w:t>
        </w:r>
      </w:hyperlink>
      <w:r>
        <w:rPr>
          <w:rFonts w:ascii="Arial" w:hAnsi="Arial"/>
          <w:b w:val="0"/>
          <w:i w:val="0"/>
          <w:sz w:val="22"/>
        </w:rPr>
        <w:t xml:space="preserve">; </w:t>
      </w:r>
      <w:hyperlink r:id="rId1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api/app.py:41-105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The findings contract advertises </w:t>
      </w:r>
      <w:r>
        <w:rPr>
          <w:rFonts w:ascii="Consolas" w:hAnsi="Consolas"/>
          <w:b w:val="0"/>
          <w:i w:val="0"/>
          <w:sz w:val="20"/>
        </w:rPr>
        <w:t>explain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compare</w:t>
      </w:r>
      <w:r>
        <w:rPr>
          <w:rFonts w:ascii="Arial" w:hAnsi="Arial"/>
          <w:b w:val="0"/>
          <w:i w:val="0"/>
          <w:sz w:val="22"/>
        </w:rPr>
        <w:t xml:space="preserve"> actions (</w:t>
      </w:r>
      <w:hyperlink r:id="rId4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reviewable-findings-artifact-contract.md:51-58</w:t>
        </w:r>
      </w:hyperlink>
      <w:r>
        <w:rPr>
          <w:rFonts w:ascii="Arial" w:hAnsi="Arial"/>
          <w:b w:val="0"/>
          <w:i w:val="0"/>
          <w:sz w:val="22"/>
        </w:rPr>
        <w:t>), but the served routes always return 501 because chain injection is absent (</w:t>
      </w:r>
      <w:hyperlink r:id="rId1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api/app.py:106-127</w:t>
        </w:r>
      </w:hyperlink>
      <w:r>
        <w:rPr>
          <w:rFonts w:ascii="Arial" w:hAnsi="Arial"/>
          <w:b w:val="0"/>
          <w:i w:val="0"/>
          <w:sz w:val="22"/>
        </w:rPr>
        <w:t>). Callable chains exist; they are not wired to the product surface.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The desktop README presents </w:t>
      </w:r>
      <w:r>
        <w:rPr>
          <w:rFonts w:ascii="Consolas" w:hAnsi="Consolas"/>
          <w:b w:val="0"/>
          <w:i w:val="0"/>
          <w:sz w:val="20"/>
        </w:rPr>
        <w:t>tauri:build</w:t>
      </w:r>
      <w:r>
        <w:rPr>
          <w:rFonts w:ascii="Arial" w:hAnsi="Arial"/>
          <w:b w:val="0"/>
          <w:i w:val="0"/>
          <w:sz w:val="22"/>
        </w:rPr>
        <w:t xml:space="preserve"> as a command (</w:t>
      </w:r>
      <w:hyperlink r:id="rId4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apps/mac-desktop/README.md:18-32</w:t>
        </w:r>
      </w:hyperlink>
      <w:r>
        <w:rPr>
          <w:rFonts w:ascii="Arial" w:hAnsi="Arial"/>
          <w:b w:val="0"/>
          <w:i w:val="0"/>
          <w:sz w:val="22"/>
        </w:rPr>
        <w:t>). The Tauri directory does include a minimal Rust application entry point (</w:t>
      </w:r>
      <w:hyperlink r:id="rId2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apps/mac-desktop/src-tauri/src/main.rs:1-8</w:t>
        </w:r>
      </w:hyperlink>
      <w:r>
        <w:rPr>
          <w:rFonts w:ascii="Arial" w:hAnsi="Arial"/>
          <w:b w:val="0"/>
          <w:i w:val="0"/>
          <w:sz w:val="22"/>
        </w:rPr>
        <w:t xml:space="preserve">), but </w:t>
      </w:r>
      <w:r>
        <w:rPr>
          <w:rFonts w:ascii="Consolas" w:hAnsi="Consolas"/>
          <w:b w:val="0"/>
          <w:i w:val="0"/>
          <w:sz w:val="20"/>
        </w:rPr>
        <w:t>src-ui/</w:t>
      </w:r>
      <w:r>
        <w:rPr>
          <w:rFonts w:ascii="Arial" w:hAnsi="Arial"/>
          <w:b w:val="0"/>
          <w:i w:val="0"/>
          <w:sz w:val="22"/>
        </w:rPr>
        <w:t xml:space="preserve"> remains empty until synced from </w:t>
      </w:r>
      <w:r>
        <w:rPr>
          <w:rFonts w:ascii="Consolas" w:hAnsi="Consolas"/>
          <w:b w:val="0"/>
          <w:i w:val="0"/>
          <w:sz w:val="20"/>
        </w:rPr>
        <w:t>apps/web</w:t>
      </w:r>
      <w:r>
        <w:rPr>
          <w:rFonts w:ascii="Arial" w:hAnsi="Arial"/>
          <w:b w:val="0"/>
          <w:i w:val="0"/>
          <w:sz w:val="22"/>
        </w:rPr>
        <w:t xml:space="preserve"> via </w:t>
      </w:r>
      <w:r>
        <w:rPr>
          <w:rFonts w:ascii="Consolas" w:hAnsi="Consolas"/>
          <w:b w:val="0"/>
          <w:i w:val="0"/>
          <w:sz w:val="20"/>
        </w:rPr>
        <w:t>scripts/sync_web_ui.sh</w:t>
      </w:r>
      <w:r>
        <w:rPr>
          <w:rFonts w:ascii="Arial" w:hAnsi="Arial"/>
          <w:b w:val="0"/>
          <w:i w:val="0"/>
          <w:sz w:val="22"/>
        </w:rPr>
        <w:t>, and the implementation plan explicitly tracks the desktop app as an unreleased scaffold lacking signing/notarization, measured device benchmarks, desktop-specific features, and local sidecar parity (</w:t>
      </w:r>
      <w:hyperlink r:id="rId2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apps/mac-desktop/IMPLEMENTATION_PLAN.md:14-26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backplane contract says “No participant emits an envelope yet” (</w:t>
      </w:r>
      <w:hyperlink r:id="rId4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run-contract-v1.md:15-17</w:t>
        </w:r>
      </w:hyperlink>
      <w:r>
        <w:rPr>
          <w:rFonts w:ascii="Arial" w:hAnsi="Arial"/>
          <w:b w:val="0"/>
          <w:i w:val="0"/>
          <w:sz w:val="22"/>
        </w:rPr>
        <w:t xml:space="preserve">); that is stale for this repository, whose CLI adds </w:t>
      </w:r>
      <w:r>
        <w:rPr>
          <w:rFonts w:ascii="Consolas" w:hAnsi="Consolas"/>
          <w:b w:val="0"/>
          <w:i w:val="0"/>
          <w:sz w:val="20"/>
        </w:rPr>
        <w:t>run.json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manifest.json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1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one_pdf_pilot_cli.py:117-131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r>
        <w:rPr>
          <w:rFonts w:ascii="Arial" w:hAnsi="Arial"/>
          <w:b w:val="0"/>
          <w:i w:val="0"/>
          <w:sz w:val="22"/>
        </w:rPr>
        <w:t xml:space="preserve">It can offer sibling repos canonical </w:t>
      </w:r>
      <w:r>
        <w:rPr>
          <w:rFonts w:ascii="Consolas" w:hAnsi="Consolas"/>
          <w:b w:val="0"/>
          <w:i w:val="0"/>
          <w:sz w:val="20"/>
        </w:rPr>
        <w:t>manager: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fund:</w:t>
      </w:r>
      <w:r>
        <w:rPr>
          <w:rFonts w:ascii="Arial" w:hAnsi="Arial"/>
          <w:b w:val="0"/>
          <w:i w:val="0"/>
          <w:sz w:val="22"/>
        </w:rPr>
        <w:t>, consultant, and pension identity strings; the entity-linkage contract specifies manager/fund/consultant fields and resolution states (</w:t>
      </w:r>
      <w:hyperlink r:id="rId5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entity-linkage-contract.md:11-30</w:t>
        </w:r>
      </w:hyperlink>
      <w:r>
        <w:rPr>
          <w:rFonts w:ascii="Arial" w:hAnsi="Arial"/>
          <w:b w:val="0"/>
          <w:i w:val="0"/>
          <w:sz w:val="22"/>
        </w:rPr>
        <w:t xml:space="preserve">). It can offer document checksum lineage, fact IDs, staging-core rows, confidence queues, page/text/table evidence locators, derived metric lineage, and one-PDF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plus </w:t>
      </w:r>
      <w:r>
        <w:rPr>
          <w:rFonts w:ascii="Consolas" w:hAnsi="Consolas"/>
          <w:b w:val="0"/>
          <w:i w:val="0"/>
          <w:sz w:val="20"/>
        </w:rPr>
        <w:t>artifact-manifest/v1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1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backplane_emitter.py:158-235</w:t>
        </w:r>
      </w:hyperlink>
      <w:r>
        <w:rPr>
          <w:rFonts w:ascii="Arial" w:hAnsi="Arial"/>
          <w:b w:val="0"/>
          <w:i w:val="0"/>
          <w:sz w:val="22"/>
        </w:rPr>
        <w:t>). It can consume upstream source documents, local holdings, PPD/EDGAR formats, and canonical identity references.</w:t>
      </w:r>
    </w:p>
    <w:p>
      <w:r>
        <w:rPr>
          <w:rFonts w:ascii="Arial" w:hAnsi="Arial"/>
          <w:b w:val="0"/>
          <w:i w:val="0"/>
          <w:sz w:val="22"/>
        </w:rPr>
        <w:t xml:space="preserve">The collision to resolve is vocabulary: local fleet emission calls plan/document IDs </w:t>
      </w:r>
      <w:r>
        <w:rPr>
          <w:rFonts w:ascii="Consolas" w:hAnsi="Consolas"/>
          <w:b w:val="0"/>
          <w:i w:val="0"/>
          <w:sz w:val="20"/>
        </w:rPr>
        <w:t>plan: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document:</w:t>
      </w:r>
      <w:r>
        <w:rPr>
          <w:rFonts w:ascii="Arial" w:hAnsi="Arial"/>
          <w:b w:val="0"/>
          <w:i w:val="0"/>
          <w:sz w:val="22"/>
        </w:rPr>
        <w:t xml:space="preserve"> (</w:t>
      </w:r>
      <w:hyperlink r:id="rId1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backplane_emitter.py:151-154</w:t>
        </w:r>
      </w:hyperlink>
      <w:r>
        <w:rPr>
          <w:rFonts w:ascii="Arial" w:hAnsi="Arial"/>
          <w:b w:val="0"/>
          <w:i w:val="0"/>
          <w:sz w:val="22"/>
        </w:rPr>
        <w:t xml:space="preserve">), whereas identity conventions reserve </w:t>
      </w:r>
      <w:r>
        <w:rPr>
          <w:rFonts w:ascii="Consolas" w:hAnsi="Consolas"/>
          <w:b w:val="0"/>
          <w:i w:val="0"/>
          <w:sz w:val="20"/>
        </w:rPr>
        <w:t>pension:</w:t>
      </w:r>
      <w:r>
        <w:rPr>
          <w:rFonts w:ascii="Arial" w:hAnsi="Arial"/>
          <w:b w:val="0"/>
          <w:i w:val="0"/>
          <w:sz w:val="22"/>
        </w:rPr>
        <w:t xml:space="preserve"> and do not list </w:t>
      </w:r>
      <w:r>
        <w:rPr>
          <w:rFonts w:ascii="Consolas" w:hAnsi="Consolas"/>
          <w:b w:val="0"/>
          <w:i w:val="0"/>
          <w:sz w:val="20"/>
        </w:rPr>
        <w:t>document</w:t>
      </w:r>
      <w:r>
        <w:rPr>
          <w:rFonts w:ascii="Arial" w:hAnsi="Arial"/>
          <w:b w:val="0"/>
          <w:i w:val="0"/>
          <w:sz w:val="22"/>
        </w:rPr>
        <w:t xml:space="preserve"> as a canonical entity type (</w:t>
      </w:r>
      <w:hyperlink r:id="rId5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identity-map-conventions.md:79-88</w:t>
        </w:r>
      </w:hyperlink>
      <w:r>
        <w:rPr>
          <w:rFonts w:ascii="Arial" w:hAnsi="Arial"/>
          <w:b w:val="0"/>
          <w:i w:val="0"/>
          <w:sz w:val="22"/>
        </w:rPr>
        <w:t>). Manager IDs also fall back to normalized names while fleet policy prefers registry IDs, so Manager-Database’s CIK/LEI authority must win (</w:t>
      </w:r>
      <w:hyperlink r:id="rId5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identity-map-conventions.md:94-121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Deterministic source artifact dedupe and supersession — </w:t>
      </w:r>
      <w:hyperlink r:id="rId29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ingest/artifacts.py</w:t>
        </w:r>
      </w:hyperlink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Canonical evidence parsing, IDs, excerpts, and extraction method mapping — </w:t>
      </w:r>
      <w:hyperlink r:id="rId38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extract/common/evidence.py</w:t>
        </w:r>
      </w:hyperlink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Entity aliases, matching, merge and forward lineage — </w:t>
      </w:r>
      <w:hyperlink r:id="rId52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entities/</w:t>
        </w:r>
      </w:hyperlink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Bitemporal assertion and overlap controls — </w:t>
      </w:r>
      <w:hyperlink r:id="rId5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db/models/bitemporal.py</w:t>
        </w:r>
      </w:hyperlink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Read-only SQL/NL guardrails and replay records — </w:t>
      </w:r>
      <w:hyperlink r:id="rId54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query/</w:t>
        </w:r>
      </w:hyperlink>
      <w:r>
        <w:rPr>
          <w:rFonts w:ascii="Arial" w:hAnsi="Arial"/>
          <w:b w:val="0"/>
          <w:i w:val="0"/>
          <w:sz w:val="22"/>
        </w:rPr>
        <w:t xml:space="preserve"> and </w:t>
      </w:r>
      <w:hyperlink r:id="rId55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langchain/nl_sql_chain.py</w:t>
        </w:r>
      </w:hyperlink>
      <w:r>
        <w:rPr>
          <w:rFonts w:ascii="Arial" w:hAnsi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Generated static workspace bundle and loopback server — </w:t>
      </w:r>
      <w:hyperlink r:id="rId56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scripts/web/</w:t>
        </w:r>
      </w:hyperlink>
      <w:r>
        <w:rPr>
          <w:rFonts w:ascii="Arial" w:hAnsi="Arial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connect API saved views/history to database-backed repositories instead of fixture functions (</w:t>
      </w:r>
      <w:hyperlink r:id="rId1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api/app.py:41-105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inject approved LangChain chains into the three disabled routes, retaining the proprietary-zone gate (</w:t>
      </w:r>
      <w:hyperlink r:id="rId13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api/app.py:106-127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make the Tauri application buildable, then add signing/notarization and desktop bundle regression tests (</w:t>
      </w:r>
      <w:hyperlink r:id="rId2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IMPLEMENTATION_PLAN.md:14-26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update stale backplane documentation and emit real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payloads, not only reference hashes (</w:t>
      </w:r>
      <w:hyperlink r:id="rId4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run-contract-v1.md:15-17</w:t>
        </w:r>
      </w:hyperlink>
      <w:r>
        <w:rPr>
          <w:rFonts w:ascii="Arial" w:hAnsi="Arial"/>
          <w:b w:val="0"/>
          <w:i w:val="0"/>
          <w:sz w:val="22"/>
        </w:rPr>
        <w:t xml:space="preserve">; </w:t>
      </w:r>
      <w:hyperlink r:id="rId57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evidence-object-v1.schema.json:8-99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New capability:</w:t>
      </w:r>
      <w:r>
        <w:rPr>
          <w:rFonts w:ascii="Arial" w:hAnsi="Arial"/>
          <w:b w:val="0"/>
          <w:i w:val="0"/>
          <w:sz w:val="22"/>
        </w:rPr>
        <w:t xml:space="preserve"> add a controlled live-source ingestion recipe with cache/provenance capture and source-quality acceptance tests; present tests are fixture-shaped (</w:t>
      </w:r>
      <w:hyperlink r:id="rId40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sources/ppd/client.py:1-14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New capability:</w:t>
      </w:r>
      <w:r>
        <w:rPr>
          <w:rFonts w:ascii="Arial" w:hAnsi="Arial"/>
          <w:b w:val="0"/>
          <w:i w:val="0"/>
          <w:sz w:val="22"/>
        </w:rPr>
        <w:t xml:space="preserve"> establish the approved manager-ID reconciliation with Manager-Database before moving sibling data into curated comparisons (</w:t>
      </w:r>
      <w:hyperlink r:id="rId51">
        <w:r>
          <w:rPr>
            <w:rStyle w:val="Hyperlink"/>
            <w:color w:val="0563C1"/>
            <w:u w:val="single"/>
            <w:rFonts w:ascii="Arial" w:hAnsi="Arial"/>
            <w:sz w:val="22"/>
          </w:rPr>
          <w:t xml:space="preserve">identity-map-conventions.md:94-130</w:t>
        </w:r>
      </w:hyperlink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It turns pension documents into comparable facts, but someone must still supply and approve the source documents.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Every meaningful output should retain its source document and page/table/text trail.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Treat low-confidence findings as a review queue, not investment conclusions.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browser review path can keep real data inside the firm’s network; the public demo path must use synthetic data.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Today, the safest operational use is a controlled document-to-artifact workflow, not the unfinished live dashboard or desktop application.</w:t>
      </w:r>
    </w:p>
    <w:p>
      <w:r>
        <w:rPr>
          <w:rFonts w:ascii="Arial" w:hAnsi="Arial"/>
          <w:b w:val="0"/>
          <w:i/>
          <w:sz w:val="22"/>
        </w:rPr>
        <w:t>Evidence-checked against source repositories; verification metadata omitted from work bundle.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docs/Planning/PENSION_DATA_PLAN.md" TargetMode="External"/><Relationship Id="rId10" Type="http://schemas.openxmlformats.org/officeDocument/2006/relationships/hyperlink" Target="docs/deploy/IN_PERIMETER_REAL_DATA_REVIEW.md" TargetMode="External"/><Relationship Id="rId11" Type="http://schemas.openxmlformats.org/officeDocument/2006/relationships/hyperlink" Target="src/pension_data/ops/one_pdf_pilot_cli.py" TargetMode="External"/><Relationship Id="rId12" Type="http://schemas.openxmlformats.org/officeDocument/2006/relationships/hyperlink" Target="tests/ops/test_one_pdf_pilot_cli.py" TargetMode="External"/><Relationship Id="rId13" Type="http://schemas.openxmlformats.org/officeDocument/2006/relationships/hyperlink" Target="src/pension_data/api/app.py" TargetMode="External"/><Relationship Id="rId14" Type="http://schemas.openxmlformats.org/officeDocument/2006/relationships/hyperlink" Target="apps/web/index.html" TargetMode="External"/><Relationship Id="rId15" Type="http://schemas.openxmlformats.org/officeDocument/2006/relationships/hyperlink" Target="apps/web/app.js" TargetMode="External"/><Relationship Id="rId16" Type="http://schemas.openxmlformats.org/officeDocument/2006/relationships/hyperlink" Target="apps/web/README.md" TargetMode="External"/><Relationship Id="rId17" Type="http://schemas.openxmlformats.org/officeDocument/2006/relationships/hyperlink" Target="src/pension_data/ops/one_pdf_pilot.py" TargetMode="External"/><Relationship Id="rId18" Type="http://schemas.openxmlformats.org/officeDocument/2006/relationships/hyperlink" Target="src/pension_data/ops/backplane_emitter.py" TargetMode="External"/><Relationship Id="rId19" Type="http://schemas.openxmlformats.org/officeDocument/2006/relationships/hyperlink" Target="apps/mac-desktop" TargetMode="External"/><Relationship Id="rId20" Type="http://schemas.openxmlformats.org/officeDocument/2006/relationships/hyperlink" Target="apps/mac-desktop/src-tauri/src/main.rs" TargetMode="External"/><Relationship Id="rId21" Type="http://schemas.openxmlformats.org/officeDocument/2006/relationships/hyperlink" Target="apps/mac-desktop/IMPLEMENTATION_PLAN.md" TargetMode="External"/><Relationship Id="rId22" Type="http://schemas.openxmlformats.org/officeDocument/2006/relationships/hyperlink" Target="src/pension_data/parser/pdf_pipeline.py" TargetMode="External"/><Relationship Id="rId23" Type="http://schemas.openxmlformats.org/officeDocument/2006/relationships/hyperlink" Target="src/pension_data/parser/hybrid_backend.py" TargetMode="External"/><Relationship Id="rId24" Type="http://schemas.openxmlformats.org/officeDocument/2006/relationships/hyperlink" Target="src/pension_data/ops/document_orchestration.py" TargetMode="External"/><Relationship Id="rId25" Type="http://schemas.openxmlformats.org/officeDocument/2006/relationships/hyperlink" Target="src/pension_data/extract/persistence.py" TargetMode="External"/><Relationship Id="rId26" Type="http://schemas.openxmlformats.org/officeDocument/2006/relationships/hyperlink" Target="src/pension_data/quality/confidence.py" TargetMode="External"/><Relationship Id="rId27" Type="http://schemas.openxmlformats.org/officeDocument/2006/relationships/hyperlink" Target="src/pension_data/review_queue/extraction.py" TargetMode="External"/><Relationship Id="rId28" Type="http://schemas.openxmlformats.org/officeDocument/2006/relationships/hyperlink" Target="src/pension_data/entities/service.py" TargetMode="External"/><Relationship Id="rId29" Type="http://schemas.openxmlformats.org/officeDocument/2006/relationships/hyperlink" Target="src/pension_data/ingest/artifacts.py" TargetMode="External"/><Relationship Id="rId30" Type="http://schemas.openxmlformats.org/officeDocument/2006/relationships/hyperlink" Target="src/pension_data/db/models/core_facts.py" TargetMode="External"/><Relationship Id="rId31" Type="http://schemas.openxmlformats.org/officeDocument/2006/relationships/hyperlink" Target="src/pension_data/quant/metric_engine.py" TargetMode="External"/><Relationship Id="rId32" Type="http://schemas.openxmlformats.org/officeDocument/2006/relationships/hyperlink" Target="src/pension_data/extract/common/ids.py" TargetMode="External"/><Relationship Id="rId33" Type="http://schemas.openxmlformats.org/officeDocument/2006/relationships/hyperlink" Target="src/pension_data/extract/investment/security_positions.py" TargetMode="External"/><Relationship Id="rId34" Type="http://schemas.openxmlformats.org/officeDocument/2006/relationships/hyperlink" Target="src/pension_data/entities/models.py" TargetMode="External"/><Relationship Id="rId35" Type="http://schemas.openxmlformats.org/officeDocument/2006/relationships/hyperlink" Target="src/pension_data/db/strategy.py" TargetMode="External"/><Relationship Id="rId36" Type="http://schemas.openxmlformats.org/officeDocument/2006/relationships/hyperlink" Target="src/pension_data/db/staging_persistence.py" TargetMode="External"/><Relationship Id="rId37" Type="http://schemas.openxmlformats.org/officeDocument/2006/relationships/hyperlink" Target="tests/ops/test_backplane_emitter.py" TargetMode="External"/><Relationship Id="rId38" Type="http://schemas.openxmlformats.org/officeDocument/2006/relationships/hyperlink" Target="src/pension_data/extract/common/evidence.py" TargetMode="External"/><Relationship Id="rId39" Type="http://schemas.openxmlformats.org/officeDocument/2006/relationships/hyperlink" Target="docs/contracts/query-run-record-contract.md" TargetMode="External"/><Relationship Id="rId40" Type="http://schemas.openxmlformats.org/officeDocument/2006/relationships/hyperlink" Target="src/pension_data/sources/ppd/client.py" TargetMode="External"/><Relationship Id="rId41" Type="http://schemas.openxmlformats.org/officeDocument/2006/relationships/hyperlink" Target="src/pension_data/sources/edgar/client.py" TargetMode="External"/><Relationship Id="rId42" Type="http://schemas.openxmlformats.org/officeDocument/2006/relationships/hyperlink" Target="pyproject.toml" TargetMode="External"/><Relationship Id="rId43" Type="http://schemas.openxmlformats.org/officeDocument/2006/relationships/hyperlink" Target="src/pension_data/langchain/foundation.py" TargetMode="External"/><Relationship Id="rId44" Type="http://schemas.openxmlformats.org/officeDocument/2006/relationships/hyperlink" Target=".github/workflows/ci.yml" TargetMode="External"/><Relationship Id="rId45" Type="http://schemas.openxmlformats.org/officeDocument/2006/relationships/hyperlink" Target="README.md" TargetMode="External"/><Relationship Id="rId46" Type="http://schemas.openxmlformats.org/officeDocument/2006/relationships/hyperlink" Target=".github/workflows/web-cloudflare-pages.yml" TargetMode="External"/><Relationship Id="rId47" Type="http://schemas.openxmlformats.org/officeDocument/2006/relationships/hyperlink" Target="docs/contracts/run-contract-v1.md" TargetMode="External"/><Relationship Id="rId48" Type="http://schemas.openxmlformats.org/officeDocument/2006/relationships/hyperlink" Target="docs/contracts/reviewable-findings-artifact-contract.md" TargetMode="External"/><Relationship Id="rId49" Type="http://schemas.openxmlformats.org/officeDocument/2006/relationships/hyperlink" Target="apps/mac-desktop/README.md" TargetMode="External"/><Relationship Id="rId50" Type="http://schemas.openxmlformats.org/officeDocument/2006/relationships/hyperlink" Target="docs/contracts/entity-linkage-contract.md" TargetMode="External"/><Relationship Id="rId51" Type="http://schemas.openxmlformats.org/officeDocument/2006/relationships/hyperlink" Target="docs/contracts/identity-map-conventions.md" TargetMode="External"/><Relationship Id="rId52" Type="http://schemas.openxmlformats.org/officeDocument/2006/relationships/hyperlink" Target="src/pension_data/entities/" TargetMode="External"/><Relationship Id="rId53" Type="http://schemas.openxmlformats.org/officeDocument/2006/relationships/hyperlink" Target="src/pension_data/db/models/bitemporal.py" TargetMode="External"/><Relationship Id="rId54" Type="http://schemas.openxmlformats.org/officeDocument/2006/relationships/hyperlink" Target="src/pension_data/query/" TargetMode="External"/><Relationship Id="rId55" Type="http://schemas.openxmlformats.org/officeDocument/2006/relationships/hyperlink" Target="src/pension_data/langchain/nl_sql_chain.py" TargetMode="External"/><Relationship Id="rId56" Type="http://schemas.openxmlformats.org/officeDocument/2006/relationships/hyperlink" Target="scripts/web/" TargetMode="External"/><Relationship Id="rId57" Type="http://schemas.openxmlformats.org/officeDocument/2006/relationships/hyperlink" Target="docs/contracts/schemas/evidence-object-v1.schema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