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Trend_Model_Project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Trend_Model_Project is an allocator-facing manager-of-managers trend-following/CTA portfolio construction and walk-forward backtesting platform. Operating as a local-first, file-executable Python system without database or server dependencies, it ingests historical manager return series, applies multi-metric ranking rules across rolling in-sample windows, constructs constrained out-of-sample portfolio allocations, and generates multi-tab executive workbooks, tearsheets, and risk analytics. It supports local execution and a zero-install client-side WebAssembly distribution (via stlite/Pyodide) for locked-down desktop environments (</w:t>
      </w:r>
      <w:r>
        <w:rPr>
          <w:rFonts w:ascii="Consolas" w:hAnsi="Consolas"/>
          <w:b w:val="0"/>
          <w:i w:val="0"/>
          <w:sz w:val="20"/>
        </w:rPr>
        <w:t>demo/wasm/index.html:1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scripts/build_wasm_site.py:20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Primary User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Invocation / Entrypoint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Evidence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Quant Allocator / Ops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trend run -c &lt;config.yml&gt;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src/trend/cli.py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Dispatches full pipeline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run_analysis_command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src/trend/cli_commands.py:105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Streamlit UI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Investment Committee / Analyst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trend app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streamlit_app/app.py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Five-page dashboard under </w:t>
            </w:r>
            <w:r>
              <w:rPr>
                <w:rFonts w:ascii="Consolas" w:hAnsi="Consolas"/>
                <w:b w:val="0"/>
                <w:i w:val="0"/>
                <w:sz w:val="20"/>
              </w:rPr>
              <w:t>streamlit_app/pages/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1_Data.py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sz w:val="20"/>
              </w:rPr>
              <w:t>5_Monte_Carlo.py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Browser WASM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Offline / Restricted Client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open demo/wasm/index.html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via Pyodide/stlite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Zero-install client bundle (</w:t>
            </w:r>
            <w:r>
              <w:rPr>
                <w:rFonts w:ascii="Consolas" w:hAnsi="Consolas"/>
                <w:b w:val="0"/>
                <w:i w:val="0"/>
                <w:sz w:val="20"/>
              </w:rPr>
              <w:t>scripts/build_wasm_site.py:20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demo/wasm/index.html:1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Python API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Research Scripting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trend_analysis.api.run_simulation()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Type-annotated simulation entrypoint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src/trend_analysis/api.py:425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FastAPI Server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Headless Service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trend_analysis.api_server:app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run()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at module bottom)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Partial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Exposes </w:t>
            </w:r>
            <w:r>
              <w:rPr>
                <w:rFonts w:ascii="Consolas" w:hAnsi="Consolas"/>
                <w:b w:val="0"/>
                <w:i w:val="0"/>
                <w:sz w:val="20"/>
              </w:rPr>
              <w:t>/health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sz w:val="20"/>
              </w:rPr>
              <w:t>/config/patch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(+ preview); no pipeline run routes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src/trend_analysis/api_server/__init__.py:140-189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Jupyter GUI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Research Analyst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trend_analysis.gui.app.launch()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In-notebook interactive widgets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src/trend_analysis/gui/app.py:875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Export Artifacts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Senior Leadership / Auditor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Output files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src/trend/commands/report_export.py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Multi-tab Excel, CSV, HTML, PDF reports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src/trend_analysis/export/__init__.py:560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r>
        <w:rPr>
          <w:rFonts w:ascii="Arial" w:hAnsi="Arial"/>
          <w:b w:val="0"/>
          <w:i w:val="0"/>
          <w:sz w:val="22"/>
        </w:rPr>
        <w:t>The repository contains ~2,778 tracked files across these primary roots (counts from clone, 2026-09-04):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.github/</w:t>
      </w:r>
      <w:r>
        <w:rPr>
          <w:rFonts w:ascii="Arial" w:hAnsi="Arial"/>
          <w:b w:val="0"/>
          <w:i w:val="0"/>
          <w:sz w:val="22"/>
        </w:rPr>
        <w:t xml:space="preserve"> (~280 files): Automations, conformance tests, and PR gates (</w:t>
      </w:r>
      <w:r>
        <w:rPr>
          <w:rFonts w:ascii="Consolas" w:hAnsi="Consolas"/>
          <w:b w:val="0"/>
          <w:i w:val="0"/>
          <w:sz w:val="20"/>
        </w:rPr>
        <w:t>.github/workflows/pr-00-gate.yml:1</w:t>
      </w:r>
      <w:r>
        <w:rPr>
          <w:rFonts w:ascii="Arial" w:hAnsi="Arial"/>
          <w:b w:val="0"/>
          <w:i w:val="0"/>
          <w:sz w:val="22"/>
        </w:rPr>
        <w:t>). Orchestration workflows (</w:t>
      </w:r>
      <w:r>
        <w:rPr>
          <w:rFonts w:ascii="Consolas" w:hAnsi="Consolas"/>
          <w:b w:val="0"/>
          <w:i w:val="0"/>
          <w:sz w:val="20"/>
        </w:rPr>
        <w:t>fleet-synced agent automation workflow</w:t>
      </w:r>
      <w:r>
        <w:rPr>
          <w:rFonts w:ascii="Arial" w:hAnsi="Arial"/>
          <w:b w:val="0"/>
          <w:i w:val="0"/>
          <w:sz w:val="22"/>
        </w:rPr>
        <w:t xml:space="preserve">) sync from </w:t>
      </w:r>
      <w:r>
        <w:rPr>
          <w:rFonts w:ascii="Consolas" w:hAnsi="Consolas"/>
          <w:b w:val="0"/>
          <w:i w:val="0"/>
          <w:sz w:val="20"/>
        </w:rPr>
        <w:t>a shared engineering-standards repository</w:t>
      </w:r>
      <w:r>
        <w:rPr>
          <w:rFonts w:ascii="Arial" w:hAnsi="Arial"/>
          <w:b w:val="0"/>
          <w:i w:val="0"/>
          <w:sz w:val="22"/>
        </w:rPr>
        <w:t>; local edits are overwritten.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</w:t>
      </w:r>
      <w:r>
        <w:rPr>
          <w:rFonts w:ascii="Arial" w:hAnsi="Arial"/>
          <w:b w:val="0"/>
          <w:i w:val="0"/>
          <w:sz w:val="22"/>
        </w:rPr>
        <w:t xml:space="preserve"> (~219 files): Core packages: </w:t>
      </w:r>
      <w:r>
        <w:rPr>
          <w:rFonts w:ascii="Consolas" w:hAnsi="Consolas"/>
          <w:b w:val="0"/>
          <w:i w:val="0"/>
          <w:sz w:val="20"/>
        </w:rPr>
        <w:t>trend/</w:t>
      </w:r>
      <w:r>
        <w:rPr>
          <w:rFonts w:ascii="Arial" w:hAnsi="Arial"/>
          <w:b w:val="0"/>
          <w:i w:val="0"/>
          <w:sz w:val="22"/>
        </w:rPr>
        <w:t xml:space="preserve"> (CLI) and </w:t>
      </w:r>
      <w:r>
        <w:rPr>
          <w:rFonts w:ascii="Consolas" w:hAnsi="Consolas"/>
          <w:b w:val="0"/>
          <w:i w:val="0"/>
          <w:sz w:val="20"/>
        </w:rPr>
        <w:t>trend_analysis/</w:t>
      </w:r>
      <w:r>
        <w:rPr>
          <w:rFonts w:ascii="Arial" w:hAnsi="Arial"/>
          <w:b w:val="0"/>
          <w:i w:val="0"/>
          <w:sz w:val="22"/>
        </w:rPr>
        <w:t xml:space="preserve"> (domain models, pipeline, walk-forward engine, scoring, exporters).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tests/</w:t>
      </w:r>
      <w:r>
        <w:rPr>
          <w:rFonts w:ascii="Arial" w:hAnsi="Arial"/>
          <w:b w:val="0"/>
          <w:i w:val="0"/>
          <w:sz w:val="22"/>
        </w:rPr>
        <w:t xml:space="preserve"> (~716 files): Test suites enforcing coverage gates.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streamlit_app/</w:t>
      </w:r>
      <w:r>
        <w:rPr>
          <w:rFonts w:ascii="Arial" w:hAnsi="Arial"/>
          <w:b w:val="0"/>
          <w:i w:val="0"/>
          <w:sz w:val="22"/>
        </w:rPr>
        <w:t xml:space="preserve"> (~33 files): Multi-page Streamlit web dashboard.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demo/</w:t>
      </w:r>
      <w:r>
        <w:rPr>
          <w:rFonts w:ascii="Arial" w:hAnsi="Arial"/>
          <w:b w:val="0"/>
          <w:i w:val="0"/>
          <w:sz w:val="22"/>
        </w:rPr>
        <w:t xml:space="preserve"> (~163 files): Walkthrough configs, synthetic datasets, and standalone WASM distribution.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docs/</w:t>
      </w:r>
      <w:r>
        <w:rPr>
          <w:rFonts w:ascii="Arial" w:hAnsi="Arial"/>
          <w:b w:val="0"/>
          <w:i w:val="0"/>
          <w:sz w:val="22"/>
        </w:rPr>
        <w:t xml:space="preserve"> (~309 files): Operational guides, mathematical specs, and architecture records.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config/</w:t>
      </w:r>
      <w:r>
        <w:rPr>
          <w:rFonts w:ascii="Arial" w:hAnsi="Arial"/>
          <w:b w:val="0"/>
          <w:i w:val="0"/>
          <w:sz w:val="22"/>
        </w:rPr>
        <w:t xml:space="preserve"> (~34 files): Production and demo YAML pipelines.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scripts/</w:t>
      </w:r>
      <w:r>
        <w:rPr>
          <w:rFonts w:ascii="Arial" w:hAnsi="Arial"/>
          <w:b w:val="0"/>
          <w:i w:val="0"/>
          <w:sz w:val="22"/>
        </w:rPr>
        <w:t xml:space="preserve"> (~141 files): Bootstrap, dataset synthesis, and release verification utilities.</w:t>
      </w:r>
    </w:p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Unified Pipeline Orchestration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run_full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run_full_from_config</w:t>
      </w:r>
      <w:r>
        <w:rPr>
          <w:rFonts w:ascii="Arial" w:hAnsi="Arial"/>
          <w:b w:val="0"/>
          <w:i w:val="0"/>
          <w:sz w:val="22"/>
        </w:rPr>
        <w:t xml:space="preserve"> coordinate config parsing, data ingestion, returns validation, simulation dispatch, and exports (</w:t>
      </w:r>
      <w:r>
        <w:rPr>
          <w:rFonts w:ascii="Consolas" w:hAnsi="Consolas"/>
          <w:b w:val="0"/>
          <w:i w:val="0"/>
          <w:sz w:val="20"/>
        </w:rPr>
        <w:t>src/trend_analysis/pipeline.py:156-166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src/trend_analysis/pipeline_entrypoints.py:233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Walk-Forward Rolling Simulation Engine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trend_analysis.multi_period.engine.run</w:t>
      </w:r>
      <w:r>
        <w:rPr>
          <w:rFonts w:ascii="Arial" w:hAnsi="Arial"/>
          <w:b w:val="0"/>
          <w:i w:val="0"/>
          <w:sz w:val="22"/>
        </w:rPr>
        <w:t xml:space="preserve"> executes rolling in-sample evaluation and out-of-sample execution, delegating to </w:t>
      </w:r>
      <w:r>
        <w:rPr>
          <w:rFonts w:ascii="Consolas" w:hAnsi="Consolas"/>
          <w:b w:val="0"/>
          <w:i w:val="0"/>
          <w:sz w:val="20"/>
        </w:rPr>
        <w:t>_run_phase1_multi_periods</w:t>
      </w:r>
      <w:r>
        <w:rPr>
          <w:rFonts w:ascii="Arial" w:hAnsi="Arial"/>
          <w:b w:val="0"/>
          <w:i w:val="0"/>
          <w:sz w:val="22"/>
        </w:rPr>
        <w:t xml:space="preserve"> or the large </w:t>
      </w:r>
      <w:r>
        <w:rPr>
          <w:rFonts w:ascii="Consolas" w:hAnsi="Consolas"/>
          <w:b w:val="0"/>
          <w:i w:val="0"/>
          <w:sz w:val="20"/>
        </w:rPr>
        <w:t>_run_threshold_hold_multi_periods</w:t>
      </w:r>
      <w:r>
        <w:rPr>
          <w:rFonts w:ascii="Arial" w:hAnsi="Arial"/>
          <w:b w:val="0"/>
          <w:i w:val="0"/>
          <w:sz w:val="22"/>
        </w:rPr>
        <w:t xml:space="preserve"> routine (~2,468 lines) (</w:t>
      </w:r>
      <w:r>
        <w:rPr>
          <w:rFonts w:ascii="Consolas" w:hAnsi="Consolas"/>
          <w:b w:val="0"/>
          <w:i w:val="0"/>
          <w:sz w:val="20"/>
        </w:rPr>
        <w:t>src/trend_analysis/multi_period/engine.py:1731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2054-4521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Multi-Metric Scoring Engine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trend_analysis.core.rank_selection</w:t>
      </w:r>
      <w:r>
        <w:rPr>
          <w:rFonts w:ascii="Arial" w:hAnsi="Arial"/>
          <w:b w:val="0"/>
          <w:i w:val="0"/>
          <w:sz w:val="22"/>
        </w:rPr>
        <w:t xml:space="preserve"> computes Sharpe, Sortino, Calmar, drawdown, and blended z-score rankings across rolling windows (</w:t>
      </w:r>
      <w:r>
        <w:rPr>
          <w:rFonts w:ascii="Consolas" w:hAnsi="Consolas"/>
          <w:b w:val="0"/>
          <w:i w:val="0"/>
          <w:sz w:val="20"/>
        </w:rPr>
        <w:t>src/trend_analysis/core/rank_selection.py:866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1023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1034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Extensible Plugin Framework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Selector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Rebalancer</w:t>
      </w:r>
      <w:r>
        <w:rPr>
          <w:rFonts w:ascii="Arial" w:hAnsi="Arial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WeightEngine</w:t>
      </w:r>
      <w:r>
        <w:rPr>
          <w:rFonts w:ascii="Arial" w:hAnsi="Arial"/>
          <w:b w:val="0"/>
          <w:i w:val="0"/>
          <w:sz w:val="22"/>
        </w:rPr>
        <w:t xml:space="preserve"> plugin registries define modular selection, rebalancing, and risk-based weighting (</w:t>
      </w:r>
      <w:r>
        <w:rPr>
          <w:rFonts w:ascii="Consolas" w:hAnsi="Consolas"/>
          <w:b w:val="0"/>
          <w:i w:val="0"/>
          <w:sz w:val="20"/>
        </w:rPr>
        <w:t>src/trend_analysis/plugins/__init__.py:58-93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Cash Buffer Handling</w:t>
      </w:r>
      <w:r>
        <w:rPr>
          <w:rFonts w:ascii="Arial" w:hAnsi="Arial"/>
          <w:b w:val="0"/>
          <w:i w:val="0"/>
          <w:sz w:val="22"/>
        </w:rPr>
        <w:t xml:space="preserve">: Weight policies can leave weights unnormalized so residual mass represents an implicit cash buffer; </w:t>
      </w:r>
      <w:r>
        <w:rPr>
          <w:rFonts w:ascii="Consolas" w:hAnsi="Consolas"/>
          <w:b w:val="0"/>
          <w:i w:val="0"/>
          <w:sz w:val="20"/>
        </w:rPr>
        <w:t>CashPolicy</w:t>
      </w:r>
      <w:r>
        <w:rPr>
          <w:rFonts w:ascii="Arial" w:hAnsi="Arial"/>
          <w:b w:val="0"/>
          <w:i w:val="0"/>
          <w:sz w:val="22"/>
        </w:rPr>
        <w:t xml:space="preserve"> controls explicit cash rows in rebalancers (</w:t>
      </w:r>
      <w:r>
        <w:rPr>
          <w:rFonts w:ascii="Consolas" w:hAnsi="Consolas"/>
          <w:b w:val="0"/>
          <w:i w:val="0"/>
          <w:sz w:val="20"/>
        </w:rPr>
        <w:t>src/trend_analysis/portfolio/weight_policy.py:55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src/trend_analysis/cash_policy.py:9-14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Performance Caching</w:t>
      </w:r>
      <w:r>
        <w:rPr>
          <w:rFonts w:ascii="Arial" w:hAnsi="Arial"/>
          <w:b w:val="0"/>
          <w:i w:val="0"/>
          <w:sz w:val="22"/>
        </w:rPr>
        <w:t>: In-memory covariance cache plus optional disk-backed rolling cache via joblib shim (</w:t>
      </w:r>
      <w:r>
        <w:rPr>
          <w:rFonts w:ascii="Consolas" w:hAnsi="Consolas"/>
          <w:b w:val="0"/>
          <w:i w:val="0"/>
          <w:sz w:val="20"/>
        </w:rPr>
        <w:t>src/trend_analysis/perf/cache.py:1-10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src/trend_analysis/perf/rolling_cache.py:17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Monte Carlo Resampling</w:t>
      </w:r>
      <w:r>
        <w:rPr>
          <w:rFonts w:ascii="Arial" w:hAnsi="Arial"/>
          <w:b w:val="0"/>
          <w:i w:val="0"/>
          <w:sz w:val="22"/>
        </w:rPr>
        <w:t xml:space="preserve">: Stationary bootstrap and related return models under </w:t>
      </w:r>
      <w:r>
        <w:rPr>
          <w:rFonts w:ascii="Consolas" w:hAnsi="Consolas"/>
          <w:b w:val="0"/>
          <w:i w:val="0"/>
          <w:sz w:val="20"/>
        </w:rPr>
        <w:t>monte_carlo/models/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src/trend_analysis/monte_carlo/models/bootstrap.py:1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126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Natural Language Config Interface</w:t>
      </w:r>
      <w:r>
        <w:rPr>
          <w:rFonts w:ascii="Arial" w:hAnsi="Arial"/>
          <w:b w:val="0"/>
          <w:i w:val="0"/>
          <w:sz w:val="22"/>
        </w:rPr>
        <w:t xml:space="preserve">: LLM-driven translation of plain-language instructions into validated </w:t>
      </w:r>
      <w:r>
        <w:rPr>
          <w:rFonts w:ascii="Consolas" w:hAnsi="Consolas"/>
          <w:b w:val="0"/>
          <w:i w:val="0"/>
          <w:sz w:val="20"/>
        </w:rPr>
        <w:t>ConfigPatch</w:t>
      </w:r>
      <w:r>
        <w:rPr>
          <w:rFonts w:ascii="Arial" w:hAnsi="Arial"/>
          <w:b w:val="0"/>
          <w:i w:val="0"/>
          <w:sz w:val="22"/>
        </w:rPr>
        <w:t xml:space="preserve"> operations (</w:t>
      </w:r>
      <w:r>
        <w:rPr>
          <w:rFonts w:ascii="Consolas" w:hAnsi="Consolas"/>
          <w:b w:val="0"/>
          <w:i w:val="0"/>
          <w:sz w:val="20"/>
        </w:rPr>
        <w:t>src/trend_analysis/llm/chain.py:1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Comprehensive Reporting Engines</w:t>
      </w:r>
      <w:r>
        <w:rPr>
          <w:rFonts w:ascii="Arial" w:hAnsi="Arial"/>
          <w:b w:val="0"/>
          <w:i w:val="0"/>
          <w:sz w:val="22"/>
        </w:rPr>
        <w:t>: Formatters producing institutional Excel workbooks with freeze panes, conditional formatting, and auto-filters (</w:t>
      </w:r>
      <w:r>
        <w:rPr>
          <w:rFonts w:ascii="Consolas" w:hAnsi="Consolas"/>
          <w:b w:val="0"/>
          <w:i w:val="0"/>
          <w:sz w:val="20"/>
        </w:rPr>
        <w:t>src/trend_analysis/export/__init__.py:560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Config Validation Layer</w:t>
      </w:r>
      <w:r>
        <w:rPr>
          <w:rFonts w:ascii="Arial" w:hAnsi="Arial"/>
          <w:b w:val="0"/>
          <w:i w:val="0"/>
          <w:sz w:val="22"/>
        </w:rPr>
        <w:t>: Strict runtime validation of nested YAML configurations via Pydantic models (</w:t>
      </w:r>
      <w:r>
        <w:rPr>
          <w:rFonts w:ascii="Consolas" w:hAnsi="Consolas"/>
          <w:b w:val="0"/>
          <w:i w:val="0"/>
          <w:sz w:val="20"/>
        </w:rPr>
        <w:t>src/trend_analysis/config/model.py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src/trend_analysis/config/models.py:29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Manager Identifiers</w:t>
      </w:r>
      <w:r>
        <w:rPr>
          <w:rFonts w:ascii="Arial" w:hAnsi="Arial"/>
          <w:b w:val="0"/>
          <w:i w:val="0"/>
          <w:sz w:val="22"/>
        </w:rPr>
        <w:t>: The engine operates internally on raw CSV string column labels. An optional mapping layer (</w:t>
      </w:r>
      <w:r>
        <w:rPr>
          <w:rFonts w:ascii="Consolas" w:hAnsi="Consolas"/>
          <w:b w:val="0"/>
          <w:i w:val="0"/>
          <w:sz w:val="20"/>
        </w:rPr>
        <w:t>trend_analysis.identity.IdentityMap</w:t>
      </w:r>
      <w:r>
        <w:rPr>
          <w:rFonts w:ascii="Arial" w:hAnsi="Arial"/>
          <w:b w:val="0"/>
          <w:i w:val="0"/>
          <w:sz w:val="22"/>
        </w:rPr>
        <w:t xml:space="preserve">) resolves labels to configured </w:t>
      </w:r>
      <w:r>
        <w:rPr>
          <w:rFonts w:ascii="Consolas" w:hAnsi="Consolas"/>
          <w:b w:val="0"/>
          <w:i w:val="0"/>
          <w:sz w:val="20"/>
        </w:rPr>
        <w:t>canonical_id</w:t>
      </w:r>
      <w:r>
        <w:rPr>
          <w:rFonts w:ascii="Arial" w:hAnsi="Arial"/>
          <w:b w:val="0"/>
          <w:i w:val="0"/>
          <w:sz w:val="22"/>
        </w:rPr>
        <w:t xml:space="preserve"> values (commonly </w:t>
      </w:r>
      <w:r>
        <w:rPr>
          <w:rFonts w:ascii="Consolas" w:hAnsi="Consolas"/>
          <w:b w:val="0"/>
          <w:i w:val="0"/>
          <w:sz w:val="20"/>
        </w:rPr>
        <w:t>fund:&lt;slug&gt;</w:t>
      </w:r>
      <w:r>
        <w:rPr>
          <w:rFonts w:ascii="Arial" w:hAnsi="Arial"/>
          <w:b w:val="0"/>
          <w:i w:val="0"/>
          <w:sz w:val="22"/>
        </w:rPr>
        <w:t xml:space="preserve"> in universe files); unmapped labels default to </w:t>
      </w:r>
      <w:r>
        <w:rPr>
          <w:rFonts w:ascii="Consolas" w:hAnsi="Consolas"/>
          <w:b w:val="0"/>
          <w:i w:val="0"/>
          <w:sz w:val="20"/>
        </w:rPr>
        <w:t>unknown:&lt;label&gt;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src/trend_analysis/identity.py:77-82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Returns Matrices</w:t>
      </w:r>
      <w:r>
        <w:rPr>
          <w:rFonts w:ascii="Arial" w:hAnsi="Arial"/>
          <w:b w:val="0"/>
          <w:i w:val="0"/>
          <w:sz w:val="22"/>
        </w:rPr>
        <w:t xml:space="preserve">: Return data must satisfy the shared market-data contract (datetime index or </w:t>
      </w:r>
      <w:r>
        <w:rPr>
          <w:rFonts w:ascii="Consolas" w:hAnsi="Consolas"/>
          <w:b w:val="0"/>
          <w:i w:val="0"/>
          <w:sz w:val="20"/>
        </w:rPr>
        <w:t>Date</w:t>
      </w:r>
      <w:r>
        <w:rPr>
          <w:rFonts w:ascii="Arial" w:hAnsi="Arial"/>
          <w:b w:val="0"/>
          <w:i w:val="0"/>
          <w:sz w:val="22"/>
        </w:rPr>
        <w:t xml:space="preserve"> column, numeric return columns) validated on ingest (</w:t>
      </w:r>
      <w:r>
        <w:rPr>
          <w:rFonts w:ascii="Consolas" w:hAnsi="Consolas"/>
          <w:b w:val="0"/>
          <w:i w:val="0"/>
          <w:sz w:val="20"/>
        </w:rPr>
        <w:t>src/trend_analysis/data.py:502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src/trend_analysis/io/market_data.py:556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Run Envelopes</w:t>
      </w:r>
      <w:r>
        <w:rPr>
          <w:rFonts w:ascii="Arial" w:hAnsi="Arial"/>
          <w:b w:val="0"/>
          <w:i w:val="0"/>
          <w:sz w:val="22"/>
        </w:rPr>
        <w:t xml:space="preserve">: The platform emits </w:t>
      </w:r>
      <w:r>
        <w:rPr>
          <w:rFonts w:ascii="Consolas" w:hAnsi="Consolas"/>
          <w:b w:val="0"/>
          <w:i w:val="0"/>
          <w:sz w:val="20"/>
        </w:rPr>
        <w:t>trend.run_envelope/1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src/trend_analysis/export/run_envelope.py:31</w:t>
      </w:r>
      <w:r>
        <w:rPr>
          <w:rFonts w:ascii="Arial" w:hAnsi="Arial"/>
          <w:b w:val="0"/>
          <w:i w:val="0"/>
          <w:sz w:val="22"/>
        </w:rPr>
        <w:t xml:space="preserve">) and </w:t>
      </w:r>
      <w:r>
        <w:rPr>
          <w:rFonts w:ascii="Consolas" w:hAnsi="Consolas"/>
          <w:b w:val="0"/>
          <w:i w:val="0"/>
          <w:sz w:val="20"/>
        </w:rPr>
        <w:t>trend.run_artifacts/1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src/trend_analysis/reporting/run_artifacts.py:344</w:t>
      </w:r>
      <w:r>
        <w:rPr>
          <w:rFonts w:ascii="Arial" w:hAnsi="Arial"/>
          <w:b w:val="0"/>
          <w:i w:val="0"/>
          <w:sz w:val="22"/>
        </w:rPr>
        <w:t>) containing execution parameters, runtime digests, input hashes, and metric summaries.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Contract Conformance</w:t>
      </w:r>
      <w:r>
        <w:rPr>
          <w:rFonts w:ascii="Arial" w:hAnsi="Arial"/>
          <w:b w:val="0"/>
          <w:i w:val="0"/>
          <w:sz w:val="22"/>
        </w:rPr>
        <w:t xml:space="preserve">: Fleet documentation references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, while this repo currently emits </w:t>
      </w:r>
      <w:r>
        <w:rPr>
          <w:rFonts w:ascii="Consolas" w:hAnsi="Consolas"/>
          <w:b w:val="0"/>
          <w:i w:val="0"/>
          <w:sz w:val="20"/>
        </w:rPr>
        <w:t>trend.run_envelope/1</w:t>
      </w:r>
      <w:r>
        <w:rPr>
          <w:rFonts w:ascii="Arial" w:hAnsi="Arial"/>
          <w:b w:val="0"/>
          <w:i w:val="0"/>
          <w:sz w:val="22"/>
        </w:rPr>
        <w:t>. Backplane conformance validation (</w:t>
      </w:r>
      <w:r>
        <w:rPr>
          <w:rFonts w:ascii="Consolas" w:hAnsi="Consolas"/>
          <w:b w:val="0"/>
          <w:i w:val="0"/>
          <w:sz w:val="20"/>
        </w:rPr>
        <w:t>.github/workflows/backplane-conformance.yml:51</w:t>
      </w:r>
      <w:r>
        <w:rPr>
          <w:rFonts w:ascii="Arial" w:hAnsi="Arial"/>
          <w:b w:val="0"/>
          <w:i w:val="0"/>
          <w:sz w:val="22"/>
        </w:rPr>
        <w:t xml:space="preserve">) skips because </w:t>
      </w:r>
      <w:r>
        <w:rPr>
          <w:rFonts w:ascii="Consolas" w:hAnsi="Consolas"/>
          <w:b w:val="0"/>
          <w:i w:val="0"/>
          <w:sz w:val="20"/>
        </w:rPr>
        <w:t>scripts/emit_reference_run.sh</w:t>
      </w:r>
      <w:r>
        <w:rPr>
          <w:rFonts w:ascii="Arial" w:hAnsi="Arial"/>
          <w:b w:val="0"/>
          <w:i w:val="0"/>
          <w:sz w:val="22"/>
        </w:rPr>
        <w:t xml:space="preserve"> is missing.</w:t>
      </w:r>
    </w:p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Input Data</w:t>
      </w:r>
      <w:r>
        <w:rPr>
          <w:rFonts w:ascii="Arial" w:hAnsi="Arial"/>
          <w:b w:val="0"/>
          <w:i w:val="0"/>
          <w:sz w:val="22"/>
        </w:rPr>
        <w:t>: Ingests tabular CSV, Parquet, or Excel files containing historical manager return series, asset benchmarks, and risk-free cash series (</w:t>
      </w:r>
      <w:r>
        <w:rPr>
          <w:rFonts w:ascii="Consolas" w:hAnsi="Consolas"/>
          <w:b w:val="0"/>
          <w:i w:val="0"/>
          <w:sz w:val="20"/>
        </w:rPr>
        <w:t>config/demo.yml:4-11</w:t>
      </w:r>
      <w:r>
        <w:rPr>
          <w:rFonts w:ascii="Arial" w:hAnsi="Arial"/>
          <w:b w:val="0"/>
          <w:i w:val="0"/>
          <w:sz w:val="22"/>
        </w:rPr>
        <w:t>). Configurations load from YAML files validated against Pydantic schemas (</w:t>
      </w:r>
      <w:r>
        <w:rPr>
          <w:rFonts w:ascii="Consolas" w:hAnsi="Consolas"/>
          <w:b w:val="0"/>
          <w:i w:val="0"/>
          <w:sz w:val="20"/>
        </w:rPr>
        <w:t>config/defaults.yml:1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Core Dependencies</w:t>
      </w:r>
      <w:r>
        <w:rPr>
          <w:rFonts w:ascii="Arial" w:hAnsi="Arial"/>
          <w:b w:val="0"/>
          <w:i w:val="0"/>
          <w:sz w:val="22"/>
        </w:rPr>
        <w:t xml:space="preserve">: Built on Python 3.10+ using </w:t>
      </w:r>
      <w:r>
        <w:rPr>
          <w:rFonts w:ascii="Consolas" w:hAnsi="Consolas"/>
          <w:b w:val="0"/>
          <w:i w:val="0"/>
          <w:sz w:val="20"/>
        </w:rPr>
        <w:t>numpy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pandas</w:t>
      </w:r>
      <w:r>
        <w:rPr>
          <w:rFonts w:ascii="Arial" w:hAnsi="Arial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scipy</w:t>
      </w:r>
      <w:r>
        <w:rPr>
          <w:rFonts w:ascii="Arial" w:hAnsi="Arial"/>
          <w:b w:val="0"/>
          <w:i w:val="0"/>
          <w:sz w:val="22"/>
        </w:rPr>
        <w:t xml:space="preserve"> for computations; </w:t>
      </w:r>
      <w:r>
        <w:rPr>
          <w:rFonts w:ascii="Consolas" w:hAnsi="Consolas"/>
          <w:b w:val="0"/>
          <w:i w:val="0"/>
          <w:sz w:val="20"/>
        </w:rPr>
        <w:t>pydantic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PyYAML</w:t>
      </w:r>
      <w:r>
        <w:rPr>
          <w:rFonts w:ascii="Arial" w:hAnsi="Arial"/>
          <w:b w:val="0"/>
          <w:i w:val="0"/>
          <w:sz w:val="22"/>
        </w:rPr>
        <w:t xml:space="preserve"> for config validation; </w:t>
      </w:r>
      <w:r>
        <w:rPr>
          <w:rFonts w:ascii="Consolas" w:hAnsi="Consolas"/>
          <w:b w:val="0"/>
          <w:i w:val="0"/>
          <w:sz w:val="20"/>
        </w:rPr>
        <w:t>openpyxl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fpdf2</w:t>
      </w:r>
      <w:r>
        <w:rPr>
          <w:rFonts w:ascii="Arial" w:hAnsi="Arial"/>
          <w:b w:val="0"/>
          <w:i w:val="0"/>
          <w:sz w:val="22"/>
        </w:rPr>
        <w:t xml:space="preserve"> for reporting; optional </w:t>
      </w:r>
      <w:r>
        <w:rPr>
          <w:rFonts w:ascii="Consolas" w:hAnsi="Consolas"/>
          <w:b w:val="0"/>
          <w:i w:val="0"/>
          <w:sz w:val="20"/>
        </w:rPr>
        <w:t>streamlit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plotly</w:t>
      </w:r>
      <w:r>
        <w:rPr>
          <w:rFonts w:ascii="Arial" w:hAnsi="Arial"/>
          <w:b w:val="0"/>
          <w:i w:val="0"/>
          <w:sz w:val="22"/>
        </w:rPr>
        <w:t xml:space="preserve"> for visualization (</w:t>
      </w:r>
      <w:r>
        <w:rPr>
          <w:rFonts w:ascii="Consolas" w:hAnsi="Consolas"/>
          <w:b w:val="0"/>
          <w:i w:val="0"/>
          <w:sz w:val="20"/>
        </w:rPr>
        <w:t>pyproject.toml:38-56</w:t>
      </w:r>
      <w:r>
        <w:rPr>
          <w:rFonts w:ascii="Arial" w:hAnsi="Arial"/>
          <w:b w:val="0"/>
          <w:i w:val="0"/>
          <w:sz w:val="22"/>
        </w:rPr>
        <w:t xml:space="preserve">, optional extras at </w:t>
      </w:r>
      <w:r>
        <w:rPr>
          <w:rFonts w:ascii="Consolas" w:hAnsi="Consolas"/>
          <w:b w:val="0"/>
          <w:i w:val="0"/>
          <w:sz w:val="20"/>
        </w:rPr>
        <w:t>pyproject.toml:87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Runtime Environment</w:t>
      </w:r>
      <w:r>
        <w:rPr>
          <w:rFonts w:ascii="Arial" w:hAnsi="Arial"/>
          <w:b w:val="0"/>
          <w:i w:val="0"/>
          <w:sz w:val="22"/>
        </w:rPr>
        <w:t>: Operates fully offline with local-first file I/O, requiring no network access or external database services.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r>
        <w:rPr>
          <w:rFonts w:ascii="Arial" w:hAnsi="Arial"/>
          <w:b w:val="0"/>
          <w:i w:val="0"/>
          <w:sz w:val="22"/>
        </w:rPr>
        <w:t>The repository is production-ready for single-node CLI analysis, report generation, and interactive dashboard exploration. The CI pipeline (</w:t>
      </w:r>
      <w:r>
        <w:rPr>
          <w:rFonts w:ascii="Consolas" w:hAnsi="Consolas"/>
          <w:b w:val="0"/>
          <w:i w:val="0"/>
          <w:sz w:val="20"/>
        </w:rPr>
        <w:t>.github/workflows/pr-00-gate.yml:73</w:t>
      </w:r>
      <w:r>
        <w:rPr>
          <w:rFonts w:ascii="Arial" w:hAnsi="Arial"/>
          <w:b w:val="0"/>
          <w:i w:val="0"/>
          <w:sz w:val="22"/>
        </w:rPr>
        <w:t xml:space="preserve">) enforces strict code quality gates, requiring </w:t>
      </w:r>
      <w:r>
        <w:rPr>
          <w:rFonts w:ascii="Consolas" w:hAnsi="Consolas"/>
          <w:b w:val="0"/>
          <w:i w:val="0"/>
          <w:sz w:val="20"/>
        </w:rPr>
        <w:t>black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ruff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mypy</w:t>
      </w:r>
      <w:r>
        <w:rPr>
          <w:rFonts w:ascii="Arial" w:hAnsi="Arial"/>
          <w:b w:val="0"/>
          <w:i w:val="0"/>
          <w:sz w:val="22"/>
        </w:rPr>
        <w:t xml:space="preserve">, legacy surface absence verification, and an 80% minimum test coverage threshold (baseline notes ~90.8% measured as of 2026-08-26 in </w:t>
      </w:r>
      <w:r>
        <w:rPr>
          <w:rFonts w:ascii="Consolas" w:hAnsi="Consolas"/>
          <w:b w:val="0"/>
          <w:i w:val="0"/>
          <w:sz w:val="20"/>
        </w:rPr>
        <w:t>config/coverage-baseline.json</w:t>
      </w:r>
      <w:r>
        <w:rPr>
          <w:rFonts w:ascii="Arial" w:hAnsi="Arial"/>
          <w:b w:val="0"/>
          <w:i w:val="0"/>
          <w:sz w:val="22"/>
        </w:rPr>
        <w:t>). Technical debt and structural gaps persist: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~19 inert configuration keys exist in schemas without engine wiring (</w:t>
      </w:r>
      <w:r>
        <w:rPr>
          <w:rFonts w:ascii="Consolas" w:hAnsi="Consolas"/>
          <w:b w:val="0"/>
          <w:i w:val="0"/>
          <w:sz w:val="20"/>
        </w:rPr>
        <w:t>AUDIT_REPORT.md:88-102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The threshold-hold walk-forward path is concentrated in a ~2,468-line routine (</w:t>
      </w:r>
      <w:r>
        <w:rPr>
          <w:rFonts w:ascii="Consolas" w:hAnsi="Consolas"/>
          <w:b w:val="0"/>
          <w:i w:val="0"/>
          <w:sz w:val="20"/>
        </w:rPr>
        <w:t>src/trend_analysis/multi_period/engine.py:2054-4521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 xml:space="preserve">A separate </w:t>
      </w:r>
      <w:r>
        <w:rPr>
          <w:rFonts w:ascii="Consolas" w:hAnsi="Consolas"/>
          <w:b w:val="0"/>
          <w:i w:val="0"/>
          <w:sz w:val="20"/>
        </w:rPr>
        <w:t>backtesting/harness.py</w:t>
      </w:r>
      <w:r>
        <w:rPr>
          <w:rFonts w:ascii="Arial" w:hAnsi="Arial"/>
          <w:b w:val="0"/>
          <w:i w:val="0"/>
          <w:sz w:val="22"/>
        </w:rPr>
        <w:t xml:space="preserve"> walk-forward path coexists with the main multi-period engine, with overlapping but not identical cost/turnover semantics (</w:t>
      </w:r>
      <w:r>
        <w:rPr>
          <w:rFonts w:ascii="Consolas" w:hAnsi="Consolas"/>
          <w:b w:val="0"/>
          <w:i w:val="0"/>
          <w:sz w:val="20"/>
        </w:rPr>
        <w:t>src/trend_analysis/backtesting/harness.py:1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145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Daily and weekly frequency configurations are resampled to monthly before simulation (</w:t>
      </w:r>
      <w:r>
        <w:rPr>
          <w:rFonts w:ascii="Consolas" w:hAnsi="Consolas"/>
          <w:b w:val="0"/>
          <w:i w:val="0"/>
          <w:sz w:val="20"/>
        </w:rPr>
        <w:t>src/trend_analysis/stages/preprocessing.py:441-445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src/trend_analysis/util/frequency.py:111-113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 xml:space="preserve">Legacy </w:t>
      </w:r>
      <w:r>
        <w:rPr>
          <w:rFonts w:ascii="Consolas" w:hAnsi="Consolas"/>
          <w:b w:val="0"/>
          <w:i w:val="0"/>
          <w:sz w:val="20"/>
        </w:rPr>
        <w:t>portfolio.transaction_cost_bps</w:t>
      </w:r>
      <w:r>
        <w:rPr>
          <w:rFonts w:ascii="Arial" w:hAnsi="Arial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sz w:val="20"/>
        </w:rPr>
        <w:t>portfolio.weighting_scheme</w:t>
      </w:r>
      <w:r>
        <w:rPr>
          <w:rFonts w:ascii="Arial" w:hAnsi="Arial"/>
          <w:b w:val="0"/>
          <w:i w:val="0"/>
          <w:sz w:val="22"/>
        </w:rPr>
        <w:t xml:space="preserve"> keys are rejected in favor of </w:t>
      </w:r>
      <w:r>
        <w:rPr>
          <w:rFonts w:ascii="Consolas" w:hAnsi="Consolas"/>
          <w:b w:val="0"/>
          <w:i w:val="0"/>
          <w:sz w:val="20"/>
        </w:rPr>
        <w:t>portfolio.cost_model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portfolio.weighting.name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src/trend_analysis/config_contract.py:82-84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125-134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The FastAPI server lacks pipeline execution endpoints (</w:t>
      </w:r>
      <w:r>
        <w:rPr>
          <w:rFonts w:ascii="Consolas" w:hAnsi="Consolas"/>
          <w:b w:val="0"/>
          <w:i w:val="0"/>
          <w:sz w:val="20"/>
        </w:rPr>
        <w:t>src/trend_analysis/api_server/__init__.py:140-189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Reference run scripts for backplane conformance testing are missing (</w:t>
      </w:r>
      <w:r>
        <w:rPr>
          <w:rFonts w:ascii="Consolas" w:hAnsi="Consolas"/>
          <w:b w:val="0"/>
          <w:i w:val="0"/>
          <w:sz w:val="20"/>
        </w:rPr>
        <w:t>scripts/emit_reference_run.sh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Diversification guard UI and configuration persistence remain unimplemented scaffold docs (</w:t>
      </w:r>
      <w:r>
        <w:rPr>
          <w:rFonts w:ascii="Consolas" w:hAnsi="Consolas"/>
          <w:b w:val="0"/>
          <w:i w:val="0"/>
          <w:sz w:val="20"/>
        </w:rPr>
        <w:t>docs/diversification_guard_scaffold.md:5-10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Weighting configuration (outdated audit claim)</w:t>
      </w:r>
      <w:r>
        <w:rPr>
          <w:rFonts w:ascii="Arial" w:hAnsi="Arial"/>
          <w:b w:val="0"/>
          <w:i w:val="0"/>
          <w:sz w:val="22"/>
        </w:rPr>
        <w:t xml:space="preserve">: Older docs/audits claimed </w:t>
      </w:r>
      <w:r>
        <w:rPr>
          <w:rFonts w:ascii="Consolas" w:hAnsi="Consolas"/>
          <w:b w:val="0"/>
          <w:i w:val="0"/>
          <w:sz w:val="20"/>
        </w:rPr>
        <w:t>portfolio.weighting.name: risk_parity</w:t>
      </w:r>
      <w:r>
        <w:rPr>
          <w:rFonts w:ascii="Arial" w:hAnsi="Arial"/>
          <w:b w:val="0"/>
          <w:i w:val="0"/>
          <w:sz w:val="22"/>
        </w:rPr>
        <w:t xml:space="preserve"> silently fell back to equal weight and required a separate </w:t>
      </w:r>
      <w:r>
        <w:rPr>
          <w:rFonts w:ascii="Consolas" w:hAnsi="Consolas"/>
          <w:b w:val="0"/>
          <w:i w:val="0"/>
          <w:sz w:val="20"/>
        </w:rPr>
        <w:t>portfolio.weighting_scheme</w:t>
      </w:r>
      <w:r>
        <w:rPr>
          <w:rFonts w:ascii="Arial" w:hAnsi="Arial"/>
          <w:b w:val="0"/>
          <w:i w:val="0"/>
          <w:sz w:val="22"/>
        </w:rPr>
        <w:t xml:space="preserve"> key. Current code routes </w:t>
      </w:r>
      <w:r>
        <w:rPr>
          <w:rFonts w:ascii="Consolas" w:hAnsi="Consolas"/>
          <w:b w:val="0"/>
          <w:i w:val="0"/>
          <w:sz w:val="20"/>
        </w:rPr>
        <w:t>portfolio.weighting.name</w:t>
      </w:r>
      <w:r>
        <w:rPr>
          <w:rFonts w:ascii="Arial" w:hAnsi="Arial"/>
          <w:b w:val="0"/>
          <w:i w:val="0"/>
          <w:sz w:val="22"/>
        </w:rPr>
        <w:t xml:space="preserve"> (including </w:t>
      </w:r>
      <w:r>
        <w:rPr>
          <w:rFonts w:ascii="Consolas" w:hAnsi="Consolas"/>
          <w:b w:val="0"/>
          <w:i w:val="0"/>
          <w:sz w:val="20"/>
        </w:rPr>
        <w:t>risk_parity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score_prop</w:t>
      </w:r>
      <w:r>
        <w:rPr>
          <w:rFonts w:ascii="Arial" w:hAnsi="Arial"/>
          <w:b w:val="0"/>
          <w:i w:val="0"/>
          <w:sz w:val="22"/>
        </w:rPr>
        <w:t xml:space="preserve">, etc.) through </w:t>
      </w:r>
      <w:r>
        <w:rPr>
          <w:rFonts w:ascii="Consolas" w:hAnsi="Consolas"/>
          <w:b w:val="0"/>
          <w:i w:val="0"/>
          <w:sz w:val="20"/>
        </w:rPr>
        <w:t>_resolve_portfolio_weighting</w:t>
      </w:r>
      <w:r>
        <w:rPr>
          <w:rFonts w:ascii="Arial" w:hAnsi="Arial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portfolio.weighting_scheme</w:t>
      </w:r>
      <w:r>
        <w:rPr>
          <w:rFonts w:ascii="Arial" w:hAnsi="Arial"/>
          <w:b w:val="0"/>
          <w:i w:val="0"/>
          <w:sz w:val="22"/>
        </w:rPr>
        <w:t xml:space="preserve"> is removed (</w:t>
      </w:r>
      <w:r>
        <w:rPr>
          <w:rFonts w:ascii="Consolas" w:hAnsi="Consolas"/>
          <w:b w:val="0"/>
          <w:i w:val="0"/>
          <w:sz w:val="20"/>
        </w:rPr>
        <w:t>src/trend_analysis/multi_period/engine.py:190-265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src/trend_analysis/config_contract.py:82-84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tests/test_weighting_resolution.py:18-27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Frequency handling</w:t>
      </w:r>
      <w:r>
        <w:rPr>
          <w:rFonts w:ascii="Arial" w:hAnsi="Arial"/>
          <w:b w:val="0"/>
          <w:i w:val="0"/>
          <w:sz w:val="22"/>
        </w:rPr>
        <w:t>: Docs may suggest daily/weekly end-to-end support; preprocessing resamples non-monthly series to month-end (</w:t>
      </w:r>
      <w:r>
        <w:rPr>
          <w:rFonts w:ascii="Consolas" w:hAnsi="Consolas"/>
          <w:b w:val="0"/>
          <w:i w:val="0"/>
          <w:sz w:val="20"/>
        </w:rPr>
        <w:t>ME</w:t>
      </w:r>
      <w:r>
        <w:rPr>
          <w:rFonts w:ascii="Arial" w:hAnsi="Arial"/>
          <w:b w:val="0"/>
          <w:i w:val="0"/>
          <w:sz w:val="22"/>
        </w:rPr>
        <w:t>) before simulation (</w:t>
      </w:r>
      <w:r>
        <w:rPr>
          <w:rFonts w:ascii="Consolas" w:hAnsi="Consolas"/>
          <w:b w:val="0"/>
          <w:i w:val="0"/>
          <w:sz w:val="20"/>
        </w:rPr>
        <w:t>src/trend_analysis/stages/preprocessing.py:441-445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src/trend_analysis/util/frequency.py:111-113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Transaction cost configuration (outdated audit claim)</w:t>
      </w:r>
      <w:r>
        <w:rPr>
          <w:rFonts w:ascii="Arial" w:hAnsi="Arial"/>
          <w:b w:val="0"/>
          <w:i w:val="0"/>
          <w:sz w:val="22"/>
        </w:rPr>
        <w:t xml:space="preserve">: Older audits claimed the main engine ignored </w:t>
      </w:r>
      <w:r>
        <w:rPr>
          <w:rFonts w:ascii="Consolas" w:hAnsi="Consolas"/>
          <w:b w:val="0"/>
          <w:i w:val="0"/>
          <w:sz w:val="20"/>
        </w:rPr>
        <w:t>portfolio.cost_model</w:t>
      </w:r>
      <w:r>
        <w:rPr>
          <w:rFonts w:ascii="Arial" w:hAnsi="Arial"/>
          <w:b w:val="0"/>
          <w:i w:val="0"/>
          <w:sz w:val="22"/>
        </w:rPr>
        <w:t xml:space="preserve">. Current multi-period runs resolve costs from </w:t>
      </w:r>
      <w:r>
        <w:rPr>
          <w:rFonts w:ascii="Consolas" w:hAnsi="Consolas"/>
          <w:b w:val="0"/>
          <w:i w:val="0"/>
          <w:sz w:val="20"/>
        </w:rPr>
        <w:t>portfolio.cost_model.{per_trade_bps,half_spread_bps}</w:t>
      </w:r>
      <w:r>
        <w:rPr>
          <w:rFonts w:ascii="Arial" w:hAnsi="Arial"/>
          <w:b w:val="0"/>
          <w:i w:val="0"/>
          <w:sz w:val="22"/>
        </w:rPr>
        <w:t xml:space="preserve"> via </w:t>
      </w:r>
      <w:r>
        <w:rPr>
          <w:rFonts w:ascii="Consolas" w:hAnsi="Consolas"/>
          <w:b w:val="0"/>
          <w:i w:val="0"/>
          <w:sz w:val="20"/>
        </w:rPr>
        <w:t>resolve_portfolio_cost_bps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src/trend_analysis/multi_period/engine.py:2018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src/trend_analysis/config_contract.py:125-153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Contract schema naming</w:t>
      </w:r>
      <w:r>
        <w:rPr>
          <w:rFonts w:ascii="Arial" w:hAnsi="Arial"/>
          <w:b w:val="0"/>
          <w:i w:val="0"/>
          <w:sz w:val="22"/>
        </w:rPr>
        <w:t xml:space="preserve">: Fleet specs describe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; this repo's export envelope uses </w:t>
      </w:r>
      <w:r>
        <w:rPr>
          <w:rFonts w:ascii="Consolas" w:hAnsi="Consolas"/>
          <w:b w:val="0"/>
          <w:i w:val="0"/>
          <w:sz w:val="20"/>
        </w:rPr>
        <w:t>trend.run_envelope/1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src/trend_analysis/export/run_envelope.py:31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docs/contracts/run-contract-v1.md:3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Backplane conformance automation</w:t>
      </w:r>
      <w:r>
        <w:rPr>
          <w:rFonts w:ascii="Arial" w:hAnsi="Arial"/>
          <w:b w:val="0"/>
          <w:i w:val="0"/>
          <w:sz w:val="22"/>
        </w:rPr>
        <w:t xml:space="preserve">: CI workflow checks for </w:t>
      </w:r>
      <w:r>
        <w:rPr>
          <w:rFonts w:ascii="Consolas" w:hAnsi="Consolas"/>
          <w:b w:val="0"/>
          <w:i w:val="0"/>
          <w:sz w:val="20"/>
        </w:rPr>
        <w:t>scripts/emit_reference_run.sh</w:t>
      </w:r>
      <w:r>
        <w:rPr>
          <w:rFonts w:ascii="Arial" w:hAnsi="Arial"/>
          <w:b w:val="0"/>
          <w:i w:val="0"/>
          <w:sz w:val="22"/>
        </w:rPr>
        <w:t xml:space="preserve"> and skips conformance when absent (</w:t>
      </w:r>
      <w:r>
        <w:rPr>
          <w:rFonts w:ascii="Consolas" w:hAnsi="Consolas"/>
          <w:b w:val="0"/>
          <w:i w:val="0"/>
          <w:sz w:val="20"/>
        </w:rPr>
        <w:t>.github/workflows/backplane-conformance.yml:51-54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Score-proportional weighting (outdated audit claim)</w:t>
      </w:r>
      <w:r>
        <w:rPr>
          <w:rFonts w:ascii="Arial" w:hAnsi="Arial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ScorePropSimple</w:t>
      </w:r>
      <w:r>
        <w:rPr>
          <w:rFonts w:ascii="Arial" w:hAnsi="Arial"/>
          <w:b w:val="0"/>
          <w:i w:val="0"/>
          <w:sz w:val="22"/>
        </w:rPr>
        <w:t xml:space="preserve"> is reachable via </w:t>
      </w:r>
      <w:r>
        <w:rPr>
          <w:rFonts w:ascii="Consolas" w:hAnsi="Consolas"/>
          <w:b w:val="0"/>
          <w:i w:val="0"/>
          <w:sz w:val="20"/>
        </w:rPr>
        <w:t>portfolio.weighting.name: score_prop</w:t>
      </w:r>
      <w:r>
        <w:rPr>
          <w:rFonts w:ascii="Arial" w:hAnsi="Arial"/>
          <w:b w:val="0"/>
          <w:i w:val="0"/>
          <w:sz w:val="22"/>
        </w:rPr>
        <w:t xml:space="preserve"> (aliases include </w:t>
      </w:r>
      <w:r>
        <w:rPr>
          <w:rFonts w:ascii="Consolas" w:hAnsi="Consolas"/>
          <w:b w:val="0"/>
          <w:i w:val="0"/>
          <w:sz w:val="20"/>
        </w:rPr>
        <w:t>score_prop_simple</w:t>
      </w:r>
      <w:r>
        <w:rPr>
          <w:rFonts w:ascii="Arial" w:hAnsi="Arial"/>
          <w:b w:val="0"/>
          <w:i w:val="0"/>
          <w:sz w:val="22"/>
        </w:rPr>
        <w:t>) (</w:t>
      </w:r>
      <w:r>
        <w:rPr>
          <w:rFonts w:ascii="Consolas" w:hAnsi="Consolas"/>
          <w:b w:val="0"/>
          <w:i w:val="0"/>
          <w:sz w:val="20"/>
        </w:rPr>
        <w:t>src/trend_analysis/weighting.py:31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src/trend_analysis/multi_period/engine.py:214-215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tests/test_weighting_resolution.py:53-63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Diversification guard</w:t>
      </w:r>
      <w:r>
        <w:rPr>
          <w:rFonts w:ascii="Arial" w:hAnsi="Arial"/>
          <w:b w:val="0"/>
          <w:i w:val="0"/>
          <w:sz w:val="22"/>
        </w:rPr>
        <w:t>: Docs describe future UI/config persistence; code search shows only an unimplemented scaffold (</w:t>
      </w:r>
      <w:r>
        <w:rPr>
          <w:rFonts w:ascii="Consolas" w:hAnsi="Consolas"/>
          <w:b w:val="0"/>
          <w:i w:val="0"/>
          <w:sz w:val="20"/>
        </w:rPr>
        <w:t>docs/diversification_guard_scaffold.md:5-10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Offers</w:t>
      </w:r>
      <w:r>
        <w:rPr>
          <w:rFonts w:ascii="Arial" w:hAnsi="Arial"/>
          <w:b w:val="0"/>
          <w:i w:val="0"/>
          <w:sz w:val="22"/>
        </w:rPr>
        <w:t xml:space="preserve">: Standardized execution outputs including </w:t>
      </w:r>
      <w:r>
        <w:rPr>
          <w:rFonts w:ascii="Consolas" w:hAnsi="Consolas"/>
          <w:b w:val="0"/>
          <w:i w:val="0"/>
          <w:sz w:val="20"/>
        </w:rPr>
        <w:t>trend.run_envelope/1</w:t>
      </w:r>
      <w:r>
        <w:rPr>
          <w:rFonts w:ascii="Arial" w:hAnsi="Arial"/>
          <w:b w:val="0"/>
          <w:i w:val="0"/>
          <w:sz w:val="22"/>
        </w:rPr>
        <w:t xml:space="preserve"> JSON manifests, structured multi-tab Excel workbooks, time-series allocation weights, and normalized manager ranking tables (</w:t>
      </w:r>
      <w:r>
        <w:rPr>
          <w:rFonts w:ascii="Consolas" w:hAnsi="Consolas"/>
          <w:b w:val="0"/>
          <w:i w:val="0"/>
          <w:sz w:val="20"/>
        </w:rPr>
        <w:t>src/trend_analysis/export/run_envelope.py:31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src/trend_analysis/export/__init__.py:560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Consumes</w:t>
      </w:r>
      <w:r>
        <w:rPr>
          <w:rFonts w:ascii="Arial" w:hAnsi="Arial"/>
          <w:b w:val="0"/>
          <w:i w:val="0"/>
          <w:sz w:val="22"/>
        </w:rPr>
        <w:t>: Tabular monthly return matrices (CSV/Parquet) with standardized date indices, YAML execution configuration files, and benchmark index return series (</w:t>
      </w:r>
      <w:r>
        <w:rPr>
          <w:rFonts w:ascii="Consolas" w:hAnsi="Consolas"/>
          <w:b w:val="0"/>
          <w:i w:val="0"/>
          <w:sz w:val="20"/>
        </w:rPr>
        <w:t>src/trend_analysis/io/market_data.py:556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config/demo.yml:4-11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Collision Risks</w:t>
      </w:r>
      <w:r>
        <w:rPr>
          <w:rFonts w:ascii="Arial" w:hAnsi="Arial"/>
          <w:b w:val="0"/>
          <w:i w:val="0"/>
          <w:sz w:val="22"/>
        </w:rPr>
        <w:t>: Hardcoded monthly calendar assumptions (</w:t>
      </w:r>
      <w:r>
        <w:rPr>
          <w:rFonts w:ascii="Consolas" w:hAnsi="Consolas"/>
          <w:b w:val="0"/>
          <w:i w:val="0"/>
          <w:sz w:val="20"/>
        </w:rPr>
        <w:t>ME</w:t>
      </w:r>
      <w:r>
        <w:rPr>
          <w:rFonts w:ascii="Arial" w:hAnsi="Arial"/>
          <w:b w:val="0"/>
          <w:i w:val="0"/>
          <w:sz w:val="22"/>
        </w:rPr>
        <w:t>), unanchored string column identifiers bypassing canonical fleet entity registries, and conflicting contract schema namespaces (</w:t>
      </w:r>
      <w:r>
        <w:rPr>
          <w:rFonts w:ascii="Consolas" w:hAnsi="Consolas"/>
          <w:b w:val="0"/>
          <w:i w:val="0"/>
          <w:sz w:val="20"/>
        </w:rPr>
        <w:t>trend.run_envelope/1</w:t>
      </w:r>
      <w:r>
        <w:rPr>
          <w:rFonts w:ascii="Arial" w:hAnsi="Arial"/>
          <w:b w:val="0"/>
          <w:i w:val="0"/>
          <w:sz w:val="22"/>
        </w:rPr>
        <w:t xml:space="preserve"> vs fleet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Institutional Excel Exporter</w:t>
      </w:r>
      <w:r>
        <w:rPr>
          <w:rFonts w:ascii="Arial" w:hAnsi="Arial"/>
          <w:b w:val="0"/>
          <w:i w:val="0"/>
          <w:sz w:val="22"/>
        </w:rPr>
        <w:t>: Formatted financial workbook generator supporting freeze panes, auto-fit columns, and conditional accounting formats (</w:t>
      </w:r>
      <w:r>
        <w:rPr>
          <w:rFonts w:ascii="Consolas" w:hAnsi="Consolas"/>
          <w:b w:val="0"/>
          <w:i w:val="0"/>
          <w:sz w:val="20"/>
        </w:rPr>
        <w:t>src/trend_analysis/export/__init__.py:560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Financial Metric Calculation Kernel</w:t>
      </w:r>
      <w:r>
        <w:rPr>
          <w:rFonts w:ascii="Arial" w:hAnsi="Arial"/>
          <w:b w:val="0"/>
          <w:i w:val="0"/>
          <w:sz w:val="22"/>
        </w:rPr>
        <w:t>: Vectorized risk and performance analytics calculating Sharpe, Sortino, Calmar, and drawdowns with optional caching (</w:t>
      </w:r>
      <w:r>
        <w:rPr>
          <w:rFonts w:ascii="Consolas" w:hAnsi="Consolas"/>
          <w:b w:val="0"/>
          <w:i w:val="0"/>
          <w:sz w:val="20"/>
        </w:rPr>
        <w:t>src/trend_analysis/core/rank_selection.py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src/trend_analysis/perf/cache.py:1-10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Synthetic Track Record Resampler</w:t>
      </w:r>
      <w:r>
        <w:rPr>
          <w:rFonts w:ascii="Arial" w:hAnsi="Arial"/>
          <w:b w:val="0"/>
          <w:i w:val="0"/>
          <w:sz w:val="22"/>
        </w:rPr>
        <w:t>: Stationary bootstrap Monte Carlo engine for simulating synthetic manager return histories (</w:t>
      </w:r>
      <w:r>
        <w:rPr>
          <w:rFonts w:ascii="Consolas" w:hAnsi="Consolas"/>
          <w:b w:val="0"/>
          <w:i w:val="0"/>
          <w:sz w:val="20"/>
        </w:rPr>
        <w:t>src/trend_analysis/monte_carlo/models/bootstrap.py:1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Flexible Scoring and Ranking Engine</w:t>
      </w:r>
      <w:r>
        <w:rPr>
          <w:rFonts w:ascii="Arial" w:hAnsi="Arial"/>
          <w:b w:val="0"/>
          <w:i w:val="0"/>
          <w:sz w:val="22"/>
        </w:rPr>
        <w:t>: Multi-metric normalizer and weighted metric aggregator for multi-factor evaluation (</w:t>
      </w:r>
      <w:r>
        <w:rPr>
          <w:rFonts w:ascii="Consolas" w:hAnsi="Consolas"/>
          <w:b w:val="0"/>
          <w:i w:val="0"/>
          <w:sz w:val="20"/>
        </w:rPr>
        <w:t>src/trend_analysis/core/rank_selection.py:866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1034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Zero-Install WASM Pipeline</w:t>
      </w:r>
      <w:r>
        <w:rPr>
          <w:rFonts w:ascii="Arial" w:hAnsi="Arial"/>
          <w:b w:val="0"/>
          <w:i w:val="0"/>
          <w:sz w:val="22"/>
        </w:rPr>
        <w:t>: Portable Pyodide/stlite packaging pattern enabling browser-based client-side analytics without local Python setup (</w:t>
      </w:r>
      <w:r>
        <w:rPr>
          <w:rFonts w:ascii="Consolas" w:hAnsi="Consolas"/>
          <w:b w:val="0"/>
          <w:i w:val="0"/>
          <w:sz w:val="20"/>
        </w:rPr>
        <w:t>scripts/build_wasm_site.py:20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Identity Normalization Map</w:t>
      </w:r>
      <w:r>
        <w:rPr>
          <w:rFonts w:ascii="Arial" w:hAnsi="Arial"/>
          <w:b w:val="0"/>
          <w:i w:val="0"/>
          <w:sz w:val="22"/>
        </w:rPr>
        <w:t>: Configurable alias mapper translating external source strings into canonical entity identifiers (</w:t>
      </w:r>
      <w:r>
        <w:rPr>
          <w:rFonts w:ascii="Consolas" w:hAnsi="Consolas"/>
          <w:b w:val="0"/>
          <w:i w:val="0"/>
          <w:sz w:val="20"/>
        </w:rPr>
        <w:t>src/trend_analysis/identity.py:77-82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Cash Buffer Weight Policy</w:t>
      </w:r>
      <w:r>
        <w:rPr>
          <w:rFonts w:ascii="Arial" w:hAnsi="Arial"/>
          <w:b w:val="0"/>
          <w:i w:val="0"/>
          <w:sz w:val="22"/>
        </w:rPr>
        <w:t>: Allocation helper preserving implicit cash when weights are not fully invested (</w:t>
      </w:r>
      <w:r>
        <w:rPr>
          <w:rFonts w:ascii="Consolas" w:hAnsi="Consolas"/>
          <w:b w:val="0"/>
          <w:i w:val="0"/>
          <w:sz w:val="20"/>
        </w:rPr>
        <w:t>src/trend_analysis/portfolio/weight_policy.py:55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Pydantic Configuration Validator</w:t>
      </w:r>
      <w:r>
        <w:rPr>
          <w:rFonts w:ascii="Arial" w:hAnsi="Arial"/>
          <w:b w:val="0"/>
          <w:i w:val="0"/>
          <w:sz w:val="22"/>
        </w:rPr>
        <w:t>: Schema validation layer for complex nested quantitative finance configuration files (</w:t>
      </w:r>
      <w:r>
        <w:rPr>
          <w:rFonts w:ascii="Consolas" w:hAnsi="Consolas"/>
          <w:b w:val="0"/>
          <w:i w:val="0"/>
          <w:sz w:val="20"/>
        </w:rPr>
        <w:t>src/trend_analysis/config/model.py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Decompose Engine Monolith</w:t>
      </w:r>
      <w:r>
        <w:rPr>
          <w:rFonts w:ascii="Arial" w:hAnsi="Arial"/>
          <w:b w:val="0"/>
          <w:i w:val="0"/>
          <w:sz w:val="22"/>
        </w:rPr>
        <w:t xml:space="preserve">: Refactor </w:t>
      </w:r>
      <w:r>
        <w:rPr>
          <w:rFonts w:ascii="Consolas" w:hAnsi="Consolas"/>
          <w:b w:val="0"/>
          <w:i w:val="0"/>
          <w:sz w:val="20"/>
        </w:rPr>
        <w:t>_run_threshold_hold_multi_periods</w:t>
      </w:r>
      <w:r>
        <w:rPr>
          <w:rFonts w:ascii="Arial" w:hAnsi="Arial"/>
          <w:b w:val="0"/>
          <w:i w:val="0"/>
          <w:sz w:val="22"/>
        </w:rPr>
        <w:t xml:space="preserve"> into modular stages for window slicing, scoring, portfolio construction, and accounting (</w:t>
      </w:r>
      <w:r>
        <w:rPr>
          <w:rFonts w:ascii="Consolas" w:hAnsi="Consolas"/>
          <w:b w:val="0"/>
          <w:i w:val="0"/>
          <w:sz w:val="20"/>
        </w:rPr>
        <w:t>src/trend_analysis/multi_period/engine.py:2054-4521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Unify Execution Harnesses</w:t>
      </w:r>
      <w:r>
        <w:rPr>
          <w:rFonts w:ascii="Arial" w:hAnsi="Arial"/>
          <w:b w:val="0"/>
          <w:i w:val="0"/>
          <w:sz w:val="22"/>
        </w:rPr>
        <w:t xml:space="preserve">: Consolidate </w:t>
      </w:r>
      <w:r>
        <w:rPr>
          <w:rFonts w:ascii="Consolas" w:hAnsi="Consolas"/>
          <w:b w:val="0"/>
          <w:i w:val="0"/>
          <w:sz w:val="20"/>
        </w:rPr>
        <w:t>backtesting/harness.py</w:t>
      </w:r>
      <w:r>
        <w:rPr>
          <w:rFonts w:ascii="Arial" w:hAnsi="Arial"/>
          <w:b w:val="0"/>
          <w:i w:val="0"/>
          <w:sz w:val="22"/>
        </w:rPr>
        <w:t xml:space="preserve"> with the main multi-period engine to eliminate redundant logic and divergent execution paths (</w:t>
      </w:r>
      <w:r>
        <w:rPr>
          <w:rFonts w:ascii="Consolas" w:hAnsi="Consolas"/>
          <w:b w:val="0"/>
          <w:i w:val="0"/>
          <w:sz w:val="20"/>
        </w:rPr>
        <w:t>src/trend_analysis/backtesting/harness.py:145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Prune Inert Configuration Keys</w:t>
      </w:r>
      <w:r>
        <w:rPr>
          <w:rFonts w:ascii="Arial" w:hAnsi="Arial"/>
          <w:b w:val="0"/>
          <w:i w:val="0"/>
          <w:sz w:val="22"/>
        </w:rPr>
        <w:t>: Audit and eliminate unused schema parameters to align configuration schemas with actual engine capabilities (</w:t>
      </w:r>
      <w:r>
        <w:rPr>
          <w:rFonts w:ascii="Consolas" w:hAnsi="Consolas"/>
          <w:b w:val="0"/>
          <w:i w:val="0"/>
          <w:sz w:val="20"/>
        </w:rPr>
        <w:t>AUDIT_REPORT.md:88-102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Harmonize Fleet Run Contracts</w:t>
      </w:r>
      <w:r>
        <w:rPr>
          <w:rFonts w:ascii="Arial" w:hAnsi="Arial"/>
          <w:b w:val="0"/>
          <w:i w:val="0"/>
          <w:sz w:val="22"/>
        </w:rPr>
        <w:t xml:space="preserve">: Align emitted JSON schemas with the centralized fleet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standard and restore </w:t>
      </w:r>
      <w:r>
        <w:rPr>
          <w:rFonts w:ascii="Consolas" w:hAnsi="Consolas"/>
          <w:b w:val="0"/>
          <w:i w:val="0"/>
          <w:sz w:val="20"/>
        </w:rPr>
        <w:t>scripts/emit_reference_run.sh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.github/workflows/backplane-conformance.yml:51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Adopt Canonical Entity Identifiers</w:t>
      </w:r>
      <w:r>
        <w:rPr>
          <w:rFonts w:ascii="Arial" w:hAnsi="Arial"/>
          <w:b w:val="0"/>
          <w:i w:val="0"/>
          <w:sz w:val="22"/>
        </w:rPr>
        <w:t xml:space="preserve">: Upgrade </w:t>
      </w:r>
      <w:r>
        <w:rPr>
          <w:rFonts w:ascii="Consolas" w:hAnsi="Consolas"/>
          <w:b w:val="0"/>
          <w:i w:val="0"/>
          <w:sz w:val="20"/>
        </w:rPr>
        <w:t>IdentityMap</w:t>
      </w:r>
      <w:r>
        <w:rPr>
          <w:rFonts w:ascii="Arial" w:hAnsi="Arial"/>
          <w:b w:val="0"/>
          <w:i w:val="0"/>
          <w:sz w:val="22"/>
        </w:rPr>
        <w:t xml:space="preserve"> from an optional utility into an enforced boundary transform on all ingested manager labels (</w:t>
      </w:r>
      <w:r>
        <w:rPr>
          <w:rFonts w:ascii="Consolas" w:hAnsi="Consolas"/>
          <w:b w:val="0"/>
          <w:i w:val="0"/>
          <w:sz w:val="20"/>
        </w:rPr>
        <w:t>src/trend_analysis/identity.py:77-82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Complete or Retire Headless API</w:t>
      </w:r>
      <w:r>
        <w:rPr>
          <w:rFonts w:ascii="Arial" w:hAnsi="Arial"/>
          <w:b w:val="0"/>
          <w:i w:val="0"/>
          <w:sz w:val="22"/>
        </w:rPr>
        <w:t xml:space="preserve">: Either wire pipeline execution endpoints into </w:t>
      </w:r>
      <w:r>
        <w:rPr>
          <w:rFonts w:ascii="Consolas" w:hAnsi="Consolas"/>
          <w:b w:val="0"/>
          <w:i w:val="0"/>
          <w:sz w:val="20"/>
        </w:rPr>
        <w:t>api_server</w:t>
      </w:r>
      <w:r>
        <w:rPr>
          <w:rFonts w:ascii="Arial" w:hAnsi="Arial"/>
          <w:b w:val="0"/>
          <w:i w:val="0"/>
          <w:sz w:val="22"/>
        </w:rPr>
        <w:t xml:space="preserve"> or remove the dead service scaffold (</w:t>
      </w:r>
      <w:r>
        <w:rPr>
          <w:rFonts w:ascii="Consolas" w:hAnsi="Consolas"/>
          <w:b w:val="0"/>
          <w:i w:val="0"/>
          <w:sz w:val="20"/>
        </w:rPr>
        <w:t>src/trend_analysis/api_server/__init__.py:140-189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Native Multi-Frequency Support</w:t>
      </w:r>
      <w:r>
        <w:rPr>
          <w:rFonts w:ascii="Arial" w:hAnsi="Arial"/>
          <w:b w:val="0"/>
          <w:i w:val="0"/>
          <w:sz w:val="22"/>
        </w:rPr>
        <w:t>: Refactor the preprocessing pipeline to support genuine daily and weekly frequency calculations without forced monthly downsampling (</w:t>
      </w:r>
      <w:r>
        <w:rPr>
          <w:rFonts w:ascii="Consolas" w:hAnsi="Consolas"/>
          <w:b w:val="0"/>
          <w:i w:val="0"/>
          <w:sz w:val="20"/>
        </w:rPr>
        <w:t>src/trend_analysis/stages/preprocessing.py:441-445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Implement or Retire Diversification Guard</w:t>
      </w:r>
      <w:r>
        <w:rPr>
          <w:rFonts w:ascii="Arial" w:hAnsi="Arial"/>
          <w:b w:val="0"/>
          <w:i w:val="0"/>
          <w:sz w:val="22"/>
        </w:rPr>
        <w:t xml:space="preserve">: Complete the scaffold in </w:t>
      </w:r>
      <w:r>
        <w:rPr>
          <w:rFonts w:ascii="Consolas" w:hAnsi="Consolas"/>
          <w:b w:val="0"/>
          <w:i w:val="0"/>
          <w:sz w:val="20"/>
        </w:rPr>
        <w:t>docs/diversification_guard_scaffold.md</w:t>
      </w:r>
      <w:r>
        <w:rPr>
          <w:rFonts w:ascii="Arial" w:hAnsi="Arial"/>
          <w:b w:val="0"/>
          <w:i w:val="0"/>
          <w:sz w:val="22"/>
        </w:rPr>
        <w:t xml:space="preserve"> or remove UI references until enforcement exists.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system evaluates external investment managers by analyzing historical monthly performance, ranking funds with combined performance metrics, and simulating how a portfolio of top managers would have performed over time.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All calculations run entirely on your local computer or directly inside a web browser, requiring no database installation, network connection, or cloud services.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platform produces investor-grade deliverables including multi-tab Excel workbooks with financial formatting, interactive visual dashboards, and audit-ready execution records.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Several advanced configuration options—such as daily analysis frequencies and certain legacy config key names—are currently simplified, rejected, or converted to standard monthly rules during simulation.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Before connecting this tool to other investment office software, fund names and data file formats should be standardized through a shared naming registry to ensure smooth data exchange.</w:t>
      </w:r>
    </w:p>
    <w:p>
      <w:r>
        <w:rPr>
          <w:rFonts w:ascii="Arial" w:hAnsi="Arial"/>
          <w:b w:val="0"/>
          <w:i/>
          <w:sz w:val="22"/>
        </w:rPr>
        <w:t>Evidence-checked against source repositories; verification metadata omitted from work bundle.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