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learning-management-system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This is a database-backed learning prototype for individual learners and, later, analyst training, company onboarding, and public education. It turns source material into a knowledge graph, prompts, learner attempts, feedback, and scheduled reviews rather than acting as a document repository (README.md:1-14; src/lms/main.py:104-129). Its operating constraint is an API-first FastAPI service with PostgreSQL, designed to keep personal and institutional data distinct through explicit scope fields and, for a firm, preferably separate databases (docs/product/project-plan.md:304-316; src/lms/settings.py:32-60). It tests a learning loop; it is not a validated analyst-training or office-wide governance platform.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src/lms/main.py:create_app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integrations, authors, administrators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working: mounts authenticated routers for sources, graph, prompts, evidence, feedback, cases, capability, scheduling, LLM, and inspection (src/lms/main.py:104-127).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src/lms/ui/api.py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src/lms/ui/*.py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learner, author, support/admin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 prototype: server-rendered </w:t>
            </w:r>
            <w:r>
              <w:rPr>
                <w:rFonts w:ascii="Consolas" w:hAnsi="Consolas"/>
                <w:b w:val="0"/>
                <w:i w:val="0"/>
                <w:sz w:val="20"/>
              </w:rPr>
              <w:t>/app/*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routes and static assets, not a separate SPA (docs/development/web-prototype.md:1-22; src/lms/main.py:118-129).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src/lms/__main__.py:main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maintainer/operator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working: research validation, source drift scan, Markdown/CSV import, typed JSONL export/import, auth and demo utilities are registered (src/lms/__main__.py:34-260).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PWA/static HTML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src/lms/ui/static/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docs/screenshots/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mobile prototype users and reviewers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manifest and worker are served, but the worker explicitly has no offline sync; snapshots are HTML structural artifacts (docs/development/web-prototype.md:24-34,44-73).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JSONL from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src/lms/export_import.py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backup/import and prospective sibling tools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for LMS records: exports ordered typed rows with conservative redaction defaults and validates/imports them (src/lms/export_import.py:97-118,281-349).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src/lms/             Application: FastAPI routers, SQLAlchemy models, services, UI, CLI.</w:t>
      </w:r>
      <w:r>
        <w:br/>
      </w:r>
      <w:r>
        <w:rPr>
          <w:rFonts w:ascii="Consolas" w:hAnsi="Consolas"/>
          <w:sz w:val="20"/>
        </w:rPr>
        <w:t xml:space="preserve">  graphs|sources|... Domain packages for authored knowledge, provenance, learning activity and policy.</w:t>
      </w:r>
      <w:r>
        <w:br/>
      </w:r>
      <w:r>
        <w:rPr>
          <w:rFonts w:ascii="Consolas" w:hAnsi="Consolas"/>
          <w:sz w:val="20"/>
        </w:rPr>
        <w:t>alembic/             Schema migrations.</w:t>
      </w:r>
      <w:r>
        <w:br/>
      </w:r>
      <w:r>
        <w:rPr>
          <w:rFonts w:ascii="Consolas" w:hAnsi="Consolas"/>
          <w:sz w:val="20"/>
        </w:rPr>
        <w:t>tests/               Unit, API, end-to-end demo, UI snapshot, and deployment-contract tests.</w:t>
      </w:r>
      <w:r>
        <w:br/>
      </w:r>
      <w:r>
        <w:rPr>
          <w:rFonts w:ascii="Consolas" w:hAnsi="Consolas"/>
          <w:sz w:val="20"/>
        </w:rPr>
        <w:t>docs/                Product decisions, contracts, deployment, research registry, and handoff records.</w:t>
      </w:r>
      <w:r>
        <w:br/>
      </w:r>
      <w:r>
        <w:rPr>
          <w:rFonts w:ascii="Consolas" w:hAnsi="Consolas"/>
          <w:sz w:val="20"/>
        </w:rPr>
        <w:t>scripts/             Operational validators and automation helpers.</w:t>
      </w:r>
      <w:r>
        <w:br/>
      </w:r>
      <w:r>
        <w:rPr>
          <w:rFonts w:ascii="Consolas" w:hAnsi="Consolas"/>
          <w:sz w:val="20"/>
        </w:rPr>
        <w:t>config/              Model, coverage, and source-of-truth configuration.</w:t>
      </w:r>
      <w:r>
        <w:br/>
      </w:r>
      <w:r>
        <w:rPr>
          <w:rFonts w:ascii="Consolas" w:hAnsi="Consolas"/>
          <w:sz w:val="20"/>
        </w:rPr>
        <w:t>.github/             Consumer automation, synced from a shared engineering-standards repository.</w:t>
      </w:r>
      <w:r>
        <w:br/>
      </w:r>
      <w:r>
        <w:rPr>
          <w:rFonts w:ascii="Consolas" w:hAnsi="Consolas"/>
          <w:sz w:val="20"/>
        </w:rPr>
        <w:t>design-system/       Shared design material; skipped as boilerplate here.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Knowledge graph authoring stores typed nodes and directed edges with status, source, provenance and scope. An edge means “source requires target”; normal cross-scope edges are forbidden (src/lms/graphs/models.py:53-112,115-190). This orientation is a contract importers must preserve.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Markdown intake parses H1/H2 sections, creates a source reference plus draft conceptual node for each, and turns nesting into draft prerequisite edges (</w:t>
      </w:r>
      <w:r>
        <w:rPr>
          <w:rFonts w:ascii="Consolas" w:hAnsi="Consolas"/>
          <w:b w:val="0"/>
          <w:i w:val="0"/>
          <w:sz w:val="20"/>
        </w:rPr>
        <w:t>import_markdown_notes</w:t>
      </w:r>
      <w:r>
        <w:rPr>
          <w:rFonts w:ascii="Arial" w:hAnsi="Arial"/>
          <w:b w:val="0"/>
          <w:i w:val="0"/>
          <w:sz w:val="22"/>
        </w:rPr>
        <w:t>, src/lms/importers/markdown.py:74-178). It is the most direct path from research notes to usable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CSV graph intake validates a fixed column contract, case-folded </w:t>
      </w:r>
      <w:r>
        <w:rPr>
          <w:rFonts w:ascii="Consolas" w:hAnsi="Consolas"/>
          <w:b w:val="0"/>
          <w:i w:val="0"/>
          <w:sz w:val="20"/>
        </w:rPr>
        <w:t>(scope, title)</w:t>
      </w:r>
      <w:r>
        <w:rPr>
          <w:rFonts w:ascii="Arial" w:hAnsi="Arial"/>
          <w:b w:val="0"/>
          <w:i w:val="0"/>
          <w:sz w:val="22"/>
        </w:rPr>
        <w:t xml:space="preserve"> uniqueness, known prerequisites, then emits nodes, source records, and edges (</w:t>
      </w:r>
      <w:r>
        <w:rPr>
          <w:rFonts w:ascii="Consolas" w:hAnsi="Consolas"/>
          <w:b w:val="0"/>
          <w:i w:val="0"/>
          <w:sz w:val="20"/>
        </w:rPr>
        <w:t>import_csv_graph</w:t>
      </w:r>
      <w:r>
        <w:rPr>
          <w:rFonts w:ascii="Arial" w:hAnsi="Arial"/>
          <w:b w:val="0"/>
          <w:i w:val="0"/>
          <w:sz w:val="22"/>
        </w:rPr>
        <w:t>, src/lms/importers/csv_graph.py:17-133,136-209). It is the spreadsheet-friendly authoring bridge.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Source provenance records a stable locator, passage range, SHA-256 content hash, visibility, and drift status; drift scans write audit events (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, src/lms/sources/models.py:17-79; </w:t>
      </w:r>
      <w:r>
        <w:rPr>
          <w:rFonts w:ascii="Consolas" w:hAnsi="Consolas"/>
          <w:b w:val="0"/>
          <w:i w:val="0"/>
          <w:sz w:val="20"/>
        </w:rPr>
        <w:t>scan_source_references</w:t>
      </w:r>
      <w:r>
        <w:rPr>
          <w:rFonts w:ascii="Arial" w:hAnsi="Arial"/>
          <w:b w:val="0"/>
          <w:i w:val="0"/>
          <w:sz w:val="22"/>
        </w:rPr>
        <w:t>, src/lms/sources/repository.py:217-367). This is the closest existing evidence object for a research workflow.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Attempts/evidence capture performance, confidence, support, scoring method and observed/inferred status; </w:t>
      </w:r>
      <w:r>
        <w:rPr>
          <w:rFonts w:ascii="Consolas" w:hAnsi="Consolas"/>
          <w:b w:val="0"/>
          <w:i w:val="0"/>
          <w:sz w:val="20"/>
        </w:rPr>
        <w:t>record_score</w:t>
      </w:r>
      <w:r>
        <w:rPr>
          <w:rFonts w:ascii="Arial" w:hAnsi="Arial"/>
          <w:b w:val="0"/>
          <w:i w:val="0"/>
          <w:sz w:val="22"/>
        </w:rPr>
        <w:t xml:space="preserve"> normalizes these to 0–1 (src/lms/evidence/models.py:28-32,40-151; src/lms/evidence/scoring.py:8-20). Downstream mastery, feedback and review depend on it.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Scheduling maps evidence to explainable Again/Hard/Good/Easy rules, then uses FSRS-6 state with hot/warm/cold retention policies (</w:t>
      </w:r>
      <w:r>
        <w:rPr>
          <w:rFonts w:ascii="Consolas" w:hAnsi="Consolas"/>
          <w:b w:val="0"/>
          <w:i w:val="0"/>
          <w:sz w:val="20"/>
        </w:rPr>
        <w:t>evidence_to_fsrs_rating</w:t>
      </w:r>
      <w:r>
        <w:rPr>
          <w:rFonts w:ascii="Arial" w:hAnsi="Arial"/>
          <w:b w:val="0"/>
          <w:i w:val="0"/>
          <w:sz w:val="22"/>
        </w:rPr>
        <w:t xml:space="preserve">, src/lms/scheduling/fsrs_adapter.py:135-222; </w:t>
      </w:r>
      <w:r>
        <w:rPr>
          <w:rFonts w:ascii="Consolas" w:hAnsi="Consolas"/>
          <w:b w:val="0"/>
          <w:i w:val="0"/>
          <w:sz w:val="20"/>
        </w:rPr>
        <w:t>review</w:t>
      </w:r>
      <w:r>
        <w:rPr>
          <w:rFonts w:ascii="Arial" w:hAnsi="Arial"/>
          <w:b w:val="0"/>
          <w:i w:val="0"/>
          <w:sz w:val="22"/>
        </w:rPr>
        <w:t>, src/lms/scheduling/fsrs_engine.py:37-114,166-209). It makes review timing inspectable rather than a hard-coded calendar.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Feedback, rubrics, hints, model answers and revision requests turn assessment into a next action; rubric scoring can create remediation metadata (src/lms/feedback/repository.py:239-253; src/lms/feedback/scoring.py:60-261). This is the core teaching workflow, not merely scoring.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Capability targets, estimates, gaps and maintenance plans model “what work can this learner do?” (src/lms/capability/models.py:52-319). They bridge to analyst-role learning but not job-performance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LLM wrapper centralizes provider choice, budget reservation, PII redaction, trace classification, structured outputs and citation constraints (</w:t>
      </w:r>
      <w:r>
        <w:rPr>
          <w:rFonts w:ascii="Consolas" w:hAnsi="Consolas"/>
          <w:b w:val="0"/>
          <w:i w:val="0"/>
          <w:sz w:val="20"/>
        </w:rPr>
        <w:t>LLMClient.complete</w:t>
      </w:r>
      <w:r>
        <w:rPr>
          <w:rFonts w:ascii="Arial" w:hAnsi="Arial"/>
          <w:b w:val="0"/>
          <w:i w:val="0"/>
          <w:sz w:val="22"/>
        </w:rPr>
        <w:t>, src/lms/llm/client.py:64-192). It is a strong integration seam; individual feature code should not call a model directly.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Typed JSONL export/import orders records and validates relationships before applying an import (src/lms/export_import.py:97-118,281-349,451-566). It is the current portable data interchange, not a fleet run envelope.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Every persisted entity uses a random UUID string primary key from </w:t>
      </w:r>
      <w:r>
        <w:rPr>
          <w:rFonts w:ascii="Consolas" w:hAnsi="Consolas"/>
          <w:b w:val="0"/>
          <w:i w:val="0"/>
          <w:sz w:val="20"/>
        </w:rPr>
        <w:t>new_uuid()</w:t>
      </w:r>
      <w:r>
        <w:rPr>
          <w:rFonts w:ascii="Arial" w:hAnsi="Arial"/>
          <w:b w:val="0"/>
          <w:i w:val="0"/>
          <w:sz w:val="22"/>
        </w:rPr>
        <w:t xml:space="preserve">; user email and username are unique, but knowledge nodes have no global stable ID beyond UUID/title/scope (src/lms/auth/models.py:18-20,28-47; src/lms/graphs/models.py:83-99). PostgreSQL is the runtime persistence target, accessed through SQLAlchemy and Alembic; driverless </w:t>
      </w:r>
      <w:r>
        <w:rPr>
          <w:rFonts w:ascii="Consolas" w:hAnsi="Consolas"/>
          <w:b w:val="0"/>
          <w:i w:val="0"/>
          <w:sz w:val="20"/>
        </w:rPr>
        <w:t>postgres://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postgresql://</w:t>
      </w:r>
      <w:r>
        <w:rPr>
          <w:rFonts w:ascii="Arial" w:hAnsi="Arial"/>
          <w:b w:val="0"/>
          <w:i w:val="0"/>
          <w:sz w:val="22"/>
        </w:rPr>
        <w:t xml:space="preserve"> URLs are rewritten to </w:t>
      </w:r>
      <w:r>
        <w:rPr>
          <w:rFonts w:ascii="Consolas" w:hAnsi="Consolas"/>
          <w:b w:val="0"/>
          <w:i w:val="0"/>
          <w:sz w:val="20"/>
        </w:rPr>
        <w:t>postgresql+psycopg://</w:t>
      </w:r>
      <w:r>
        <w:rPr>
          <w:rFonts w:ascii="Arial" w:hAnsi="Arial"/>
          <w:b w:val="0"/>
          <w:i w:val="0"/>
          <w:sz w:val="22"/>
        </w:rPr>
        <w:t xml:space="preserve"> in settings (src/lms/settings.py:41-61) and consumed by the engine factory (src/lms/db/session.py:16-24). Records generally keep created/updated timestamps but there is no graph-version, document-supersession, or canonical alias-resolution model. Source content changes are tracked only as hashes plus </w:t>
      </w:r>
      <w:r>
        <w:rPr>
          <w:rFonts w:ascii="Consolas" w:hAnsi="Consolas"/>
          <w:b w:val="0"/>
          <w:i w:val="0"/>
          <w:sz w:val="20"/>
        </w:rPr>
        <w:t>current/stale/missing</w:t>
      </w:r>
      <w:r>
        <w:rPr>
          <w:rFonts w:ascii="Arial" w:hAnsi="Arial"/>
          <w:b w:val="0"/>
          <w:i w:val="0"/>
          <w:sz w:val="22"/>
        </w:rPr>
        <w:t xml:space="preserve"> drift status (src/lms/sources/models.py:57-74).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contract/object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emitted or consumed?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finding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LMS typed JSONL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emitted and consumed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export_jsonl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</w:rPr>
              <w:t>import_jsonl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serialize and apply LMS table records (src/lms/export_import.py:281-349).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consumes; LMS runtime does not emit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validates schemas (lines 32-68,207-259); no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src/lms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reference to these names was found.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 for LMS data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the convention defines canonical </w:t>
            </w:r>
            <w:r>
              <w:rPr>
                <w:rFonts w:ascii="Consolas" w:hAnsi="Consolas"/>
                <w:b w:val="0"/>
                <w:i w:val="0"/>
                <w:sz w:val="20"/>
              </w:rPr>
              <w:t>type:id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formats (docs/contracts/identity-map-conventions.md:42-77), while LMS uses UUIDs and has no mapper.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capability bundle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docs/contracts/capability-bundle-v1.md:1-12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describes a Workflows artifact, not an LMS model or exporter.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are Markdown, CSV graphs, source locators/content, learner answers, and optionally Anthropic completions. Libraries: FastAPI/Pydantic, SQLAlchemy/Alembic/psycopg, Mistune, pandas, FSRS and Argon2 (pyproject.toml:13-55). The real provider is Anthropic; without a key the default is deterministic fake output (src/lms/llm/providers.py:1-7,101-142,307-328). LangSmith is configuration/documentation for optional trace export, not a concrete SDK integration. Docker Compose and Render describe a FastAPI + Postgres installation; this UI requires the server and database (docs/development/deployment.md:1-20; docker-compose.yml:1-52).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The tested core is credible prototype software: </w:t>
      </w:r>
      <w:r>
        <w:rPr>
          <w:rFonts w:ascii="Consolas" w:hAnsi="Consolas"/>
          <w:b w:val="0"/>
          <w:i w:val="0"/>
          <w:sz w:val="20"/>
        </w:rPr>
        <w:t>uv run pytest -q -m 'not slow'</w:t>
      </w:r>
      <w:r>
        <w:rPr>
          <w:rFonts w:ascii="Arial" w:hAnsi="Arial"/>
          <w:b w:val="0"/>
          <w:i w:val="0"/>
          <w:sz w:val="22"/>
        </w:rPr>
        <w:t xml:space="preserve"> passed 1,124 tests, skipped one deferred Playwright smoke, deselected eight slow tests, and reported 89.65% coverage. CI invokes lint, Black, mypy and pytest on Python 3.12/3.13 with an 80% threshold (Makefile:1-44; .github/workflows/ci.yml:1-32). Production use remains bounded by these gaps: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Mastery is explicitly a deterministic FSRS-4.5-inspired placeholder, computed on demand rather than a validated estimator (src/lms/mastery/policy.py:11-31; src/lms/mastery/service.py:16-74).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Browser accessibility/visual behavior is not tested in the required gate; Playwright is opt-in and skipped by default (docs/development/web-prototype.md:75-123).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PWA offline sync and meaningful caching are deferred (docs/development/web-prototype.md:24-34).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Runtime research registry APIs are deliberately deferred indefinitely; registry entities are YAML rather than database records (docs/product/research-domain-model.md:1-5).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Firm-grade row-level security, institutional role separation, and the preferred separate-database boundary are future posture, not implemented controls (docs/product/project-plan.md:304-316).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live Anthropic gate has an entirely unchecked verification list, so unit tests do not establish a live provider deployment (docs/llm/PROVIDER_LIVE_VERIFICATION.md:58-98).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Courses, modules, lessons and certification entities remain explicitly deferred (README.md:241).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product plan says cross-scope linkage requires an explicit </w:t>
      </w:r>
      <w:r>
        <w:rPr>
          <w:rFonts w:ascii="Consolas" w:hAnsi="Consolas"/>
          <w:b w:val="0"/>
          <w:i w:val="0"/>
          <w:sz w:val="20"/>
        </w:rPr>
        <w:t>GraphReference</w:t>
      </w:r>
      <w:r>
        <w:rPr>
          <w:rFonts w:ascii="Arial" w:hAnsi="Arial"/>
          <w:b w:val="0"/>
          <w:i w:val="0"/>
          <w:sz w:val="22"/>
        </w:rPr>
        <w:t xml:space="preserve"> row (docs/product/project-plan.md:304-315). The runtime model instead has only </w:t>
      </w:r>
      <w:r>
        <w:rPr>
          <w:rFonts w:ascii="Consolas" w:hAnsi="Consolas"/>
          <w:b w:val="0"/>
          <w:i w:val="0"/>
          <w:sz w:val="20"/>
        </w:rPr>
        <w:t>KnowledgeEdge.is_graph_reference</w:t>
      </w:r>
      <w:r>
        <w:rPr>
          <w:rFonts w:ascii="Arial" w:hAnsi="Arial"/>
          <w:b w:val="0"/>
          <w:i w:val="0"/>
          <w:sz w:val="22"/>
        </w:rPr>
        <w:t xml:space="preserve">; there is no </w:t>
      </w:r>
      <w:r>
        <w:rPr>
          <w:rFonts w:ascii="Consolas" w:hAnsi="Consolas"/>
          <w:b w:val="0"/>
          <w:i w:val="0"/>
          <w:sz w:val="20"/>
        </w:rPr>
        <w:t>GraphReference</w:t>
      </w:r>
      <w:r>
        <w:rPr>
          <w:rFonts w:ascii="Arial" w:hAnsi="Arial"/>
          <w:b w:val="0"/>
          <w:i w:val="0"/>
          <w:sz w:val="22"/>
        </w:rPr>
        <w:t xml:space="preserve"> class or table in </w:t>
      </w:r>
      <w:r>
        <w:rPr>
          <w:rFonts w:ascii="Consolas" w:hAnsi="Consolas"/>
          <w:b w:val="0"/>
          <w:i w:val="0"/>
          <w:sz w:val="20"/>
        </w:rPr>
        <w:t>src/lms</w:t>
      </w:r>
      <w:r>
        <w:rPr>
          <w:rFonts w:ascii="Arial" w:hAnsi="Arial"/>
          <w:b w:val="0"/>
          <w:i w:val="0"/>
          <w:sz w:val="22"/>
        </w:rPr>
        <w:t xml:space="preserve"> (src/lms/graphs/models.py:115-190). The document overstates the implemented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backplane workflow describes an emission/conformance gate (.github/workflows/backplane-conformance.yml:3-12), but its repo-specific emitter is intentionally unwired and prints “No emitter wired yet,” so it skips (lines 45-55). This repo does not currently produce fleet run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Deployment documentation labels a specific hosted service as current (docs/development/deployment.md:58-63). A source-only shallow clone cannot prove that service is live, authenticated, migrated, or using real LLM credentials; treat it as an operator note, not verified current state.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The useful offers are source-grounded learning facts: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carries locator, page/line range, content hash and visibility; nodes/edges carry scope and provenance; evidence, rubric, capability-gap and review records export through LMS JSONL (src/lms/sources/models.py:34-79; src/lms/graphs/models.py:53-190; src/lms/export_import.py:97-118). It can consume sibling document extracts as CSV graphs or Markdown notes.</w:t>
      </w:r>
    </w:p>
    <w:p>
      <w:r>
        <w:rPr>
          <w:rFonts w:ascii="Arial" w:hAnsi="Arial"/>
          <w:b w:val="0"/>
          <w:i w:val="0"/>
          <w:sz w:val="22"/>
        </w:rPr>
        <w:t xml:space="preserve">The hard interoperability risk is identity: siblings expect canonical </w:t>
      </w:r>
      <w:r>
        <w:rPr>
          <w:rFonts w:ascii="Consolas" w:hAnsi="Consolas"/>
          <w:b w:val="0"/>
          <w:i w:val="0"/>
          <w:sz w:val="20"/>
        </w:rPr>
        <w:t>entity_type:normalized_identity</w:t>
      </w:r>
      <w:r>
        <w:rPr>
          <w:rFonts w:ascii="Arial" w:hAnsi="Arial"/>
          <w:b w:val="0"/>
          <w:i w:val="0"/>
          <w:sz w:val="22"/>
        </w:rPr>
        <w:t xml:space="preserve"> references (docs/contracts/identity-map-conventions.md:42-61), whereas this app exposes UUIDs and free-text titles. Do not publish LMS UUIDs as manager/fund/person IDs. Add a canonical entity reference before joining investment-office entities.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provenance and fleet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overlap conceptually but are not schema-compatible (</w:t>
      </w:r>
      <w:r>
        <w:rPr>
          <w:rFonts w:ascii="Consolas" w:hAnsi="Consolas"/>
          <w:b w:val="0"/>
          <w:i w:val="0"/>
          <w:sz w:val="20"/>
        </w:rPr>
        <w:t>docs/contracts/schemas/evidence-object-v1.schema.json:8-15</w:t>
      </w:r>
      <w:r>
        <w:rPr>
          <w:rFonts w:ascii="Arial" w:hAnsi="Arial"/>
          <w:b w:val="0"/>
          <w:i w:val="0"/>
          <w:sz w:val="22"/>
        </w:rPr>
        <w:t xml:space="preserve"> requires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fact_ref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source_id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method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excerpt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stores locator, hash, and drift status only).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Provenance hash/drift scan: </w:t>
      </w:r>
      <w:r>
        <w:rPr>
          <w:rFonts w:ascii="Consolas" w:hAnsi="Consolas"/>
          <w:b w:val="0"/>
          <w:i w:val="0"/>
          <w:sz w:val="20"/>
        </w:rPr>
        <w:t>src/lms/sources/repository.py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Markdown-to-graph importer: </w:t>
      </w:r>
      <w:r>
        <w:rPr>
          <w:rFonts w:ascii="Consolas" w:hAnsi="Consolas"/>
          <w:b w:val="0"/>
          <w:i w:val="0"/>
          <w:sz w:val="20"/>
        </w:rPr>
        <w:t>src/lms/importers/markdown.py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CSV graph validator/importer: </w:t>
      </w:r>
      <w:r>
        <w:rPr>
          <w:rFonts w:ascii="Consolas" w:hAnsi="Consolas"/>
          <w:b w:val="0"/>
          <w:i w:val="0"/>
          <w:sz w:val="20"/>
        </w:rPr>
        <w:t>src/lms/importers/csv_graph.py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Redaction/budget/provider wrapper: </w:t>
      </w:r>
      <w:r>
        <w:rPr>
          <w:rFonts w:ascii="Consolas" w:hAnsi="Consolas"/>
          <w:b w:val="0"/>
          <w:i w:val="0"/>
          <w:sz w:val="20"/>
        </w:rPr>
        <w:t>src/lms/llm/client.py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redaction.py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Retention-tier FSRS adapter: </w:t>
      </w:r>
      <w:r>
        <w:rPr>
          <w:rFonts w:ascii="Consolas" w:hAnsi="Consolas"/>
          <w:b w:val="0"/>
          <w:i w:val="0"/>
          <w:sz w:val="20"/>
        </w:rPr>
        <w:t>src/lms/scheduling/fsrs_engine.py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fsrs_adapter.py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Dependency-aware JSONL export/import: </w:t>
      </w:r>
      <w:r>
        <w:rPr>
          <w:rFonts w:ascii="Consolas" w:hAnsi="Consolas"/>
          <w:b w:val="0"/>
          <w:i w:val="0"/>
          <w:sz w:val="20"/>
        </w:rPr>
        <w:t>src/lms/export_import.py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replace the mastery placeholder only after collecting and evaluating evidence, keeping its estimator version visible (src/lms/mastery/policy.py:11-31).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decide whether to activate real-browser accessibility testing; the present gate cannot assess it (docs/development/web-prototype.md:59-60,75-108).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wire a deterministic reference emitter if this repo is to participate in the fleet backplane (.github/workflows/backplane-conformance.yml:45-55).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Finish scaffolded work: complete and record the live-provider gate before treating study-coach output as a production capability (docs/llm/PROVIDER_LIVE_VERIFICATION.md:58-98).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New capability: introduce a canonical external-entity field and identity resolver adapter; keep UUIDs as local keys and emit fleet IDs only after resolution (docs/contracts/identity-map-conventions.md:94-130).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New capability: define a genuine evidence-object adapter from </w:t>
      </w:r>
      <w:r>
        <w:rPr>
          <w:rFonts w:ascii="Consolas" w:hAnsi="Consolas"/>
          <w:b w:val="0"/>
          <w:i w:val="0"/>
          <w:sz w:val="20"/>
        </w:rPr>
        <w:t>SourceReference</w:t>
      </w:r>
      <w:r>
        <w:rPr>
          <w:rFonts w:ascii="Arial" w:hAnsi="Arial"/>
          <w:b w:val="0"/>
          <w:i w:val="0"/>
          <w:sz w:val="22"/>
        </w:rPr>
        <w:t xml:space="preserve"> plus an attributed fact, rather than relabeling LMS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New capability: implement firm deployment authorization and RLS only together with the planned database separation, not as superficial UI roles (docs/product/project-plan.md:304-316).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turns sources into practice and review; it is not a finished corporate LMS.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can support analyst-training design, not prove analyst competence or investment performance.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Its strength is traceability from source passage to learner response.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needs a server and PostgreSQL; it is not an offline desktop tool.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Before integration, agree on shared entity identifiers and data-boundary rules.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