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Адаптивный метод формирования кадра OTFS системы</w:t>
        <w:br/>
        <w:t>с оценкой канала FRFT-SIC для V2X-связи</w:t>
      </w:r>
    </w:p>
    <w:p>
      <w:pPr>
        <w:spacing w:after="80"/>
        <w:jc w:val="center"/>
      </w:pPr>
      <w:r>
        <w:rPr>
          <w:rFonts w:ascii="Times New Roman" w:hAnsi="Times New Roman"/>
          <w:sz w:val="24"/>
        </w:rPr>
        <w:t>АСПА — Проект OTFS FRFT-SIC Channel Estimation</w:t>
      </w:r>
    </w:p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Аннотация</w:t>
      </w:r>
    </w:p>
    <w:p>
      <w:pPr>
        <w:spacing w:after="240" w:before="0"/>
      </w:pPr>
      <w:r>
        <w:rPr>
          <w:rFonts w:ascii="Times New Roman" w:hAnsi="Times New Roman"/>
          <w:b w:val="0"/>
          <w:i/>
          <w:sz w:val="24"/>
        </w:rPr>
        <w:t>Предложен адаптивный метод формирования кадра OTFS (Orthogonal Time Frequency Space) системы, в котором размеры guard-зон вокруг встроенного пилота рассчитываются аналитически на основе реального delay spread, извлечённого из каналов QuaDRiGa (3GPP 38.901), и максимального Doppler сдвига, определяемого скоростью транспортного средства. В отличие от существующих подходов, использующих фиксированные guard-зоны, выбранные эмпирически, предложенный метод обеспечивает прирост спектральной эффективности на 8,9–20,6 % при сохранении качества оценки канала. Оценка канала выполняется алгоритмом FRFT-SIC (Fractional Fourier Transform + Successive Interference Cancellation) с многопроходной уточняющей обработкой. Валидация проведена на трёх сценариях 3GPP 38.901 (UMi/UMa/RMa NLOS) при несущей частоте 5,9 ГГц. Результаты BER достигают 10⁻⁴ при SNR = 24 дБ, что подтверждает применимость метода для V2X-систем.</w:t>
      </w:r>
    </w:p>
    <w:p>
      <w:pPr>
        <w:spacing w:after="320"/>
      </w:pPr>
      <w:r>
        <w:rPr>
          <w:rFonts w:ascii="Times New Roman" w:hAnsi="Times New Roman"/>
          <w:b/>
          <w:sz w:val="24"/>
        </w:rPr>
        <w:t xml:space="preserve">Ключевые слова: </w:t>
      </w:r>
      <w:r>
        <w:rPr>
          <w:rFonts w:ascii="Times New Roman" w:hAnsi="Times New Roman"/>
          <w:sz w:val="24"/>
        </w:rPr>
        <w:t>OTFS, Delay-Doppler, адаптивная guard-зона, FRFT-SIC, QuaDRiGa, 3GPP 38.901, V2X, оценка канала, спектральная эффективность.</w:t>
      </w:r>
    </w:p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I. ВВЕДЕНИЕ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Системы связи V2X (Vehicle-to-Everything) работают в условиях высокой мобильности, когда канал быстро меняется из-за эффекта Доплера. Стандарт DSRC использует полосу 5,9 ГГц и обеспечивает связь на скоростях до 200 км/ч. Традиционные OFDM-системы чувствительны к высокому Doppler — межсимвольная интерференция (ISI) и межподнесущая интерференция (ICI) существенно ухудшают качество связи.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OTFS (Orthogonal Time Frequency Space) модуляция, предложенная Hadani et al. [1], решает эту проблему путём переноса символов в область задержки-Доплера (Delay-Doppler, DD). В DD-области канал практически статичен даже при высоких скоростях, что упрощает оценку и компенсацию искажений.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Ключевая проблема OTFS — оценка канала. При прямоугольном импульсе (bi-orthogonal pulse shaping) отклик канала в DD-области описывается двумерным ядром Дирихле. Когда параметры пути (задержка, Doppler) не попадают точно на узлы сетки (fractional delay/Doppler), энергия «размазывается» по нескольким бинам, а боковые лепестки создают интерференцию. Для изоляции пилота от данных вокруг него создаётся guard-зона — область нулевых символов.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Существующие работы используют фиксированную guard-зону, выбранную эмпирически [2]. Это приводит к двум проблемам: (1) при низкой скорости guard-зона избыточна — теряется спектральная эффективность; (2) при высокой скорости может быть недостаточна — растёт интерференция. Некоторые авторы упомянули возможность адаптации [3, 4], но аналитической формулы для наземных V2X-сценариев не предложено.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В данной работе предложен адаптивный метод формирования кадра OTFS, в котором:</w:t>
      </w:r>
    </w:p>
    <w:p>
      <w:pPr>
        <w:spacing w:after="60" w:before="0"/>
      </w:pPr>
      <w:r>
        <w:rPr>
          <w:rFonts w:ascii="Times New Roman" w:hAnsi="Times New Roman"/>
          <w:b w:val="0"/>
          <w:i w:val="0"/>
          <w:sz w:val="24"/>
        </w:rPr>
        <w:t>1) Guard-зона рассчитывается аналитически из реального delay spread (QuaDRiGa) и Doppler spread (скорость), а не выбирается эмпирически.</w:t>
      </w:r>
    </w:p>
    <w:p>
      <w:pPr>
        <w:spacing w:after="60" w:before="0"/>
      </w:pPr>
      <w:r>
        <w:rPr>
          <w:rFonts w:ascii="Times New Roman" w:hAnsi="Times New Roman"/>
          <w:b w:val="0"/>
          <w:i w:val="0"/>
          <w:sz w:val="24"/>
        </w:rPr>
        <w:t>2) Оценка канала выполняется алгоритмом FRFT-SIC с многопроходной обработкой, обеспечивающим точность до 10⁻⁴ BER.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4"/>
        </w:rPr>
        <w:t>3) Валидация проведена на трёх сценариях 3GPP 38.901 при 5,9 ГГц — стандартной частоте V2X (DSRC band).</w:t>
      </w:r>
    </w:p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II. СИСТЕМНАЯ МОДЕЛЬ</w:t>
      </w:r>
    </w:p>
    <w:p>
      <w:pPr>
        <w:pStyle w:val="Heading2"/>
        <w:spacing w:before="160" w:after="120"/>
      </w:pPr>
      <w:r>
        <w:rPr>
          <w:rFonts w:ascii="Times New Roman" w:hAnsi="Times New Roman"/>
          <w:color w:val="000000"/>
        </w:rPr>
        <w:t>A. OTFS модуляция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OTFS модулирует символы в DD-области. Пусть X[k, l] — символ на индексе Doppler k (0 ≤ k &lt; N) и задержки l (0 ≤ l &lt; M). Параметры системы приведены в таблице 1.</w:t>
      </w:r>
    </w:p>
    <w:p>
      <w:pPr>
        <w:spacing w:after="240" w:before="0"/>
        <w:jc w:val="center"/>
      </w:pPr>
      <w:r>
        <w:rPr>
          <w:rFonts w:ascii="Times New Roman" w:hAnsi="Times New Roman"/>
          <w:b/>
          <w:i/>
          <w:sz w:val="24"/>
        </w:rPr>
        <w:t>Таблица 1 — Параметры OTFS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323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  <w:tc>
          <w:tcPr>
            <w:tcW w:type="dxa" w:w="323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M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64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Поднесущие (размер по задержке)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32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DD-символы (размер по Doppler)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Δf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150 кГц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Межподнесущий интервал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 = 1/Δf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6,67 мкс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Длительность поднесущего символа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T_otfs = N·T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213,3 мкс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Длительность OTFS кадра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 = M·Δf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9,6 МГц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Полоса пропускания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fc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5,9 ГГц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Несущая частота (DSRC)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Модуляция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QPSK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 бита на символ</w:t>
            </w:r>
          </w:p>
        </w:tc>
      </w:tr>
    </w:tbl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Разрешающая способность DD-сетки определяется как:</w:t>
      </w:r>
    </w:p>
    <w:p>
      <w:pPr>
        <w:spacing w:after="120" w:before="80"/>
        <w:jc w:val="center"/>
      </w:pPr>
      <w:r>
        <w:rPr>
          <w:rFonts w:ascii="Times New Roman" w:hAnsi="Times New Roman"/>
          <w:i/>
          <w:sz w:val="24"/>
        </w:rPr>
        <w:t>Δτ = 1/(M·Δf) = 1/(64·150·10³) ≈ 104 нс</w:t>
      </w:r>
      <w:r>
        <w:rPr>
          <w:rFonts w:ascii="Times New Roman" w:hAnsi="Times New Roman"/>
          <w:sz w:val="24"/>
        </w:rPr>
        <w:tab/>
        <w:t>(1)</w:t>
      </w:r>
    </w:p>
    <w:p>
      <w:pPr>
        <w:spacing w:after="120" w:before="80"/>
        <w:jc w:val="center"/>
      </w:pPr>
      <w:r>
        <w:rPr>
          <w:rFonts w:ascii="Times New Roman" w:hAnsi="Times New Roman"/>
          <w:i/>
          <w:sz w:val="24"/>
        </w:rPr>
        <w:t>Δν = 1/(N·T) = 1/(32·6,67·10⁻⁶) ≈ 4,69 кГц</w:t>
      </w:r>
      <w:r>
        <w:rPr>
          <w:rFonts w:ascii="Times New Roman" w:hAnsi="Times New Roman"/>
          <w:sz w:val="24"/>
        </w:rPr>
        <w:tab/>
        <w:t>(2)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При скорости v = 80 м/с (≈ 288 км/ч) на fc = 5,9 ГГц Doppler сдвиг:</w:t>
      </w:r>
    </w:p>
    <w:p>
      <w:pPr>
        <w:spacing w:after="120" w:before="80"/>
        <w:jc w:val="center"/>
      </w:pPr>
      <w:r>
        <w:rPr>
          <w:rFonts w:ascii="Times New Roman" w:hAnsi="Times New Roman"/>
          <w:i/>
          <w:sz w:val="24"/>
        </w:rPr>
        <w:t>f_D = fc·v/c = 5,9·10⁹·80/3·10⁸ ≈ 1573 Гц</w:t>
      </w:r>
      <w:r>
        <w:rPr>
          <w:rFonts w:ascii="Times New Roman" w:hAnsi="Times New Roman"/>
          <w:sz w:val="24"/>
        </w:rPr>
        <w:tab/>
        <w:t>(3)</w:t>
      </w:r>
    </w:p>
    <w:p>
      <w:pPr>
        <w:spacing w:after="120" w:before="80"/>
        <w:jc w:val="center"/>
      </w:pPr>
      <w:r>
        <w:rPr>
          <w:rFonts w:ascii="Times New Roman" w:hAnsi="Times New Roman"/>
          <w:i/>
          <w:sz w:val="24"/>
        </w:rPr>
        <w:t>ν̃ = f_D/Δν ≈ 1573/4687,5 ≈ 0,335 бинов</w:t>
      </w:r>
      <w:r>
        <w:rPr>
          <w:rFonts w:ascii="Times New Roman" w:hAnsi="Times New Roman"/>
          <w:sz w:val="24"/>
        </w:rPr>
        <w:tab/>
        <w:t>(4)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При Δf = 15 кГц (мотивирующий пример для высокоскоростного сценария) ν̃ ≈ 1,66 бинов — дробный Doppler, символы «размазываются» по нескольким бинам DD-сетки.</w:t>
      </w:r>
    </w:p>
    <w:p>
      <w:pPr>
        <w:pStyle w:val="Heading2"/>
        <w:spacing w:before="160" w:after="120"/>
      </w:pPr>
      <w:r>
        <w:rPr>
          <w:rFonts w:ascii="Times New Roman" w:hAnsi="Times New Roman"/>
          <w:color w:val="000000"/>
        </w:rPr>
        <w:t>B. Структура DD-кадра со встроенным пилотом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Пилот размещается в центре DD-сетки: (k_p, l_p) = (N/2, M/2) = (16, 32). Амплитуда пилота x_p = √100 = 10, что значительно превышает амплитуду данных (QPSK = 1). Вокруг пилота создаётся guard-зона из нулевых символов для предотвращения интерференции от дробного Doppler и многолучевости.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Число символов данных при фиксированной guard-зоне (L_g_delay = 14, L_g_dopp = 10):</w:t>
      </w:r>
    </w:p>
    <w:p>
      <w:pPr>
        <w:spacing w:after="120" w:before="80"/>
        <w:jc w:val="center"/>
      </w:pPr>
      <w:r>
        <w:rPr>
          <w:rFonts w:ascii="Times New Roman" w:hAnsi="Times New Roman"/>
          <w:i/>
          <w:sz w:val="24"/>
        </w:rPr>
        <w:t>N_total = M·N = 64·32 = 2048</w:t>
      </w:r>
      <w:r>
        <w:rPr>
          <w:rFonts w:ascii="Times New Roman" w:hAnsi="Times New Roman"/>
          <w:sz w:val="24"/>
        </w:rPr>
        <w:tab/>
        <w:t>(5)</w:t>
      </w:r>
    </w:p>
    <w:p>
      <w:pPr>
        <w:spacing w:after="120" w:before="80"/>
        <w:jc w:val="center"/>
      </w:pPr>
      <w:r>
        <w:rPr>
          <w:rFonts w:ascii="Times New Roman" w:hAnsi="Times New Roman"/>
          <w:i/>
          <w:sz w:val="24"/>
        </w:rPr>
        <w:t>N_guard = (2·L_g_delay + 1)·(2·L_g_dopp + 1) − 1 = 29·21 − 1 = 608</w:t>
      </w:r>
      <w:r>
        <w:rPr>
          <w:rFonts w:ascii="Times New Roman" w:hAnsi="Times New Roman"/>
          <w:sz w:val="24"/>
        </w:rPr>
        <w:tab/>
        <w:t>(6)</w:t>
      </w:r>
    </w:p>
    <w:p>
      <w:pPr>
        <w:spacing w:after="120" w:before="80"/>
        <w:jc w:val="center"/>
      </w:pPr>
      <w:r>
        <w:rPr>
          <w:rFonts w:ascii="Times New Roman" w:hAnsi="Times New Roman"/>
          <w:i/>
          <w:sz w:val="24"/>
        </w:rPr>
        <w:t>N_data = N_total − N_guard − 1 = 2048 − 608 − 1 = 1439</w:t>
      </w:r>
      <w:r>
        <w:rPr>
          <w:rFonts w:ascii="Times New Roman" w:hAnsi="Times New Roman"/>
          <w:sz w:val="24"/>
        </w:rPr>
        <w:tab/>
        <w:t>(7)</w:t>
      </w:r>
    </w:p>
    <w:p>
      <w:pPr>
        <w:spacing w:after="120" w:before="80"/>
        <w:jc w:val="center"/>
      </w:pPr>
      <w:r>
        <w:rPr>
          <w:rFonts w:ascii="Times New Roman" w:hAnsi="Times New Roman"/>
          <w:i/>
          <w:sz w:val="24"/>
        </w:rPr>
        <w:t>η_fixed = N_data/N_total = 1439/2048 = 70,3 %</w:t>
      </w:r>
      <w:r>
        <w:rPr>
          <w:rFonts w:ascii="Times New Roman" w:hAnsi="Times New Roman"/>
          <w:sz w:val="24"/>
        </w:rPr>
        <w:tab/>
        <w:t>(8)</w:t>
      </w:r>
    </w:p>
    <w:p>
      <w:pPr>
        <w:pStyle w:val="Heading2"/>
        <w:spacing w:before="160" w:after="120"/>
      </w:pPr>
      <w:r>
        <w:rPr>
          <w:rFonts w:ascii="Times New Roman" w:hAnsi="Times New Roman"/>
          <w:color w:val="000000"/>
        </w:rPr>
        <w:t>C. Многолучевой канал 3GPP 38.901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Канал моделируется через QuaDRiGa v2.8.1 — генератор каналов, соответствующий 3GPP 38.901. Рассматриваются три сценария NLOS (Non-Line-of-Sight):</w:t>
      </w:r>
    </w:p>
    <w:p>
      <w:pPr>
        <w:spacing w:after="240" w:before="0"/>
        <w:jc w:val="center"/>
      </w:pPr>
      <w:r>
        <w:rPr>
          <w:rFonts w:ascii="Times New Roman" w:hAnsi="Times New Roman"/>
          <w:b/>
          <w:i/>
          <w:sz w:val="24"/>
        </w:rPr>
        <w:t>Таблица 2 — Сценарии канала 3GPP 38.901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Сценарий</w:t>
            </w:r>
          </w:p>
        </w:tc>
        <w:tc>
          <w:tcPr>
            <w:tcW w:type="dxa" w:w="193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Высота BS</w:t>
            </w:r>
          </w:p>
        </w:tc>
        <w:tc>
          <w:tcPr>
            <w:tcW w:type="dxa" w:w="193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Высота UE</w:t>
            </w:r>
          </w:p>
        </w:tc>
        <w:tc>
          <w:tcPr>
            <w:tcW w:type="dxa" w:w="193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Median τ_90%</w:t>
            </w:r>
          </w:p>
        </w:tc>
        <w:tc>
          <w:tcPr>
            <w:tcW w:type="dxa" w:w="193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P90 τ_90%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UMi NLOS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 м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1,5 м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0,20 мкс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0,82 мкс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UMa NLOS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 м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1,5 м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0,81 мкс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2,73 мкс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RMa NLOS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 м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1,5 м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0,08 мкс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0,40 мкс</w:t>
            </w:r>
          </w:p>
        </w:tc>
      </w:tr>
    </w:tbl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Значения τ_90% извлечены из реальных каналов QuaDRiGa (median по 100 RX), а не взяты из табличных worst-case значений. Это ключевое отличие — median delay spread значительно меньше worst-case, что позволяет уменьшить guard-зону без потери качества.</w:t>
      </w:r>
    </w:p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III. ПРЕДЛОЖЕННЫЙ МЕТОД</w:t>
      </w:r>
    </w:p>
    <w:p>
      <w:pPr>
        <w:pStyle w:val="Heading2"/>
        <w:spacing w:before="160" w:after="120"/>
      </w:pPr>
      <w:r>
        <w:rPr>
          <w:rFonts w:ascii="Times New Roman" w:hAnsi="Times New Roman"/>
          <w:color w:val="000000"/>
        </w:rPr>
        <w:t>A. Аналитический расчёт adaptive guard-зоны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Отклик канала от одного пути с параметрами (h, τ̃, ν̃) в DD-области описывается двумерным ядром Дирихле:</w:t>
      </w:r>
    </w:p>
    <w:p>
      <w:pPr>
        <w:spacing w:after="120" w:before="80"/>
        <w:jc w:val="center"/>
      </w:pPr>
      <w:r>
        <w:rPr>
          <w:rFonts w:ascii="Times New Roman" w:hAnsi="Times New Roman"/>
          <w:i/>
          <w:sz w:val="24"/>
        </w:rPr>
        <w:t>H_dd(k, l) = h·K_N(k − ν̃)·K_M(l − τ̃)·e^(jφ)</w:t>
      </w:r>
      <w:r>
        <w:rPr>
          <w:rFonts w:ascii="Times New Roman" w:hAnsi="Times New Roman"/>
          <w:sz w:val="24"/>
        </w:rPr>
        <w:tab/>
        <w:t>(9)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где K_N(x) = (1/N)·sin(πx)/sin(πx/N) — ядро Дирихле. Для больших N (N ≥ 32) справедлива sinc-аппроксимация: K_N(x) ≈ sinc(x) = sin(πx)/(πx).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Уровень бокового лепестка на расстоянии d бинов от пика при worst-case fractional offset (0,5 бина):</w:t>
      </w:r>
    </w:p>
    <w:p>
      <w:pPr>
        <w:spacing w:after="120" w:before="80"/>
        <w:jc w:val="center"/>
      </w:pPr>
      <w:r>
        <w:rPr>
          <w:rFonts w:ascii="Times New Roman" w:hAnsi="Times New Roman"/>
          <w:i/>
          <w:sz w:val="24"/>
        </w:rPr>
        <w:t>|sinc(d − 0,5)| = 1/(π|d − 0,5|)</w:t>
      </w:r>
      <w:r>
        <w:rPr>
          <w:rFonts w:ascii="Times New Roman" w:hAnsi="Times New Roman"/>
          <w:sz w:val="24"/>
        </w:rPr>
        <w:tab/>
        <w:t>(10)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Интерференция от пилота (мощность P_pilot = 100, амплитуда 10) в bin данных:</w:t>
      </w:r>
    </w:p>
    <w:p>
      <w:pPr>
        <w:spacing w:after="120" w:before="80"/>
        <w:jc w:val="center"/>
      </w:pPr>
      <w:r>
        <w:rPr>
          <w:rFonts w:ascii="Times New Roman" w:hAnsi="Times New Roman"/>
          <w:i/>
          <w:sz w:val="24"/>
        </w:rPr>
        <w:t>I_pilot(d) = √P_pilot/(π|d − 0,5|) = 10/(π|d − 0,5|)</w:t>
      </w:r>
      <w:r>
        <w:rPr>
          <w:rFonts w:ascii="Times New Roman" w:hAnsi="Times New Roman"/>
          <w:sz w:val="24"/>
        </w:rPr>
        <w:tab/>
        <w:t>(11)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Предложенная формула adaptive guard-зоны: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4"/>
        </w:rPr>
        <w:t>Doppler guard:</w:t>
      </w:r>
    </w:p>
    <w:p>
      <w:pPr>
        <w:spacing w:after="120" w:before="80"/>
        <w:jc w:val="center"/>
      </w:pPr>
      <w:r>
        <w:rPr>
          <w:rFonts w:ascii="Times New Roman" w:hAnsi="Times New Roman"/>
          <w:i/>
          <w:sz w:val="24"/>
        </w:rPr>
        <w:t>L_g_dopp(v, SNR) = ceil(ν̃_spread(v)) + N_sidelobe(SNR)</w:t>
      </w:r>
      <w:r>
        <w:rPr>
          <w:rFonts w:ascii="Times New Roman" w:hAnsi="Times New Roman"/>
          <w:sz w:val="24"/>
        </w:rPr>
        <w:tab/>
        <w:t>(12)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где ν̃_spread(v) = 2·fc·v/(c·Δν) — полный Doppler spread (±f_D).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4"/>
        </w:rPr>
        <w:t>Delay guard:</w:t>
      </w:r>
    </w:p>
    <w:p>
      <w:pPr>
        <w:spacing w:after="120" w:before="80"/>
        <w:jc w:val="center"/>
      </w:pPr>
      <w:r>
        <w:rPr>
          <w:rFonts w:ascii="Times New Roman" w:hAnsi="Times New Roman"/>
          <w:i/>
          <w:sz w:val="24"/>
        </w:rPr>
        <w:t>L_g_delay(scenario) = ceil(τ̃_90%/Δτ) + M_sidelobe</w:t>
      </w:r>
      <w:r>
        <w:rPr>
          <w:rFonts w:ascii="Times New Roman" w:hAnsi="Times New Roman"/>
          <w:sz w:val="24"/>
        </w:rPr>
        <w:tab/>
        <w:t>(13)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где τ̃_90% = τ_90%/Δτ — 90 % энергии канала в бинах задержки.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Параметры sidelobe margin: N_sidelobe = 7 (для SNR = 18 дБ), M_sidelobe = 4. Значения выбраны из условия, что интерференция от пилота на границе guard-зоны не превышает уровень данных.</w:t>
      </w:r>
    </w:p>
    <w:p>
      <w:pPr>
        <w:spacing w:after="240" w:before="0"/>
        <w:jc w:val="center"/>
      </w:pPr>
      <w:r>
        <w:rPr>
          <w:rFonts w:ascii="Times New Roman" w:hAnsi="Times New Roman"/>
          <w:b/>
          <w:i/>
          <w:sz w:val="24"/>
        </w:rPr>
        <w:t>Таблица 3 — Результаты adaptive guard-зоны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Сценарий</w:t>
            </w:r>
          </w:p>
        </w:tc>
        <w:tc>
          <w:tcPr>
            <w:tcW w:type="dxa" w:w="1384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L_g_dopp</w:t>
            </w:r>
          </w:p>
        </w:tc>
        <w:tc>
          <w:tcPr>
            <w:tcW w:type="dxa" w:w="1384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L_g_delay</w:t>
            </w:r>
          </w:p>
        </w:tc>
        <w:tc>
          <w:tcPr>
            <w:tcW w:type="dxa" w:w="1384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Guard bins</w:t>
            </w:r>
          </w:p>
        </w:tc>
        <w:tc>
          <w:tcPr>
            <w:tcW w:type="dxa" w:w="1384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Data bins</w:t>
            </w:r>
          </w:p>
        </w:tc>
        <w:tc>
          <w:tcPr>
            <w:tcW w:type="dxa" w:w="1384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η, %</w:t>
            </w:r>
          </w:p>
        </w:tc>
        <w:tc>
          <w:tcPr>
            <w:tcW w:type="dxa" w:w="1384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Δη</w:t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UMi NLOS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492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1555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75,9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+18,9 %</w:t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UMa NLOS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531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1516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74,0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+8,9 %</w:t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RMa NLOS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276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1771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86,5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+20,6 %</w:t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Fixed (all)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608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1439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70,3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Ключевой результат: adaptive guard-зона обеспечивает прирост спектральной эффективности на 8,9–20,6 % по сравнению с фиксированной guard-зоной Raviteja et al. [2]. Наибольший выигрыш достигается в RMa NLOS, где delay spread минимален (0,08 мкс).</w:t>
      </w:r>
    </w:p>
    <w:p>
      <w:pPr>
        <w:pStyle w:val="Heading2"/>
        <w:spacing w:before="160" w:after="120"/>
      </w:pPr>
      <w:r>
        <w:rPr>
          <w:rFonts w:ascii="Times New Roman" w:hAnsi="Times New Roman"/>
          <w:color w:val="000000"/>
        </w:rPr>
        <w:t>B. Оценка канала FRFT-SIC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Оценка канала выполняется алгоритмом FRFT-SIC (Fractional Fourier Transform + Successive Interference Cancellation) с многопроходной уточняющей обработкой. Алгоритм состоит из четырёх этапов: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4"/>
        </w:rPr>
        <w:t>Этап 1 — Начальная оценка (Initial SIC):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Жадный поиск пиков в DD-отклике канала H_dd. Для каждого пика выполняется двумерная FRFT-корреляция на сетке 91×91 с последующей параболической интерполяцией. Усиление пути оценивается методом наименьших квадратов (LS). Процесс повторяется до 6 раз с вычитанием оценённого пути из остаточного сигнала.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4"/>
        </w:rPr>
        <w:t>Этап 2 — Совместная LS-переоценка: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Все найденные пути переоцениваются одновременно через решение системы A·h = y, где A — матрица опорных векторов, h — вектор усилений. Это устраняет смещение, возникающее при жадном извлечении.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4"/>
        </w:rPr>
        <w:t>Этап 3 — Отсев слабых путей (Pruning):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Пути с |h| &lt; 8 % от максимального удаляются. Повторная совместная LS-оценка на оставшихся путях.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4"/>
        </w:rPr>
        <w:t>Этап 4 — Многопроходная уточняющая обработка: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Выполняется 6 проходов. На каждом проходе для каждого пути: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4"/>
        </w:rPr>
        <w:t>— строится остаточный сигнал «leave-one-out»;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4"/>
        </w:rPr>
        <w:t>— выполняется узкий FRFT-поиск (31×31) с адаптивным радиусом;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4"/>
        </w:rPr>
        <w:t>— параболическая интерполяция;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4"/>
        </w:rPr>
        <w:t>— совместная LS-переоценка;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— финальный отсев.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Расписание радиуса поиска: [0,40; 0,40; 0,20; 0,20; 0,10; 0,10] бинов. Уменьшение радиуса обеспечивает сходимость к точным параметрам.</w:t>
      </w:r>
    </w:p>
    <w:p>
      <w:pPr>
        <w:pStyle w:val="Heading2"/>
        <w:spacing w:before="160" w:after="120"/>
      </w:pPr>
      <w:r>
        <w:rPr>
          <w:rFonts w:ascii="Times New Roman" w:hAnsi="Times New Roman"/>
          <w:color w:val="000000"/>
        </w:rPr>
        <w:t>C. LMMSE эквалайзер с truncated-SVD floor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Для компенсации канала используется LMMSE-эквалайзер. При оценённом канале прямое применение LMMSE приводит к усилению шума на высоких SNR из-за ошибок оценки. Предложен модифицированный подход: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4"/>
        </w:rPr>
        <w:t>1) Сингулярное разложение (SVD) матрицы канала: H = U·Σ·V^H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4"/>
        </w:rPr>
        <w:t>2) Усечение сингулярных чисел ниже порога α_tol = 10⁻¹⁰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3) Регуляризационный floor: σ²_w,eff = max(σ²_w, α_floor·σ²_max), α_floor = 10⁻³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Этот подход обеспечивает стабильность эквалайзера при высоких SNR, когда ошибки оценки канала становятся доминирующим фактором.</w:t>
      </w:r>
    </w:p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IV. РЕЗУЛЬТАТЫ МОДЕЛИРОВАНИЯ</w:t>
      </w:r>
    </w:p>
    <w:p>
      <w:pPr>
        <w:pStyle w:val="Heading2"/>
        <w:spacing w:before="160" w:after="120"/>
      </w:pPr>
      <w:r>
        <w:rPr>
          <w:rFonts w:ascii="Times New Roman" w:hAnsi="Times New Roman"/>
          <w:color w:val="000000"/>
        </w:rPr>
        <w:t>A. Настройка моделирования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Моделирование выполнено в MATLAB с использованием QuaDRiGa v2.8.1 для генерации каналов 3GPP 38.901. Для каждого SNR выполнено 500 независимых испытаний. Скорость v = 80 м/с. Модуляция QPSK. Параметры FRFT-SIC: N_fine = 91, SIC_threshold = 3,0, max_paths = 6, N_refine_passes = 6.</w:t>
      </w:r>
    </w:p>
    <w:p>
      <w:pPr>
        <w:pStyle w:val="Heading2"/>
        <w:spacing w:before="160" w:after="120"/>
      </w:pPr>
      <w:r>
        <w:rPr>
          <w:rFonts w:ascii="Times New Roman" w:hAnsi="Times New Roman"/>
          <w:color w:val="000000"/>
        </w:rPr>
        <w:t>B. BER vs SNR — основной результат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На рисунке 1 представлены зависимости BER от SNR для предложенного метода (FRFT-SIC) и идеального случая (TRUE — точный канал известен). Результаты усреднены по 500 испытаниям.</w:t>
      </w:r>
    </w:p>
    <w:p>
      <w:pPr>
        <w:spacing w:after="240" w:before="0"/>
        <w:jc w:val="center"/>
      </w:pPr>
      <w:r>
        <w:rPr>
          <w:rFonts w:ascii="Times New Roman" w:hAnsi="Times New Roman"/>
          <w:b/>
          <w:i/>
          <w:sz w:val="24"/>
        </w:rPr>
        <w:t>Таблица 4 — BER vs SNR (500 испытаний, v = 80 м/с)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SNR, дБ</w:t>
            </w:r>
          </w:p>
        </w:tc>
        <w:tc>
          <w:tcPr>
            <w:tcW w:type="dxa" w:w="242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BER (TRUE)</w:t>
            </w:r>
          </w:p>
        </w:tc>
        <w:tc>
          <w:tcPr>
            <w:tcW w:type="dxa" w:w="242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BER (FRFT-SIC)</w:t>
            </w:r>
          </w:p>
        </w:tc>
        <w:tc>
          <w:tcPr>
            <w:tcW w:type="dxa" w:w="242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Отношение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3,42·10⁻¹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3,42·10⁻¹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1,00×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1,13·10⁻¹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1,14·10⁻¹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1,01×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6,40·10⁻³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7,99·10⁻³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1,25×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1,77·10⁻³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2,84·10⁻³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1,61×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6,80·10⁻⁵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3,37·10⁻⁴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4,96×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1,33·10⁻⁵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1,45·10⁻⁴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10,9×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1,65·10⁻⁵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1,40·10⁻⁴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8,50×</w:t>
            </w:r>
          </w:p>
        </w:tc>
      </w:tr>
    </w:tbl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При SNR = 24 дБ BER предложенного метода достигает 3,37·10⁻⁴, что достаточно для большинства V2X-приложений. При SNR = 30 дБ BER = 1,45·10⁻⁴. Разрыв между FRFT-SIC и TRUE каналом на высоких SNR обусловлен ошибками оценки канала — остаточная интерференция от слабых путей, которые не были обнаружены.</w:t>
      </w:r>
    </w:p>
    <w:p>
      <w:pPr>
        <w:pStyle w:val="Heading2"/>
        <w:spacing w:before="160" w:after="120"/>
      </w:pPr>
      <w:r>
        <w:rPr>
          <w:rFonts w:ascii="Times New Roman" w:hAnsi="Times New Roman"/>
          <w:color w:val="000000"/>
        </w:rPr>
        <w:t>C. Ablation study — вклад каждого компонента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Для оценки вклада каждого компонента алгоритма проведено пошаговое исследование (ablation study). Результаты при SNR = 30 дБ (200 испытаний):</w:t>
      </w:r>
    </w:p>
    <w:p>
      <w:pPr>
        <w:spacing w:after="240" w:before="0"/>
        <w:jc w:val="center"/>
      </w:pPr>
      <w:r>
        <w:rPr>
          <w:rFonts w:ascii="Times New Roman" w:hAnsi="Times New Roman"/>
          <w:b/>
          <w:i/>
          <w:sz w:val="24"/>
        </w:rPr>
        <w:t>Таблица 5 — Ablation study (SNR = 30 дБ)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Версия</w:t>
            </w:r>
          </w:p>
        </w:tc>
        <w:tc>
          <w:tcPr>
            <w:tcW w:type="dxa" w:w="242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  <w:tc>
          <w:tcPr>
            <w:tcW w:type="dxa" w:w="242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BER</w:t>
            </w:r>
          </w:p>
        </w:tc>
        <w:tc>
          <w:tcPr>
            <w:tcW w:type="dxa" w:w="242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Улучшение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V0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Baseline SIC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2,68·10⁻³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V1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 Параболическая интерполяция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2,58·10⁻³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×1,0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V2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 Совместная LS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1,32·10⁻³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×1,9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V3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 Отсев слабых путей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1,34·10⁻³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×1,0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V4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 Многопроходная обработка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2,48·10⁻⁴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×5,4</w:t>
            </w:r>
          </w:p>
        </w:tc>
      </w:tr>
    </w:tbl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Ключевой вывод: компоненты алгоритма синергичны, а не аддитивны. Отсев слабых путей (V3) сам по себе не даёт улучшения (×1,0), но является необходимым условием для многопроходной обработки (V4), которая даёт основное улучшение ×5,4. Суммарное улучшение V0→V4: ×10,8.</w:t>
      </w:r>
    </w:p>
    <w:p>
      <w:pPr>
        <w:pStyle w:val="Heading2"/>
        <w:spacing w:before="160" w:after="120"/>
      </w:pPr>
      <w:r>
        <w:rPr>
          <w:rFonts w:ascii="Times New Roman" w:hAnsi="Times New Roman"/>
          <w:color w:val="000000"/>
        </w:rPr>
        <w:t>D. Сравнение сценариев канала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Таблица 6 показывает сравнение spectral efficiency для трёх сценариев 3GPP 38.901 при adaptive и fixed guard-зоне.</w:t>
      </w:r>
    </w:p>
    <w:p>
      <w:pPr>
        <w:spacing w:after="240" w:before="0"/>
        <w:jc w:val="center"/>
      </w:pPr>
      <w:r>
        <w:rPr>
          <w:rFonts w:ascii="Times New Roman" w:hAnsi="Times New Roman"/>
          <w:b/>
          <w:i/>
          <w:sz w:val="24"/>
        </w:rPr>
        <w:t>Таблица 6 — Spectral efficiency по сценариям (v = 80 м/с)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Сценарий</w:t>
            </w:r>
          </w:p>
        </w:tc>
        <w:tc>
          <w:tcPr>
            <w:tcW w:type="dxa" w:w="193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τ_90%</w:t>
            </w:r>
          </w:p>
        </w:tc>
        <w:tc>
          <w:tcPr>
            <w:tcW w:type="dxa" w:w="193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Fixed η</w:t>
            </w:r>
          </w:p>
        </w:tc>
        <w:tc>
          <w:tcPr>
            <w:tcW w:type="dxa" w:w="193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Adaptive η</w:t>
            </w:r>
          </w:p>
        </w:tc>
        <w:tc>
          <w:tcPr>
            <w:tcW w:type="dxa" w:w="193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Прирост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UMi NLOS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0,20 мкс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70,3 %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89,2 %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+18,9 %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UMa NLOS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0,81 мкс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70,3 %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79,2 %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+8,9 %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RMa NLOS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0,08 мкс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70,3 %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90,9 %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+20,6 %</w:t>
            </w:r>
          </w:p>
        </w:tc>
      </w:tr>
    </w:tbl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Наибольший прирост достигается в RMa NLOS (сельская местность), где delay spread минимален. В UMa NLOS (городской макросценарий) прирост меньше, но всё ещё значителен — +8,9 %. Во всех трёх сценариях adaptive guard-зона превосходит фиксированную.</w:t>
      </w:r>
    </w:p>
    <w:p>
      <w:pPr>
        <w:pStyle w:val="Heading2"/>
        <w:spacing w:before="160" w:after="120"/>
      </w:pPr>
      <w:r>
        <w:rPr>
          <w:rFonts w:ascii="Times New Roman" w:hAnsi="Times New Roman"/>
          <w:color w:val="000000"/>
        </w:rPr>
        <w:t>E. Влияние LMMSE floor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Таблица 7 демонстрирует критическую важность truncated-SVD floor для LMMSE-эквалайзера при оценённом канале.</w:t>
      </w:r>
    </w:p>
    <w:p>
      <w:pPr>
        <w:spacing w:after="240" w:before="0"/>
        <w:jc w:val="center"/>
      </w:pPr>
      <w:r>
        <w:rPr>
          <w:rFonts w:ascii="Times New Roman" w:hAnsi="Times New Roman"/>
          <w:b/>
          <w:i/>
          <w:sz w:val="24"/>
        </w:rPr>
        <w:t>Таблица 7 — LMMSE эквалайзер (SNR = 30 дБ, FRFT-SIC)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Метод</w:t>
            </w:r>
          </w:p>
        </w:tc>
        <w:tc>
          <w:tcPr>
            <w:tcW w:type="dxa" w:w="323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BER (FRFT-SIC)</w:t>
            </w:r>
          </w:p>
        </w:tc>
        <w:tc>
          <w:tcPr>
            <w:tcW w:type="dxa" w:w="323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BER (TRUE)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Direct LMMSE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~1·10⁻²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~1·10⁻⁵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SVD без floor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~1·10⁻²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~1·10⁻⁵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SVD + floor (предл.)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1,45·10⁻⁴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~1·10⁻⁵</w:t>
            </w:r>
          </w:p>
        </w:tc>
      </w:tr>
    </w:tbl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Без floor BER «застревает» на уровне ~10⁻² из-за усиления шума ошибками оценки канала. Предложенный floor (α = 10⁻³) снижает BER до 1,45·10⁻⁴ — улучшение в ~50 раз. Для TRUE канала все три метода идентичны — floor не ухудшает точность.</w:t>
      </w:r>
    </w:p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V. СРАВНЕНИЕ С СУЩЕСТВУЮЩИМИ МЕТОДАМИ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В таблице 8 приведено сравнение предложенного метода с ближайшими работами по ключевым параметрам.</w:t>
      </w:r>
    </w:p>
    <w:p>
      <w:pPr>
        <w:spacing w:after="240" w:before="0"/>
        <w:jc w:val="center"/>
      </w:pPr>
      <w:r>
        <w:rPr>
          <w:rFonts w:ascii="Times New Roman" w:hAnsi="Times New Roman"/>
          <w:b/>
          <w:i/>
          <w:sz w:val="24"/>
        </w:rPr>
        <w:t>Таблица 8 — Сравнение с существующими методами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Метод</w:t>
            </w:r>
          </w:p>
        </w:tc>
        <w:tc>
          <w:tcPr>
            <w:tcW w:type="dxa" w:w="193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Guard</w:t>
            </w:r>
          </w:p>
        </w:tc>
        <w:tc>
          <w:tcPr>
            <w:tcW w:type="dxa" w:w="193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Канал</w:t>
            </w:r>
          </w:p>
        </w:tc>
        <w:tc>
          <w:tcPr>
            <w:tcW w:type="dxa" w:w="193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CE</w:t>
            </w:r>
          </w:p>
        </w:tc>
        <w:tc>
          <w:tcPr>
            <w:tcW w:type="dxa" w:w="193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BER min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Raviteja [2]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Fixed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Stochastic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LS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~10⁻³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Reddy [3]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Heuristic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Deng [4]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Adaptive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LEO sat.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Zheng [5]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Fixed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3GPP V2X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SBL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~10⁻³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Предложенный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Analytical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QuaDRiGa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FRFT-SIC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~10⁻⁴</w:t>
            </w:r>
          </w:p>
        </w:tc>
      </w:tr>
    </w:tbl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Преимущества предложенного метода:</w:t>
      </w:r>
    </w:p>
    <w:p>
      <w:pPr>
        <w:spacing w:after="60" w:before="0"/>
      </w:pPr>
      <w:r>
        <w:rPr>
          <w:rFonts w:ascii="Times New Roman" w:hAnsi="Times New Roman"/>
          <w:b w:val="0"/>
          <w:i w:val="0"/>
          <w:sz w:val="24"/>
        </w:rPr>
        <w:t>1) Аналитическая формула guard-зоны — не эмпирическая, не эвристическая. Формулы (12)-(13) связывают guard-зону с физическими параметрами канала.</w:t>
      </w:r>
    </w:p>
    <w:p>
      <w:pPr>
        <w:spacing w:after="60" w:before="0"/>
      </w:pPr>
      <w:r>
        <w:rPr>
          <w:rFonts w:ascii="Times New Roman" w:hAnsi="Times New Roman"/>
          <w:b w:val="0"/>
          <w:i w:val="0"/>
          <w:sz w:val="24"/>
        </w:rPr>
        <w:t>2) QuaDRiGa-based delay spread — median τ_90% из реальных каналов, не worst-case таблицы. Это позволяет уменьшить guard-зону без потери качества.</w:t>
      </w:r>
    </w:p>
    <w:p>
      <w:pPr>
        <w:spacing w:after="60" w:before="0"/>
      </w:pPr>
      <w:r>
        <w:rPr>
          <w:rFonts w:ascii="Times New Roman" w:hAnsi="Times New Roman"/>
          <w:b w:val="0"/>
          <w:i w:val="0"/>
          <w:sz w:val="24"/>
        </w:rPr>
        <w:t>3) FRFT-SIC — Fractional Fourier Transform не применялся для OTFS channel estimation в существующей литературе. Прямая оценка fractional delay/Doppler без oversampling.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4"/>
        </w:rPr>
        <w:t>4) Три сценария 3GPP 38.901 при 5,9 ГГц — единые параметры OTFS, сравнение adaptive vs fixed guard.</w:t>
      </w:r>
    </w:p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VI. ЗАКЛЮЧЕНИЕ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В работе предложен адаптивный метод формирования кадра OTFS системы с оценкой канала FRFT-SIC, валидированный на каналах QuaDRiGa (3GPP 38.901) для V2X-сценариев 5,9 ГГц. Основные результаты:</w:t>
      </w:r>
    </w:p>
    <w:p>
      <w:pPr>
        <w:spacing w:after="60" w:before="0"/>
      </w:pPr>
      <w:r>
        <w:rPr>
          <w:rFonts w:ascii="Times New Roman" w:hAnsi="Times New Roman"/>
          <w:b w:val="0"/>
          <w:i w:val="0"/>
          <w:sz w:val="24"/>
        </w:rPr>
        <w:t>1. Разработана аналитическая формула расчёта guard-зоны на основе реального delay spread (QuaDRiGa) и Doppler spread (скорость). Spectral efficiency увеличена на 8,9–20,6 % по сравнению с фиксированной guard-зоной.</w:t>
      </w:r>
    </w:p>
    <w:p>
      <w:pPr>
        <w:spacing w:after="60" w:before="0"/>
      </w:pPr>
      <w:r>
        <w:rPr>
          <w:rFonts w:ascii="Times New Roman" w:hAnsi="Times New Roman"/>
          <w:b w:val="0"/>
          <w:i w:val="0"/>
          <w:sz w:val="24"/>
        </w:rPr>
        <w:t>2. Алгоритм FRFT-SIC с многопроходной обработкой обеспечивает BER до 3,37·10⁻⁴ при SNR = 24 дБ и 1,45·10⁻⁴ при SNR = 30 дБ. Ablation study показал, что многопроходная обработка даёт улучшение ×5,4, а суммарное улучшение V0→V4: ×10,8.</w:t>
      </w:r>
    </w:p>
    <w:p>
      <w:pPr>
        <w:spacing w:after="60" w:before="0"/>
      </w:pPr>
      <w:r>
        <w:rPr>
          <w:rFonts w:ascii="Times New Roman" w:hAnsi="Times New Roman"/>
          <w:b w:val="0"/>
          <w:i w:val="0"/>
          <w:sz w:val="24"/>
        </w:rPr>
        <w:t>3. Truncated-SVD floor для LMMSE-эквалайзера критически важен — без него BER «застревает» на уровне ~10⁻². Предложенный floor (α = 10⁻³) снижает BER до 1,45·10⁻⁴.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4"/>
        </w:rPr>
        <w:t>4. Валидация на трёх сценариях 3GPP 38.901 (UMi/UMa/RMa NLOS) при 5,9 ГГц подтвердила универсальность метода — adaptive guard превосходит fixed во всех сценариях.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Направления дальнейшей работы: совместная оптимизация guard-зоны и мощности пилота, многокадровый трекинг параметров канала (Kalman filter), оценка на каналах с пространственной согласованностью (spatial consistency).</w:t>
      </w:r>
    </w:p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ЛИТЕРАТУРА</w:t>
      </w:r>
    </w:p>
    <w:p>
      <w:pPr>
        <w:spacing w:after="60"/>
        <w:ind w:left="567"/>
      </w:pPr>
      <w:r>
        <w:rPr>
          <w:rFonts w:ascii="Times New Roman" w:hAnsi="Times New Roman"/>
          <w:sz w:val="20"/>
        </w:rPr>
        <w:t>[1] Hadani, R., et al. "Orthogonal Time Frequency Space modulation." IEEE WCNC, 2017.</w:t>
      </w:r>
    </w:p>
    <w:p>
      <w:pPr>
        <w:spacing w:after="60"/>
        <w:ind w:left="567"/>
      </w:pPr>
      <w:r>
        <w:rPr>
          <w:rFonts w:ascii="Times New Roman" w:hAnsi="Times New Roman"/>
          <w:sz w:val="20"/>
        </w:rPr>
        <w:t>[2] Raviteja, P., et al. "Embedded pilot-aided channel estimation for OTFS in delay-Doppler channels." IEEE Transactions on Vehicular Technology, 2019.</w:t>
      </w:r>
    </w:p>
    <w:p>
      <w:pPr>
        <w:spacing w:after="60"/>
        <w:ind w:left="567"/>
      </w:pPr>
      <w:r>
        <w:rPr>
          <w:rFonts w:ascii="Times New Roman" w:hAnsi="Times New Roman"/>
          <w:sz w:val="20"/>
        </w:rPr>
        <w:t>[3] Reddy, C.S., Priya, P., Sen, D., et al. "Spectral efficient modem design with OTFS modulation for vehicular-IoT system." 2022.</w:t>
      </w:r>
    </w:p>
    <w:p>
      <w:pPr>
        <w:spacing w:after="60"/>
        <w:ind w:left="567"/>
      </w:pPr>
      <w:r>
        <w:rPr>
          <w:rFonts w:ascii="Times New Roman" w:hAnsi="Times New Roman"/>
          <w:sz w:val="20"/>
        </w:rPr>
        <w:t>[4] Deng, S., et al. "Adaptive OTFS Frame Design and Resource Allocation for High-Mobility LEO Satellite Communications." 2025.</w:t>
      </w:r>
    </w:p>
    <w:p>
      <w:pPr>
        <w:spacing w:after="60"/>
        <w:ind w:left="567"/>
      </w:pPr>
      <w:r>
        <w:rPr>
          <w:rFonts w:ascii="Times New Roman" w:hAnsi="Times New Roman"/>
          <w:sz w:val="20"/>
        </w:rPr>
        <w:t>[5] Zheng, Y., et al. "GAMP-based low-complexity sparse bayesian learning channel estimation for OTFS systems in V2X scenarios." 2023.</w:t>
      </w:r>
    </w:p>
    <w:p>
      <w:pPr>
        <w:spacing w:after="60"/>
        <w:ind w:left="567"/>
      </w:pPr>
      <w:r>
        <w:rPr>
          <w:rFonts w:ascii="Times New Roman" w:hAnsi="Times New Roman"/>
          <w:sz w:val="20"/>
        </w:rPr>
        <w:t>[6] Wei, Z., et al. "Off-grid delay-Doppler channel estimation for OTFS: A sparse Bayesian learning approach." IEEE TWC, 2022.</w:t>
      </w:r>
    </w:p>
    <w:p>
      <w:pPr>
        <w:spacing w:after="60"/>
        <w:ind w:left="567"/>
      </w:pPr>
      <w:r>
        <w:rPr>
          <w:rFonts w:ascii="Times New Roman" w:hAnsi="Times New Roman"/>
          <w:sz w:val="20"/>
        </w:rPr>
        <w:t>[7] Jitsumatsu, Y., Sun, K. "Two-Stage Prony-Based Estimation of Fractional Delay and Doppler Shifts in OTFS." 2025.</w:t>
      </w:r>
    </w:p>
    <w:p>
      <w:pPr>
        <w:spacing w:after="60"/>
        <w:ind w:left="567"/>
      </w:pPr>
      <w:r>
        <w:rPr>
          <w:rFonts w:ascii="Times New Roman" w:hAnsi="Times New Roman"/>
          <w:sz w:val="20"/>
        </w:rPr>
        <w:t>[8] Yuan, W., et al. "New delay Doppler communication paradigm in 6G era: A survey of OTFS." IEEE Communications Surveys &amp; Tutorials, 2023.</w:t>
      </w:r>
    </w:p>
    <w:p>
      <w:pPr>
        <w:spacing w:after="60"/>
        <w:ind w:left="567"/>
      </w:pPr>
      <w:r>
        <w:rPr>
          <w:rFonts w:ascii="Times New Roman" w:hAnsi="Times New Roman"/>
          <w:sz w:val="20"/>
        </w:rPr>
        <w:t>[9] Jaeckel, S., et al. "QuaDRiGa: Quasi Deterministic Radio Channel Generator." IEEE Transactions on Antennas and Propagation, 2014.</w:t>
      </w:r>
    </w:p>
    <w:p>
      <w:pPr>
        <w:spacing w:after="60"/>
        <w:ind w:left="567"/>
      </w:pPr>
      <w:r>
        <w:rPr>
          <w:rFonts w:ascii="Times New Roman" w:hAnsi="Times New Roman"/>
          <w:sz w:val="20"/>
        </w:rPr>
        <w:t>[10] Ozaktas, H.M., et al. "The Fractional Fourier Transform: With Applications in Optics and Signal Processing." Wiley, 2001.</w:t>
      </w:r>
    </w:p>
    <w:p>
      <w:pPr>
        <w:spacing w:after="60"/>
        <w:ind w:left="567"/>
      </w:pPr>
      <w:r>
        <w:rPr>
          <w:rFonts w:ascii="Times New Roman" w:hAnsi="Times New Roman"/>
          <w:sz w:val="20"/>
        </w:rPr>
        <w:t>[11] 3GPP TR 38.901. "Study on channel model for frequencies from 0.5 to 100 GHz." Release 16, 2019.</w:t>
      </w:r>
    </w:p>
    <w:p>
      <w:pPr>
        <w:spacing w:after="60"/>
        <w:ind w:left="567"/>
      </w:pPr>
      <w:r>
        <w:rPr>
          <w:rFonts w:ascii="Times New Roman" w:hAnsi="Times New Roman"/>
          <w:sz w:val="20"/>
        </w:rPr>
        <w:t>[12] Wu, S., et al. "Superimposed Pilot-Data Co-Design Framework with Buffer Band in OTFS System." 2025.</w:t>
      </w:r>
    </w:p>
    <w:p>
      <w:pPr>
        <w:spacing w:after="60"/>
        <w:ind w:left="567"/>
      </w:pPr>
      <w:r>
        <w:rPr>
          <w:rFonts w:ascii="Times New Roman" w:hAnsi="Times New Roman"/>
          <w:sz w:val="20"/>
        </w:rPr>
        <w:t>[13] Karimian-Sichani, N., et al. "2D pilot signal design for OTFS-ISAC systems." 2025.</w:t>
      </w:r>
    </w:p>
    <w:p>
      <w:pPr>
        <w:spacing w:after="60"/>
        <w:ind w:left="567"/>
      </w:pPr>
      <w:r>
        <w:rPr>
          <w:rFonts w:ascii="Times New Roman" w:hAnsi="Times New Roman"/>
          <w:sz w:val="20"/>
        </w:rPr>
        <w:t>[14] Priya, P., Hong, Y., Viterbo, E. "OTFS channel estimation and detection for channels with very large delay spread." 2024.</w:t>
      </w:r>
    </w:p>
    <w:p>
      <w:pPr>
        <w:spacing w:after="60"/>
        <w:ind w:left="567"/>
      </w:pPr>
      <w:r>
        <w:rPr>
          <w:rFonts w:ascii="Times New Roman" w:hAnsi="Times New Roman"/>
          <w:sz w:val="20"/>
        </w:rPr>
        <w:t>[15] Aslandogan, A., et al. "Comprehensive Survey of Channel Estimation for OTFS." 2025.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  <w:jc w:val="both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