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0" w:line="240" w:lineRule="auto"/>
        <w:jc w:val="center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0" w:before="0" w:line="240" w:lineRule="auto"/>
        <w:jc w:val="center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0" w:before="0" w:line="240" w:lineRule="auto"/>
        <w:jc w:val="center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0" w:before="0" w:line="240" w:lineRule="auto"/>
        <w:jc w:val="center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MIDWESTERN BAPTIST THEOLOGICAL SEMINARY</w:t>
      </w:r>
    </w:p>
    <w:p>
      <w:pPr>
        <w:spacing w:after="0" w:before="0" w:line="240" w:lineRule="auto"/>
        <w:jc w:val="center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0" w:before="0" w:line="240" w:lineRule="auto"/>
        <w:jc w:val="center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0" w:before="0" w:line="240" w:lineRule="auto"/>
        <w:jc w:val="center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0" w:before="0" w:line="240" w:lineRule="auto"/>
        <w:jc w:val="center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0" w:before="0" w:line="240" w:lineRule="auto"/>
        <w:jc w:val="center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0" w:before="0" w:line="240" w:lineRule="auto"/>
        <w:jc w:val="center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0" w:before="0" w:line="240" w:lineRule="auto"/>
        <w:jc w:val="center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0" w:before="0" w:line="240" w:lineRule="auto"/>
        <w:jc w:val="center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A FORMATTING DEMONSTRATION PAPER</w:t>
      </w:r>
    </w:p>
    <w:p>
      <w:pPr>
        <w:spacing w:after="0" w:before="0" w:line="240" w:lineRule="auto"/>
        <w:jc w:val="center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0" w:before="0" w:line="240" w:lineRule="auto"/>
        <w:jc w:val="center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0" w:before="0" w:line="240" w:lineRule="auto"/>
        <w:jc w:val="center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0" w:before="0" w:line="240" w:lineRule="auto"/>
        <w:jc w:val="center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0" w:before="0" w:line="240" w:lineRule="auto"/>
        <w:jc w:val="center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0" w:before="0" w:line="240" w:lineRule="auto"/>
        <w:jc w:val="center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0" w:before="0" w:line="240" w:lineRule="auto"/>
        <w:jc w:val="center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0" w:before="0" w:line="240" w:lineRule="auto"/>
        <w:jc w:val="center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A TEACHING OVERVIEW</w:t>
      </w:r>
    </w:p>
    <w:p>
      <w:pPr>
        <w:spacing w:after="0" w:before="0" w:line="240" w:lineRule="auto"/>
        <w:jc w:val="center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0" w:before="0" w:line="240" w:lineRule="auto"/>
        <w:jc w:val="center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NT 5183 NEW TESTAMENT SURVEY II</w:t>
      </w:r>
    </w:p>
    <w:p>
      <w:pPr>
        <w:spacing w:after="0" w:before="0" w:line="240" w:lineRule="auto"/>
        <w:jc w:val="center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0" w:before="0" w:line="240" w:lineRule="auto"/>
        <w:jc w:val="center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0" w:before="0" w:line="240" w:lineRule="auto"/>
        <w:jc w:val="center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0" w:before="0" w:line="240" w:lineRule="auto"/>
        <w:jc w:val="center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0" w:before="0" w:line="240" w:lineRule="auto"/>
        <w:jc w:val="center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0" w:before="0" w:line="240" w:lineRule="auto"/>
        <w:jc w:val="center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0" w:before="0" w:line="240" w:lineRule="auto"/>
        <w:jc w:val="center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0" w:before="0" w:line="240" w:lineRule="auto"/>
        <w:jc w:val="center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BY</w:t>
      </w:r>
    </w:p>
    <w:p>
      <w:pPr>
        <w:spacing w:after="0" w:before="0" w:line="240" w:lineRule="auto"/>
        <w:jc w:val="center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0" w:before="0" w:line="240" w:lineRule="auto"/>
        <w:jc w:val="center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TYLER COLLINS</w:t>
      </w:r>
    </w:p>
    <w:p>
      <w:pPr>
        <w:spacing w:after="0" w:before="0" w:line="240" w:lineRule="auto"/>
        <w:jc w:val="center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0" w:before="0" w:line="240" w:lineRule="auto"/>
        <w:jc w:val="center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0" w:before="0" w:line="240" w:lineRule="auto"/>
        <w:jc w:val="center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0" w:before="0" w:line="240" w:lineRule="auto"/>
        <w:jc w:val="center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0" w:before="0" w:line="240" w:lineRule="auto"/>
        <w:jc w:val="center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0" w:before="0" w:line="240" w:lineRule="auto"/>
        <w:jc w:val="center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0" w:before="0" w:line="240" w:lineRule="auto"/>
        <w:jc w:val="center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0" w:before="0" w:line="240" w:lineRule="auto"/>
        <w:jc w:val="center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KANSAS CITY, MISSOURI</w:t>
      </w:r>
    </w:p>
    <w:p>
      <w:pPr>
        <w:spacing w:after="0" w:before="0" w:line="240" w:lineRule="auto"/>
        <w:jc w:val="center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0" w:before="0" w:line="240" w:lineRule="auto"/>
        <w:jc w:val="center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JUNE 14, 2026</w:t>
      </w:r>
    </w:p>
    <w:p>
      <w:pPr>
        <w:sectPr>
          <w:pgSz w:w="12240" w:h="15840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spacing w:after="0" w:before="0" w:line="480" w:lineRule="auto"/>
        <w:ind w:firstLine="72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This opening paragraph exists only to demonstrate body formatting. The text should appear in twelve-point Times New Roman, double-spaced, with a half-inch first-line indent and a ragged right margin. This sentence carries a footnote to verify footnote rendering.</w:t>
      </w:r>
      <w:r>
        <w:rPr>
          <w:rStyle w:val="FootnoteReference"/>
        </w:rPr>
        <w:footnoteReference w:id="1"/>
      </w:r>
    </w:p>
    <w:p>
      <w:pPr>
        <w:spacing w:after="0" w:before="0" w:line="480" w:lineRule="auto"/>
        <w:ind w:firstLine="72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A second paragraph confirms that consecutive paragraphs each receive a first-line indent with no extra space between them. Here is an 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4"/>
          <w:szCs w:val="24"/>
        </w:rPr>
        <w:t xml:space="preserve">italicized phrase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 and a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4"/>
          <w:szCs w:val="24"/>
        </w:rPr>
        <w:t xml:space="preserve">bold phrase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 to confirm inline formatting survives the conversion. A later sentence cites a second source to confirm shortened-footnote handling.</w:t>
      </w:r>
      <w:r>
        <w:rPr>
          <w:rStyle w:val="FootnoteReference"/>
        </w:rPr>
        <w:footnoteReference w:id="2"/>
      </w:r>
    </w:p>
    <w:p>
      <w:pPr>
        <w:keepNext/>
        <w:spacing w:after="240" w:before="480" w:line="240" w:lineRule="auto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4"/>
          <w:szCs w:val="24"/>
        </w:rPr>
        <w:t xml:space="preserve">First Level Subheading</w:t>
      </w:r>
    </w:p>
    <w:p>
      <w:pPr>
        <w:spacing w:after="0" w:before="0" w:line="480" w:lineRule="auto"/>
        <w:ind w:firstLine="72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This paragraph follows a first-level subheading, which should be centered and bold with a triple space above it and a double space below. The following block quotation should be single-spaced and indented half an inch with no quotation marks:</w:t>
      </w:r>
    </w:p>
    <w:p>
      <w:pPr>
        <w:spacing w:after="240" w:before="240" w:line="240" w:lineRule="auto"/>
        <w:ind w:left="72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This is a demonstration block quotation standing in for a passage of five or more lines. It should render single-spaced and indented as a block, set apart from the surrounding double-spaced text, with a footnote at the end to cite its source.</w:t>
      </w:r>
      <w:r>
        <w:rPr>
          <w:rStyle w:val="FootnoteReference"/>
        </w:rPr>
        <w:footnoteReference w:id="3"/>
      </w:r>
    </w:p>
    <w:p>
      <w:pPr>
        <w:spacing w:after="0" w:before="0" w:line="480" w:lineRule="auto"/>
        <w:ind w:firstLine="72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The paragraph after the block quote returns to normal body formatting.</w:t>
      </w:r>
    </w:p>
    <w:p>
      <w:pPr>
        <w:keepNext/>
        <w:spacing w:after="240" w:before="480" w:line="240" w:lineRule="auto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Second Level Subheading</w:t>
      </w:r>
    </w:p>
    <w:p>
      <w:pPr>
        <w:spacing w:after="0" w:before="0" w:line="480" w:lineRule="auto"/>
        <w:ind w:firstLine="72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This paragraph follows a second-level subheading, which should be centered but not bold. A repeat citation of an earlier source uses a shortened footnote, which is its own sequentially numbered note.</w:t>
      </w:r>
      <w:r>
        <w:rPr>
          <w:rStyle w:val="FootnoteReference"/>
        </w:rPr>
        <w:footnoteReference w:id="4"/>
      </w:r>
    </w:p>
    <w:p>
      <w:pPr>
        <w:pageBreakBefore/>
        <w:spacing w:after="480" w:before="0" w:line="240" w:lineRule="auto"/>
        <w:jc w:val="center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BIBLIOGRAPHY</w:t>
      </w:r>
    </w:p>
    <w:p>
      <w:pPr>
        <w:spacing w:after="240" w:before="0" w:line="240" w:lineRule="auto"/>
        <w:ind w:left="720" w:hanging="72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Köstenberger, Andreas J., L. Scott Kellum, and Charles L. Quarles. 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4"/>
          <w:szCs w:val="24"/>
        </w:rPr>
        <w:t xml:space="preserve">The Cradle, the Cross, and the Crown: An Introduction to the New Testament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. Nashville: B&amp;H Academic, 2016.</w:t>
      </w:r>
    </w:p>
    <w:p>
      <w:pPr>
        <w:spacing w:after="240" w:before="0" w:line="240" w:lineRule="auto"/>
        <w:ind w:left="720" w:hanging="72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Schreiner, Patrick. 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4"/>
          <w:szCs w:val="24"/>
        </w:rPr>
        <w:t xml:space="preserve">The Visual Word: Illustrated Outlines of the New Testament Books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. Edited by Connor Sterchi. Chicago: Moody, 2021.</w:t>
      </w:r>
    </w:p>
    <w:sectPr>
      <w:footerReference w:type="default" r:id="rId7"/>
      <w:type w:val="nextPage"/>
      <w:pgSz w:w="12240" w:h="15840" w:orient="portrait"/>
      <w:pgMar w:top="1440" w:right="1440" w:bottom="1440" w:left="1440" w:header="708" w:footer="708" w:gutter="0"/>
      <w:pgNumType w:start="1" w:fmt="decimal"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Times New Roman" w:cs="Times New Roman" w:eastAsia="Times New Roman" w:hAnsi="Times New Roman"/>
        <w:sz w:val="24"/>
        <w:szCs w:val="24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  <w:footnote w:id="1">
    <w:p>
      <w:pPr>
        <w:spacing w:after="240" w:before="0" w:line="240" w:lineRule="auto"/>
        <w:ind w:firstLine="720"/>
      </w:pPr>
      <w:r>
        <w:rPr>
          <w:rStyle w:val="FootnoteReference"/>
        </w:rPr>
        <w:footnoteRef/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Patrick Schreiner, 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0"/>
          <w:szCs w:val="20"/>
        </w:rPr>
        <w:t xml:space="preserve">The Visual Word: Illustrated Outlines of the New Testament Books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, ed. Connor Sterchi (Chicago: Moody, 2021), 112.</w:t>
      </w:r>
    </w:p>
  </w:footnote>
  <w:footnote w:id="2">
    <w:p>
      <w:pPr>
        <w:spacing w:after="240" w:before="0" w:line="240" w:lineRule="auto"/>
        <w:ind w:firstLine="720"/>
      </w:pPr>
      <w:r>
        <w:rPr>
          <w:rStyle w:val="FootnoteReference"/>
        </w:rPr>
        <w:footnoteRef/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Andreas J. Köstenberger, L. Scott Kellum, and Charles L. Quarles, 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0"/>
          <w:szCs w:val="20"/>
        </w:rPr>
        <w:t xml:space="preserve">The Cradle, the Cross, and the Crown: An Introduction to the New Testament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 (Nashville: B&amp;H Academic, 2016), 702.</w:t>
      </w:r>
    </w:p>
  </w:footnote>
  <w:footnote w:id="3">
    <w:p>
      <w:pPr>
        <w:spacing w:after="240" w:before="0" w:line="240" w:lineRule="auto"/>
        <w:ind w:firstLine="720"/>
      </w:pPr>
      <w:r>
        <w:rPr>
          <w:rStyle w:val="FootnoteReference"/>
        </w:rPr>
        <w:footnoteRef/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Schreiner, 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0"/>
          <w:szCs w:val="20"/>
        </w:rPr>
        <w:t xml:space="preserve">The Visual Word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, 118.</w:t>
      </w:r>
    </w:p>
  </w:footnote>
  <w:footnote w:id="4">
    <w:p>
      <w:pPr>
        <w:spacing w:after="240" w:before="0" w:line="240" w:lineRule="auto"/>
        <w:ind w:firstLine="720"/>
      </w:pPr>
      <w:r>
        <w:rPr>
          <w:rStyle w:val="FootnoteReference"/>
        </w:rPr>
        <w:footnoteRef/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Schreiner, 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0"/>
          <w:szCs w:val="20"/>
        </w:rPr>
        <w:t xml:space="preserve">The Visual Word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, 121.</w:t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2026-06-13T02:42:17.585Z</dcterms:created>
  <dcterms:modified xsi:type="dcterms:W3CDTF">2026-06-13T02:42:17.585Z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