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Олександр Пєтушков</w:t>
      </w:r>
    </w:p>
    <w:p>
      <w:pPr>
        <w:spacing w:after="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Генеральний директор  ·  Виробничі та промислові підприємства  ·  Управління інвестиціями та проєктами</w:t>
      </w:r>
    </w:p>
    <w:p>
      <w:pPr>
        <w:pBdr>
          <w:bottom w:val="single" w:color="1F3864" w:sz="6" w:space="2"/>
        </w:pBdr>
        <w:spacing w:after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+380 67 245 0290   ·   strateglab@gmail.com   ·   09 січня 1978</w:t>
      </w:r>
    </w:p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ПРОФІЛЬ</w:t>
      </w:r>
    </w:p>
    <w:p>
      <w:pPr>
        <w:spacing w:after="34" w:line="236"/>
        <w:jc w:val="both"/>
      </w:pPr>
      <w:r>
        <w:rPr>
          <w:rFonts w:ascii="Arial" w:cs="Arial" w:eastAsia="Arial" w:hAnsi="Arial"/>
          <w:sz w:val="21"/>
          <w:szCs w:val="21"/>
        </w:rPr>
        <w:t xml:space="preserve">Топ-менеджер із понад 25-річним досвідом керівництва виробничими підприємствами, компаніями будівельних матеріалів та будівельної галузі. Поєдную досвід генерального директора / CEO із сильним досвідом управління інвестиційними та проєктними ініціативами. Будував виробництва з нуля, керував переоснащенням найбільшого в Україні заводу великопанельного домобудування, упроваджував системи ISO 9001/14001, маркування CE та виведення продукції на експортні ринки. Однаково ефективний в операційному управлінні та в керівництві складними міжнародними інвестиційними проєктами. Міжнародна освіта (Україна, Австрія, Німеччина); англійська — C2.</w:t>
      </w:r>
    </w:p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КЛЮЧОВІ КОМПЕТЕНЦІЇ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P&amp;L та загальне управління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Виробництво й операційне управління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виробництв з нуля, переоснащення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Управління інвестиціями та проєктами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Антикризове управління, управління змінами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Стратегічне та бізнес-планування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ISO 9001 / 14001 та маркування CE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Вихід на експортні ринки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Закупівлі та ланцюги постачання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Управління витратами та фінансами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Побудова команд, орг. розвиток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Міжнародні партнерства та інвестиції</w:t>
            </w:r>
          </w:p>
        </w:tc>
      </w:tr>
    </w:tbl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КЛЮЧОВІ ПРОЄКТИ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Переоснащення найбільшого в Україні заводу великопанельного домобудування — </w:t>
      </w:r>
      <w:r>
        <w:rPr>
          <w:rFonts w:ascii="Arial" w:cs="Arial" w:eastAsia="Arial" w:hAnsi="Arial"/>
          <w:sz w:val="21"/>
          <w:szCs w:val="21"/>
        </w:rPr>
        <w:t xml:space="preserve">повний цикл: бізнес-план, пошук обладнання, фінансування, монтаж, пусконалагодження та маркетинг (ДБК-Житлобуд).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Виробничий завод та представництво, збудовані з нуля — </w:t>
      </w:r>
      <w:r>
        <w:rPr>
          <w:rFonts w:ascii="Arial" w:cs="Arial" w:eastAsia="Arial" w:hAnsi="Arial"/>
          <w:sz w:val="21"/>
          <w:szCs w:val="21"/>
        </w:rPr>
        <w:t xml:space="preserve">вибір технологій та обладнання, проєктування процесів, отримання дозволів, запуск продажів на внутрішньому й експортному ринках (Young Ukraine).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Системи якості та екологічного управління ISO 9001 / 14001 і маркування CE </w:t>
      </w:r>
      <w:r>
        <w:rPr>
          <w:rFonts w:ascii="Arial" w:cs="Arial" w:eastAsia="Arial" w:hAnsi="Arial"/>
          <w:sz w:val="21"/>
          <w:szCs w:val="21"/>
        </w:rPr>
        <w:t xml:space="preserve">для експортоорієнтованих виробників у межах грантових програм ЄБРР (Royal-House, ДБК-Житлобуд).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Національна мережа енергоефективності для виробників будівельних матеріалів України — </w:t>
      </w:r>
      <w:r>
        <w:rPr>
          <w:rFonts w:ascii="Arial" w:cs="Arial" w:eastAsia="Arial" w:hAnsi="Arial"/>
          <w:sz w:val="21"/>
          <w:szCs w:val="21"/>
        </w:rPr>
        <w:t xml:space="preserve">створена спільно з GIZ (Deutsche Gesellschaft für Internationale Zusammenarbeit, Німеччина).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Ініціативи ЄС в Україні (будівельний та гуманітарний сектори) — </w:t>
      </w:r>
      <w:r>
        <w:rPr>
          <w:rFonts w:ascii="Arial" w:cs="Arial" w:eastAsia="Arial" w:hAnsi="Arial"/>
          <w:sz w:val="21"/>
          <w:szCs w:val="21"/>
        </w:rPr>
        <w:t xml:space="preserve">виведення українських будівельних матеріалів на експортні ринки та сертифікація за міжнародними стандартами.</w:t>
      </w:r>
    </w:p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ДОСВІД РОБОТИ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Проєктний менеджер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2022 – дотепер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Пов'язані громадські організації України та ЄС — благодійні проєкти в Україні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Визначаю стратегію та керую щоденною реалізацією транскордонних благодійних програм (ЄС–Україна).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Розробляю та реалізую освітні, гуманітарні та медичні ініціативи допомоги українцям.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Директор з розвитку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2020 – дотепер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Група компаній Win Experts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winexperts.com.ua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Розробляю та реалізую стратегію бізнес-підрозділів і маркетингову стратегію.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Упровадив систему управління якістю ISO 9001:2015 за грантовою програмою ЄБРР.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Запровадив CRM у відділах продажів, обслуговування клієнтів та для регіональних представників.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Розробив та провів освітні маркетингові програми для будівельної галузі в регіонах України.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Генеральний директор (CEO)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2019 – дотепер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Національний експертно-будівельний альянс України (НЕБАУ)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nebau.org.ua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Представляю Альянс у державних та міжнародних проєктах будівельної галузі.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Розвиваю громадські й бізнес-ініціативи та партнерства з урядом, місцевою владою, МФО та ГО.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Запускав цифрові ініціативи для МСП та громад: пом'якшення наслідків пандемії, вихід на нові ринки.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Організовую міжнародні воркшопи й конференції з BIM, smart-будівництва та цифровізації.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Директор з міжнародних зв'язків / Інвестиційний менеджер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2012 – 2019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Асоціація «Українська спілка виробників будівельних матеріалів та виробів»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avbmv.com.ua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Представляю Асоціацію та її членів на міжнародному рівні; залучаю іноземні інвестиції.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Шукаю та розвиваю міжнародних партнерів; консультую з інвестицій та бізнес-планування.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Веду діяльність із законодавчих ініціатив в інтересах галузі.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Директор з розвитку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2016 – 2017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Група компаній Royal-House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royal-house.ua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Запустив B2B-сегмент для ринку висотного будівництва в Україні.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Підготував та запустив пілотні проєкти житлового будівництва за технологією Royal House в Австрії та Словаччині.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Упровадив ISO 9001 / 14001 та маркування CE для експорту (грантова програма ЄБРР).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Реорганізував деревообробний підрозділ — вибір технології й обладнання, бізнес-план, оновлення управлінського обліку.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Проєктний менеджер / Директор з розвитку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2015 – 2016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Виробничо-будівельна група компаній ДБК-Житлобуд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dbkzhytlobud.com.ua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Розробив та реалізував комплексний план дій для групи компаній.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Пошук постачальників обладнання, переговори, оптимізація умов постачання та фінансування проєкту переоснащення найбільшого в Україні заводу домобудування.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Упровадив ISO 9001 / 14001 та маркування CE для експорту; запровадив ресурсоефективні та екологічно чисті практики виробництва.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Генеральний директор (CEO)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2010 – 2011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Слобожанська будівельна кераміка (виробник будівельної кераміки)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sbk.com.ua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Повна P&amp;L- та загальне управління: бізнес-стратегія, бюджетування, контроль витрат та фінансовий моніторинг бізнес-підрозділів.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Підвищення прибутковості через продуктові стратегії та скорочення витрат; нагляд за маркетингом, стратегією продажів та управлінням ключовими клієнтами.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Керівництво закупівлями стратегічних ресурсів, R&amp;D, підбором персоналу, управлінням ефективністю та організаційним розвитком.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Генеральний директор (CEO)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2005 – 2010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Young Ukraine Ltd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youngua.com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Збудував завод та представництво з нуля — найм, організація виробничого майданчика, нові технології та обладнання, наскрізні бізнес-процеси.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Отримав усі дозволи для діяльності та керував взаєминами з місцевими й регіональними органами влади (регулювання, митниця).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Керував продажами (внутрішній ринок та експорт), бюджетуванням і фінансами; побудував інтегровану систему «закупівлі–виробництво–продажі» для стабільного зростання.</w:t>
      </w:r>
    </w:p>
    <w:p>
      <w:pPr>
        <w:tabs>
          <w:tab w:val="right" w:pos="9746"/>
        </w:tabs>
        <w:spacing w:after="6" w:before="84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Заступник генерального директора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1998 – 2005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Supermash Ltd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supermash.ua</w:t>
      </w:r>
    </w:p>
    <w:p>
      <w:pPr>
        <w:pStyle w:val="ListParagraph"/>
        <w:numPr>
          <w:ilvl w:val="0"/>
          <w:numId w:val="2"/>
        </w:numPr>
        <w:spacing w:after="20" w:line="230"/>
      </w:pPr>
      <w:r>
        <w:rPr>
          <w:rFonts w:ascii="Arial" w:cs="Arial" w:eastAsia="Arial" w:hAnsi="Arial"/>
          <w:sz w:val="21"/>
          <w:szCs w:val="21"/>
        </w:rPr>
        <w:t xml:space="preserve">Загальне управління бізнесом і проєктами, стратегічне планування, бюджетування та фінансовий моніторинг; оптимізація бізнес-процесів, структури компанії, управлінського обліку та продажів.</w:t>
      </w:r>
    </w:p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ОСВІТА ТА СЕРТИФІКАЦІЇ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2025–2026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Export Consultants Mastery, Visionest Institute (Естонія)</w:t>
      </w:r>
      <w:r>
        <w:rPr>
          <w:rFonts w:ascii="Arial" w:cs="Arial" w:eastAsia="Arial" w:hAnsi="Arial"/>
          <w:sz w:val="21"/>
          <w:szCs w:val="21"/>
        </w:rPr>
        <w:t xml:space="preserve"> — сертифікований консультант з експорту (360 акад. годин): аналіз ринків, стратегії виходу, ціноутворення, ланцюги постачання, INCOTERMS.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2000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Київський національний економічний університет</w:t>
      </w:r>
      <w:r>
        <w:rPr>
          <w:rFonts w:ascii="Arial" w:cs="Arial" w:eastAsia="Arial" w:hAnsi="Arial"/>
          <w:sz w:val="21"/>
          <w:szCs w:val="21"/>
        </w:rPr>
        <w:t xml:space="preserve"> — магістр, маркетинговий менеджмент.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1999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Віденський університет економіки (Wirtschaftsuniversität Wien), Австрія</w:t>
      </w:r>
      <w:r>
        <w:rPr>
          <w:rFonts w:ascii="Arial" w:cs="Arial" w:eastAsia="Arial" w:hAnsi="Arial"/>
          <w:sz w:val="21"/>
          <w:szCs w:val="21"/>
        </w:rPr>
        <w:t xml:space="preserve"> — маркетинговий менеджмент, міжнародна торгівля (сертифікат).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1998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Університет Констанца (Universität Konstanz), Німеччина</w:t>
      </w:r>
      <w:r>
        <w:rPr>
          <w:rFonts w:ascii="Arial" w:cs="Arial" w:eastAsia="Arial" w:hAnsi="Arial"/>
          <w:sz w:val="21"/>
          <w:szCs w:val="21"/>
        </w:rPr>
        <w:t xml:space="preserve"> — факультет економічних наук і статистики (сертифікат).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Сертифікований проєктний менеджер та аналітик даних</w:t>
      </w:r>
    </w:p>
    <w:p>
      <w:pPr>
        <w:pBdr>
          <w:bottom w:val="single" w:color="1F3864" w:sz="6" w:space="2"/>
        </w:pBdr>
        <w:spacing w:after="62" w:before="118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МОВИ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Українська, російська — рідна  ·  Англійська — C2  ·  Німецька — B2  ·  Чеська — B2  ·  Іврит — початковий</w:t>
      </w:r>
    </w:p>
    <w:sectPr>
      <w:pgSz w:w="11906" w:h="16838" w:orient="portrait"/>
      <w:pgMar w:top="850" w:right="1020" w:bottom="7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2026-06-17T04:57:13.528Z</dcterms:created>
  <dcterms:modified xsi:type="dcterms:W3CDTF">2026-06-17T04:57:13.528Z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