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6413C"/>
          <w:sz w:val="22"/>
        </w:rPr>
        <w:t>STRATHOS LAB</w:t>
      </w:r>
    </w:p>
    <w:p>
      <w:pPr>
        <w:spacing w:after="0"/>
      </w:pPr>
      <w:r>
        <w:rPr>
          <w:rFonts w:ascii="Calibri" w:hAnsi="Calibri"/>
          <w:b/>
          <w:i w:val="0"/>
          <w:color w:val="1F2A33"/>
          <w:sz w:val="44"/>
        </w:rPr>
        <w:t>Monitor de Conflictos Geopolíticos</w:t>
      </w:r>
    </w:p>
    <w:p>
      <w:pPr>
        <w:spacing w:after="80"/>
      </w:pPr>
      <w:r>
        <w:rPr>
          <w:rFonts w:ascii="Calibri" w:hAnsi="Calibri"/>
          <w:b w:val="0"/>
          <w:i w:val="0"/>
          <w:color w:val="5A6470"/>
          <w:sz w:val="26"/>
        </w:rPr>
        <w:t>Informe mensual · julio de 2026</w:t>
      </w:r>
    </w:p>
    <w:p>
      <w:pPr>
        <w:pBdr>
          <w:bottom w:val="single" w:sz="6" w:space="1" w:color="1F2A33"/>
        </w:pBdr>
        <w:spacing w:after="40"/>
      </w:pPr>
    </w:p>
    <w:p>
      <w:pPr>
        <w:spacing w:after="280"/>
      </w:pPr>
      <w:r>
        <w:rPr>
          <w:rFonts w:ascii="Calibri" w:hAnsi="Calibri"/>
          <w:b w:val="0"/>
          <w:i/>
          <w:color w:val="5A6470"/>
          <w:sz w:val="17"/>
        </w:rPr>
        <w:t>Datos al 2026-07-15 22:00:03 UTC · 54 vínculos activo-conflicto · fuente de precios: Yahoo Finance vía yfinance</w:t>
      </w:r>
    </w:p>
    <w:p>
      <w:pPr>
        <w:spacing w:after="120"/>
      </w:pPr>
      <w:r>
        <w:rPr>
          <w:rFonts w:ascii="Calibri" w:hAnsi="Calibri"/>
          <w:b/>
          <w:i w:val="0"/>
          <w:color w:val="1F2A33"/>
          <w:sz w:val="30"/>
        </w:rPr>
        <w:t>El mes en que la señal más ruidosa fue la que no entraba al monitor</w:t>
      </w:r>
    </w:p>
    <w:p>
      <w:pPr>
        <w:spacing w:after="240" w:line="307" w:lineRule="auto"/>
      </w:pPr>
      <w:r>
        <w:rPr>
          <w:rFonts w:ascii="Calibri" w:hAnsi="Calibri"/>
          <w:b/>
          <w:i w:val="0"/>
          <w:color w:val="1F2A33"/>
          <w:sz w:val="25"/>
        </w:rPr>
        <w:t>El tablero de julio concentró sus movimientos en dos vectores, el agrícola del teatro Rusia-Ucrania y el de tierras raras del Indo-Pacífico, y ofreció de paso la lección que define a este producto. El evento que más titulares generó en la región, el arancel del 25% de Estados Unidos a Brasil, no dejó una sola señal en el monitor, y esa ausencia es información. El arancel golpea manufacturas e industriales brasileños y exime café, carne y jugo de naranja, con lo que su huella no aparece en los activos que el MCG sigue por su vínculo con conflictos armados. Saber qué excluir es tanto parte del método como saber qué mirar.</w:t>
      </w:r>
    </w:p>
    <w:p>
      <w:pPr>
        <w:spacing w:after="160" w:line="307" w:lineRule="auto"/>
      </w:pPr>
      <w:r>
        <w:rPr>
          <w:rFonts w:ascii="Calibri" w:hAnsi="Calibri"/>
          <w:b w:val="0"/>
          <w:i w:val="0"/>
          <w:color w:val="222A30"/>
          <w:sz w:val="22"/>
        </w:rPr>
        <w:t>El maíz saltó 12% en un día, muy por encima de su rango habitual, y es el movimiento que ordena la lectura del mes. La tentación es leerlo como efecto directo de la coyuntura política en Ucrania. La disciplina obliga a otra cosa antes de escribirlo: mirar si el trigo y los fertilizantes se movieron en la misma dirección. Si el vector agrícola completo del teatro se activó junto, la tesis del grano como palanca se sostiene. Si el maíz se movió solo, el origen es propio del maíz y no del conflicto.</w:t>
      </w:r>
    </w:p>
    <w:p>
      <w:pPr>
        <w:spacing w:after="160" w:line="307" w:lineRule="auto"/>
      </w:pPr>
      <w:r>
        <w:rPr>
          <w:rFonts w:ascii="Calibri" w:hAnsi="Calibri"/>
          <w:b w:val="0"/>
          <w:i w:val="0"/>
          <w:color w:val="222A30"/>
          <w:sz w:val="22"/>
        </w:rPr>
        <w:t>Debajo, el crudo sostuvo su prima de riesgo por Ormuz y las tierras raras volvieron a moverse por la única variable que de verdad las gobierna, que no queda en el hemisferio sino en Beijing.</w:t>
      </w:r>
    </w:p>
    <w:p>
      <w:pPr>
        <w:spacing w:before="280" w:after="0"/>
      </w:pPr>
      <w:r>
        <w:rPr>
          <w:rFonts w:ascii="Calibri" w:hAnsi="Calibri"/>
          <w:b/>
          <w:i w:val="0"/>
          <w:color w:val="26413C"/>
          <w:sz w:val="18"/>
        </w:rPr>
        <w:t>LA MÁQUINA</w:t>
      </w:r>
    </w:p>
    <w:p>
      <w:pPr>
        <w:spacing w:after="120"/>
      </w:pPr>
      <w:r>
        <w:rPr>
          <w:rFonts w:ascii="Calibri" w:hAnsi="Calibri"/>
          <w:b/>
          <w:i w:val="0"/>
          <w:color w:val="1F2A33"/>
          <w:sz w:val="30"/>
        </w:rPr>
        <w:t>Tablero de señales</w:t>
      </w:r>
    </w:p>
    <w:p>
      <w:pPr>
        <w:spacing w:after="160"/>
      </w:pPr>
      <w:r>
        <w:rPr>
          <w:rFonts w:ascii="Calibri" w:hAnsi="Calibri"/>
          <w:b w:val="0"/>
          <w:i/>
          <w:color w:val="5A6470"/>
          <w:sz w:val="19"/>
        </w:rPr>
        <w:t>Activos que se movieron más de 1.5 desvíos respecto de su volatilidad reciente. Registro de exposición, no de causalidad: la señal indica que el activo se movió fuera de su rango habitual, no que el conflicto lo haya causado.</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fill="1F2A33"/>
          </w:tcPr>
          <w:p>
            <w:pPr>
              <w:spacing w:after="40"/>
            </w:pPr>
            <w:r>
              <w:rPr>
                <w:rFonts w:ascii="Calibri" w:hAnsi="Calibri"/>
                <w:b/>
                <w:i w:val="0"/>
                <w:color w:val="FFFFFF"/>
                <w:sz w:val="18"/>
              </w:rPr>
              <w:t>Activo</w:t>
            </w:r>
          </w:p>
        </w:tc>
        <w:tc>
          <w:tcPr>
            <w:tcW w:type="dxa" w:w="1872"/>
            <w:shd w:val="clear" w:fill="1F2A33"/>
          </w:tcPr>
          <w:p>
            <w:pPr>
              <w:spacing w:after="40"/>
            </w:pPr>
            <w:r>
              <w:rPr>
                <w:rFonts w:ascii="Calibri" w:hAnsi="Calibri"/>
                <w:b/>
                <w:i w:val="0"/>
                <w:color w:val="FFFFFF"/>
                <w:sz w:val="18"/>
              </w:rPr>
              <w:t>Teatro / Conflicto</w:t>
            </w:r>
          </w:p>
        </w:tc>
        <w:tc>
          <w:tcPr>
            <w:tcW w:type="dxa" w:w="1872"/>
            <w:shd w:val="clear" w:fill="1F2A33"/>
          </w:tcPr>
          <w:p>
            <w:pPr>
              <w:spacing w:after="40"/>
            </w:pPr>
            <w:r>
              <w:rPr>
                <w:rFonts w:ascii="Calibri" w:hAnsi="Calibri"/>
                <w:b/>
                <w:i w:val="0"/>
                <w:color w:val="FFFFFF"/>
                <w:sz w:val="18"/>
              </w:rPr>
              <w:t>1 día</w:t>
            </w:r>
          </w:p>
        </w:tc>
        <w:tc>
          <w:tcPr>
            <w:tcW w:type="dxa" w:w="1872"/>
            <w:shd w:val="clear" w:fill="1F2A33"/>
          </w:tcPr>
          <w:p>
            <w:pPr>
              <w:spacing w:after="40"/>
            </w:pPr>
            <w:r>
              <w:rPr>
                <w:rFonts w:ascii="Calibri" w:hAnsi="Calibri"/>
                <w:b/>
                <w:i w:val="0"/>
                <w:color w:val="FFFFFF"/>
                <w:sz w:val="18"/>
              </w:rPr>
              <w:t>30 días</w:t>
            </w:r>
          </w:p>
        </w:tc>
        <w:tc>
          <w:tcPr>
            <w:tcW w:type="dxa" w:w="1872"/>
            <w:shd w:val="clear" w:fill="1F2A33"/>
          </w:tcPr>
          <w:p>
            <w:pPr>
              <w:spacing w:after="40"/>
            </w:pPr>
            <w:r>
              <w:rPr>
                <w:rFonts w:ascii="Calibri" w:hAnsi="Calibri"/>
                <w:b/>
                <w:i w:val="0"/>
                <w:color w:val="FFFFFF"/>
                <w:sz w:val="18"/>
              </w:rPr>
              <w:t>Desvíos (z)</w:t>
            </w:r>
          </w:p>
        </w:tc>
      </w:tr>
      <w:tr>
        <w:tc>
          <w:tcPr>
            <w:tcW w:type="dxa" w:w="1872"/>
          </w:tcPr>
          <w:p>
            <w:r>
              <w:rPr>
                <w:rFonts w:ascii="Calibri" w:hAnsi="Calibri"/>
                <w:b/>
                <w:i w:val="0"/>
                <w:color w:val="1F2A33"/>
                <w:sz w:val="19"/>
              </w:rPr>
              <w:t>ZC=F</w:t>
            </w:r>
            <w:r>
              <w:rPr>
                <w:rFonts w:ascii="Calibri" w:hAnsi="Calibri"/>
                <w:b w:val="0"/>
                <w:i w:val="0"/>
                <w:color w:val="5A6470"/>
                <w:sz w:val="16"/>
              </w:rPr>
              <w:br/>
              <w:t>Futuros de Maíz</w:t>
            </w:r>
          </w:p>
        </w:tc>
        <w:tc>
          <w:tcPr>
            <w:tcW w:type="dxa" w:w="1872"/>
          </w:tcPr>
          <w:p>
            <w:r>
              <w:rPr>
                <w:rFonts w:ascii="Calibri" w:hAnsi="Calibri"/>
                <w:b w:val="0"/>
                <w:i w:val="0"/>
                <w:color w:val="26413C"/>
                <w:sz w:val="18"/>
              </w:rPr>
              <w:t>Rusia–Ucrania</w:t>
            </w:r>
            <w:r>
              <w:rPr>
                <w:rFonts w:ascii="Calibri" w:hAnsi="Calibri"/>
                <w:b w:val="0"/>
                <w:i w:val="0"/>
                <w:color w:val="5A6470"/>
                <w:sz w:val="17"/>
              </w:rPr>
              <w:br/>
              <w:t>Rusia - Ucrania</w:t>
            </w:r>
          </w:p>
        </w:tc>
        <w:tc>
          <w:tcPr>
            <w:tcW w:type="dxa" w:w="1872"/>
          </w:tcPr>
          <w:p>
            <w:pPr>
              <w:jc w:val="right"/>
            </w:pPr>
            <w:r>
              <w:rPr>
                <w:rFonts w:ascii="Calibri" w:hAnsi="Calibri"/>
                <w:b/>
                <w:i w:val="0"/>
                <w:color w:val="1F6F4A"/>
                <w:sz w:val="19"/>
              </w:rPr>
              <w:t>+12.10%</w:t>
            </w:r>
          </w:p>
        </w:tc>
        <w:tc>
          <w:tcPr>
            <w:tcW w:type="dxa" w:w="1872"/>
          </w:tcPr>
          <w:p>
            <w:pPr>
              <w:jc w:val="right"/>
            </w:pPr>
            <w:r>
              <w:rPr>
                <w:rFonts w:ascii="Calibri" w:hAnsi="Calibri"/>
                <w:b/>
                <w:i w:val="0"/>
                <w:color w:val="A33A2E"/>
                <w:sz w:val="19"/>
              </w:rPr>
              <w:t>-5.73%</w:t>
            </w:r>
          </w:p>
        </w:tc>
        <w:tc>
          <w:tcPr>
            <w:tcW w:type="dxa" w:w="1872"/>
          </w:tcPr>
          <w:p>
            <w:pPr>
              <w:jc w:val="right"/>
            </w:pPr>
            <w:r>
              <w:rPr>
                <w:rFonts w:ascii="Calibri" w:hAnsi="Calibri"/>
                <w:b/>
                <w:i w:val="0"/>
                <w:color w:val="7A6A3F"/>
                <w:sz w:val="19"/>
              </w:rPr>
              <w:t>+3.32</w:t>
            </w:r>
          </w:p>
        </w:tc>
      </w:tr>
      <w:tr>
        <w:tc>
          <w:tcPr>
            <w:tcW w:type="dxa" w:w="1872"/>
          </w:tcPr>
          <w:p>
            <w:r>
              <w:rPr>
                <w:rFonts w:ascii="Calibri" w:hAnsi="Calibri"/>
                <w:b/>
                <w:i w:val="0"/>
                <w:color w:val="1F2A33"/>
                <w:sz w:val="19"/>
              </w:rPr>
              <w:t>MP</w:t>
            </w:r>
            <w:r>
              <w:rPr>
                <w:rFonts w:ascii="Calibri" w:hAnsi="Calibri"/>
                <w:b w:val="0"/>
                <w:i w:val="0"/>
                <w:color w:val="5A6470"/>
                <w:sz w:val="16"/>
              </w:rPr>
              <w:br/>
              <w:t>MP Materials</w:t>
            </w:r>
          </w:p>
        </w:tc>
        <w:tc>
          <w:tcPr>
            <w:tcW w:type="dxa" w:w="1872"/>
          </w:tcPr>
          <w:p>
            <w:r>
              <w:rPr>
                <w:rFonts w:ascii="Calibri" w:hAnsi="Calibri"/>
                <w:b w:val="0"/>
                <w:i w:val="0"/>
                <w:color w:val="26413C"/>
                <w:sz w:val="18"/>
              </w:rPr>
              <w:t>Indo-Pacífico</w:t>
            </w:r>
            <w:r>
              <w:rPr>
                <w:rFonts w:ascii="Calibri" w:hAnsi="Calibri"/>
                <w:b w:val="0"/>
                <w:i w:val="0"/>
                <w:color w:val="5A6470"/>
                <w:sz w:val="17"/>
              </w:rPr>
              <w:br/>
              <w:t>China - Taiwán</w:t>
            </w:r>
          </w:p>
        </w:tc>
        <w:tc>
          <w:tcPr>
            <w:tcW w:type="dxa" w:w="1872"/>
          </w:tcPr>
          <w:p>
            <w:pPr>
              <w:jc w:val="right"/>
            </w:pPr>
            <w:r>
              <w:rPr>
                <w:rFonts w:ascii="Calibri" w:hAnsi="Calibri"/>
                <w:b/>
                <w:i w:val="0"/>
                <w:color w:val="1F6F4A"/>
                <w:sz w:val="19"/>
              </w:rPr>
              <w:t>+5.80%</w:t>
            </w:r>
          </w:p>
        </w:tc>
        <w:tc>
          <w:tcPr>
            <w:tcW w:type="dxa" w:w="1872"/>
          </w:tcPr>
          <w:p>
            <w:pPr>
              <w:jc w:val="right"/>
            </w:pPr>
            <w:r>
              <w:rPr>
                <w:rFonts w:ascii="Calibri" w:hAnsi="Calibri"/>
                <w:b/>
                <w:i w:val="0"/>
                <w:color w:val="1F6F4A"/>
                <w:sz w:val="19"/>
              </w:rPr>
              <w:t>+4.33%</w:t>
            </w:r>
          </w:p>
        </w:tc>
        <w:tc>
          <w:tcPr>
            <w:tcW w:type="dxa" w:w="1872"/>
          </w:tcPr>
          <w:p>
            <w:pPr>
              <w:jc w:val="right"/>
            </w:pPr>
            <w:r>
              <w:rPr>
                <w:rFonts w:ascii="Calibri" w:hAnsi="Calibri"/>
                <w:b/>
                <w:i w:val="0"/>
                <w:color w:val="7A6A3F"/>
                <w:sz w:val="19"/>
              </w:rPr>
              <w:t>+2.40</w:t>
            </w:r>
          </w:p>
        </w:tc>
      </w:tr>
      <w:tr>
        <w:tc>
          <w:tcPr>
            <w:tcW w:type="dxa" w:w="1872"/>
          </w:tcPr>
          <w:p>
            <w:r>
              <w:rPr>
                <w:rFonts w:ascii="Calibri" w:hAnsi="Calibri"/>
                <w:b/>
                <w:i w:val="0"/>
                <w:color w:val="1F2A33"/>
                <w:sz w:val="19"/>
              </w:rPr>
              <w:t>BZ=F</w:t>
            </w:r>
            <w:r>
              <w:rPr>
                <w:rFonts w:ascii="Calibri" w:hAnsi="Calibri"/>
                <w:b w:val="0"/>
                <w:i w:val="0"/>
                <w:color w:val="5A6470"/>
                <w:sz w:val="16"/>
              </w:rPr>
              <w:br/>
              <w:t>Petróleo Brent</w:t>
            </w:r>
          </w:p>
        </w:tc>
        <w:tc>
          <w:tcPr>
            <w:tcW w:type="dxa" w:w="1872"/>
          </w:tcPr>
          <w:p>
            <w:r>
              <w:rPr>
                <w:rFonts w:ascii="Calibri" w:hAnsi="Calibri"/>
                <w:b w:val="0"/>
                <w:i w:val="0"/>
                <w:color w:val="26413C"/>
                <w:sz w:val="18"/>
              </w:rPr>
              <w:t>Rusia–Ucrania</w:t>
            </w:r>
            <w:r>
              <w:rPr>
                <w:rFonts w:ascii="Calibri" w:hAnsi="Calibri"/>
                <w:b w:val="0"/>
                <w:i w:val="0"/>
                <w:color w:val="5A6470"/>
                <w:sz w:val="17"/>
              </w:rPr>
              <w:br/>
              <w:t>Rusia - Ucrania</w:t>
            </w:r>
          </w:p>
        </w:tc>
        <w:tc>
          <w:tcPr>
            <w:tcW w:type="dxa" w:w="1872"/>
          </w:tcPr>
          <w:p>
            <w:pPr>
              <w:jc w:val="right"/>
            </w:pPr>
            <w:r>
              <w:rPr>
                <w:rFonts w:ascii="Calibri" w:hAnsi="Calibri"/>
                <w:b/>
                <w:i w:val="0"/>
                <w:color w:val="1F6F4A"/>
                <w:sz w:val="19"/>
              </w:rPr>
              <w:t>+4.90%</w:t>
            </w:r>
          </w:p>
        </w:tc>
        <w:tc>
          <w:tcPr>
            <w:tcW w:type="dxa" w:w="1872"/>
          </w:tcPr>
          <w:p>
            <w:pPr>
              <w:jc w:val="right"/>
            </w:pPr>
            <w:r>
              <w:rPr>
                <w:rFonts w:ascii="Calibri" w:hAnsi="Calibri"/>
                <w:b/>
                <w:i w:val="0"/>
                <w:color w:val="1F6F4A"/>
                <w:sz w:val="19"/>
              </w:rPr>
              <w:t>+6.22%</w:t>
            </w:r>
          </w:p>
        </w:tc>
        <w:tc>
          <w:tcPr>
            <w:tcW w:type="dxa" w:w="1872"/>
          </w:tcPr>
          <w:p>
            <w:pPr>
              <w:jc w:val="right"/>
            </w:pPr>
            <w:r>
              <w:rPr>
                <w:rFonts w:ascii="Calibri" w:hAnsi="Calibri"/>
                <w:b/>
                <w:i w:val="0"/>
                <w:color w:val="7A6A3F"/>
                <w:sz w:val="19"/>
              </w:rPr>
              <w:t>+2.05</w:t>
            </w:r>
          </w:p>
        </w:tc>
      </w:tr>
      <w:tr>
        <w:tc>
          <w:tcPr>
            <w:tcW w:type="dxa" w:w="1872"/>
          </w:tcPr>
          <w:p>
            <w:r>
              <w:rPr>
                <w:rFonts w:ascii="Calibri" w:hAnsi="Calibri"/>
                <w:b/>
                <w:i w:val="0"/>
                <w:color w:val="1F2A33"/>
                <w:sz w:val="19"/>
              </w:rPr>
              <w:t>ZIM</w:t>
            </w:r>
            <w:r>
              <w:rPr>
                <w:rFonts w:ascii="Calibri" w:hAnsi="Calibri"/>
                <w:b w:val="0"/>
                <w:i w:val="0"/>
                <w:color w:val="5A6470"/>
                <w:sz w:val="16"/>
              </w:rPr>
              <w:br/>
              <w:t>Zim Integrated Shipping</w:t>
            </w:r>
          </w:p>
        </w:tc>
        <w:tc>
          <w:tcPr>
            <w:tcW w:type="dxa" w:w="1872"/>
          </w:tcPr>
          <w:p>
            <w:r>
              <w:rPr>
                <w:rFonts w:ascii="Calibri" w:hAnsi="Calibri"/>
                <w:b w:val="0"/>
                <w:i w:val="0"/>
                <w:color w:val="26413C"/>
                <w:sz w:val="18"/>
              </w:rPr>
              <w:t>Complejo Israel–Irán</w:t>
            </w:r>
            <w:r>
              <w:rPr>
                <w:rFonts w:ascii="Calibri" w:hAnsi="Calibri"/>
                <w:b w:val="0"/>
                <w:i w:val="0"/>
                <w:color w:val="5A6470"/>
                <w:sz w:val="17"/>
              </w:rPr>
              <w:br/>
              <w:t>Irán–Israel–EE.UU.</w:t>
            </w:r>
          </w:p>
        </w:tc>
        <w:tc>
          <w:tcPr>
            <w:tcW w:type="dxa" w:w="1872"/>
          </w:tcPr>
          <w:p>
            <w:pPr>
              <w:jc w:val="right"/>
            </w:pPr>
            <w:r>
              <w:rPr>
                <w:rFonts w:ascii="Calibri" w:hAnsi="Calibri"/>
                <w:b/>
                <w:i w:val="0"/>
                <w:color w:val="1F6F4A"/>
                <w:sz w:val="19"/>
              </w:rPr>
              <w:t>+7.20%</w:t>
            </w:r>
          </w:p>
        </w:tc>
        <w:tc>
          <w:tcPr>
            <w:tcW w:type="dxa" w:w="1872"/>
          </w:tcPr>
          <w:p>
            <w:pPr>
              <w:jc w:val="right"/>
            </w:pPr>
            <w:r>
              <w:rPr>
                <w:rFonts w:ascii="Calibri" w:hAnsi="Calibri"/>
                <w:b/>
                <w:i w:val="0"/>
                <w:color w:val="A33A2E"/>
                <w:sz w:val="19"/>
              </w:rPr>
              <w:t>-0.75%</w:t>
            </w:r>
          </w:p>
        </w:tc>
        <w:tc>
          <w:tcPr>
            <w:tcW w:type="dxa" w:w="1872"/>
          </w:tcPr>
          <w:p>
            <w:pPr>
              <w:jc w:val="right"/>
            </w:pPr>
            <w:r>
              <w:rPr>
                <w:rFonts w:ascii="Calibri" w:hAnsi="Calibri"/>
                <w:b/>
                <w:i w:val="0"/>
                <w:color w:val="7A6A3F"/>
                <w:sz w:val="19"/>
              </w:rPr>
              <w:t>+1.90</w:t>
            </w:r>
          </w:p>
        </w:tc>
      </w:tr>
    </w:tbl>
    <w:p>
      <w:pPr>
        <w:spacing w:before="280" w:after="0"/>
      </w:pPr>
      <w:r>
        <w:rPr>
          <w:rFonts w:ascii="Calibri" w:hAnsi="Calibri"/>
          <w:b/>
          <w:i w:val="0"/>
          <w:color w:val="26413C"/>
          <w:sz w:val="18"/>
        </w:rPr>
        <w:t>RUSIA–UCRANIA</w:t>
      </w:r>
    </w:p>
    <w:p>
      <w:pPr>
        <w:spacing w:after="120"/>
      </w:pPr>
      <w:r>
        <w:rPr>
          <w:rFonts w:ascii="Calibri" w:hAnsi="Calibri"/>
          <w:b/>
          <w:i w:val="0"/>
          <w:color w:val="1F2A33"/>
          <w:sz w:val="30"/>
        </w:rPr>
        <w:t>El grano como palanca, cuando el grano se mueve solo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3A464E"/>
          </w:tcPr>
          <w:p>
            <w:r>
              <w:rPr>
                <w:rFonts w:ascii="Calibri" w:hAnsi="Calibri"/>
                <w:b/>
                <w:i w:val="0"/>
                <w:color w:val="FFFFFF"/>
                <w:sz w:val="17"/>
              </w:rPr>
              <w:t>Activo</w:t>
            </w:r>
          </w:p>
        </w:tc>
        <w:tc>
          <w:tcPr>
            <w:tcW w:type="dxa" w:w="1560"/>
            <w:shd w:val="clear" w:fill="3A464E"/>
          </w:tcPr>
          <w:p>
            <w:r>
              <w:rPr>
                <w:rFonts w:ascii="Calibri" w:hAnsi="Calibri"/>
                <w:b/>
                <w:i w:val="0"/>
                <w:color w:val="FFFFFF"/>
                <w:sz w:val="17"/>
              </w:rPr>
              <w:t>Recurso</w:t>
            </w:r>
          </w:p>
        </w:tc>
        <w:tc>
          <w:tcPr>
            <w:tcW w:type="dxa" w:w="1560"/>
            <w:shd w:val="clear" w:fill="3A464E"/>
          </w:tcPr>
          <w:p>
            <w:r>
              <w:rPr>
                <w:rFonts w:ascii="Calibri" w:hAnsi="Calibri"/>
                <w:b/>
                <w:i w:val="0"/>
                <w:color w:val="FFFFFF"/>
                <w:sz w:val="17"/>
              </w:rPr>
              <w:t>Precio</w:t>
            </w:r>
          </w:p>
        </w:tc>
        <w:tc>
          <w:tcPr>
            <w:tcW w:type="dxa" w:w="1560"/>
            <w:shd w:val="clear" w:fill="3A464E"/>
          </w:tcPr>
          <w:p>
            <w:r>
              <w:rPr>
                <w:rFonts w:ascii="Calibri" w:hAnsi="Calibri"/>
                <w:b/>
                <w:i w:val="0"/>
                <w:color w:val="FFFFFF"/>
                <w:sz w:val="17"/>
              </w:rPr>
              <w:t>1 d</w:t>
            </w:r>
          </w:p>
        </w:tc>
        <w:tc>
          <w:tcPr>
            <w:tcW w:type="dxa" w:w="1560"/>
            <w:shd w:val="clear" w:fill="3A464E"/>
          </w:tcPr>
          <w:p>
            <w:r>
              <w:rPr>
                <w:rFonts w:ascii="Calibri" w:hAnsi="Calibri"/>
                <w:b/>
                <w:i w:val="0"/>
                <w:color w:val="FFFFFF"/>
                <w:sz w:val="17"/>
              </w:rPr>
              <w:t>30 d</w:t>
            </w:r>
          </w:p>
        </w:tc>
        <w:tc>
          <w:tcPr>
            <w:tcW w:type="dxa" w:w="1560"/>
            <w:shd w:val="clear" w:fill="3A464E"/>
          </w:tcPr>
          <w:p>
            <w:r>
              <w:rPr>
                <w:rFonts w:ascii="Calibri" w:hAnsi="Calibri"/>
                <w:b/>
                <w:i w:val="0"/>
                <w:color w:val="FFFFFF"/>
                <w:sz w:val="17"/>
              </w:rPr>
              <w:t>Vol 30d</w:t>
            </w:r>
          </w:p>
        </w:tc>
      </w:tr>
      <w:tr>
        <w:tc>
          <w:tcPr>
            <w:tcW w:type="dxa" w:w="1560"/>
          </w:tcPr>
          <w:p>
            <w:r>
              <w:rPr>
                <w:rFonts w:ascii="Calibri" w:hAnsi="Calibri"/>
                <w:b/>
                <w:i w:val="0"/>
                <w:color w:val="1F2A33"/>
                <w:sz w:val="18"/>
              </w:rPr>
              <w:t>BZ=F</w:t>
            </w:r>
          </w:p>
        </w:tc>
        <w:tc>
          <w:tcPr>
            <w:tcW w:type="dxa" w:w="1560"/>
          </w:tcPr>
          <w:p>
            <w:r>
              <w:rPr>
                <w:rFonts w:ascii="Calibri" w:hAnsi="Calibri"/>
                <w:b w:val="0"/>
                <w:i w:val="0"/>
                <w:color w:val="222A30"/>
                <w:sz w:val="17"/>
              </w:rPr>
              <w:t>Petróleo crudo</w:t>
            </w:r>
          </w:p>
        </w:tc>
        <w:tc>
          <w:tcPr>
            <w:tcW w:type="dxa" w:w="1560"/>
          </w:tcPr>
          <w:p>
            <w:pPr>
              <w:jc w:val="right"/>
            </w:pPr>
            <w:r>
              <w:rPr>
                <w:rFonts w:ascii="Calibri" w:hAnsi="Calibri"/>
                <w:b w:val="0"/>
                <w:i w:val="0"/>
                <w:color w:val="222A30"/>
                <w:sz w:val="18"/>
              </w:rPr>
              <w:t>191.9</w:t>
            </w:r>
          </w:p>
        </w:tc>
        <w:tc>
          <w:tcPr>
            <w:tcW w:type="dxa" w:w="1560"/>
          </w:tcPr>
          <w:p>
            <w:pPr>
              <w:jc w:val="right"/>
            </w:pPr>
            <w:r>
              <w:rPr>
                <w:rFonts w:ascii="Calibri" w:hAnsi="Calibri"/>
                <w:b/>
                <w:i w:val="0"/>
                <w:color w:val="1F6F4A"/>
                <w:sz w:val="19"/>
              </w:rPr>
              <w:t>+4.90%</w:t>
            </w:r>
          </w:p>
        </w:tc>
        <w:tc>
          <w:tcPr>
            <w:tcW w:type="dxa" w:w="1560"/>
          </w:tcPr>
          <w:p>
            <w:pPr>
              <w:jc w:val="right"/>
            </w:pPr>
            <w:r>
              <w:rPr>
                <w:rFonts w:ascii="Calibri" w:hAnsi="Calibri"/>
                <w:b/>
                <w:i w:val="0"/>
                <w:color w:val="1F6F4A"/>
                <w:sz w:val="19"/>
              </w:rPr>
              <w:t>+10.18%</w:t>
            </w:r>
          </w:p>
        </w:tc>
        <w:tc>
          <w:tcPr>
            <w:tcW w:type="dxa" w:w="1560"/>
          </w:tcPr>
          <w:p>
            <w:pPr>
              <w:jc w:val="right"/>
            </w:pPr>
            <w:r>
              <w:rPr>
                <w:rFonts w:ascii="Calibri" w:hAnsi="Calibri"/>
                <w:b w:val="0"/>
                <w:i w:val="0"/>
                <w:color w:val="5A6470"/>
                <w:sz w:val="18"/>
              </w:rPr>
              <w:t>30.24%</w:t>
            </w:r>
          </w:p>
        </w:tc>
      </w:tr>
      <w:tr>
        <w:tc>
          <w:tcPr>
            <w:tcW w:type="dxa" w:w="1560"/>
          </w:tcPr>
          <w:p>
            <w:r>
              <w:rPr>
                <w:rFonts w:ascii="Calibri" w:hAnsi="Calibri"/>
                <w:b/>
                <w:i w:val="0"/>
                <w:color w:val="1F2A33"/>
                <w:sz w:val="18"/>
              </w:rPr>
              <w:t>ZC=F</w:t>
            </w:r>
          </w:p>
        </w:tc>
        <w:tc>
          <w:tcPr>
            <w:tcW w:type="dxa" w:w="1560"/>
          </w:tcPr>
          <w:p>
            <w:r>
              <w:rPr>
                <w:rFonts w:ascii="Calibri" w:hAnsi="Calibri"/>
                <w:b w:val="0"/>
                <w:i w:val="0"/>
                <w:color w:val="222A30"/>
                <w:sz w:val="17"/>
              </w:rPr>
              <w:t>Maíz</w:t>
            </w:r>
          </w:p>
        </w:tc>
        <w:tc>
          <w:tcPr>
            <w:tcW w:type="dxa" w:w="1560"/>
          </w:tcPr>
          <w:p>
            <w:pPr>
              <w:jc w:val="right"/>
            </w:pPr>
            <w:r>
              <w:rPr>
                <w:rFonts w:ascii="Calibri" w:hAnsi="Calibri"/>
                <w:b w:val="0"/>
                <w:i w:val="0"/>
                <w:color w:val="222A30"/>
                <w:sz w:val="18"/>
              </w:rPr>
              <w:t>339.28</w:t>
            </w:r>
          </w:p>
        </w:tc>
        <w:tc>
          <w:tcPr>
            <w:tcW w:type="dxa" w:w="1560"/>
          </w:tcPr>
          <w:p>
            <w:pPr>
              <w:jc w:val="right"/>
            </w:pPr>
            <w:r>
              <w:rPr>
                <w:rFonts w:ascii="Calibri" w:hAnsi="Calibri"/>
                <w:b/>
                <w:i w:val="0"/>
                <w:color w:val="1F6F4A"/>
                <w:sz w:val="19"/>
              </w:rPr>
              <w:t>+12.10%</w:t>
            </w:r>
          </w:p>
        </w:tc>
        <w:tc>
          <w:tcPr>
            <w:tcW w:type="dxa" w:w="1560"/>
          </w:tcPr>
          <w:p>
            <w:pPr>
              <w:jc w:val="right"/>
            </w:pPr>
            <w:r>
              <w:rPr>
                <w:rFonts w:ascii="Calibri" w:hAnsi="Calibri"/>
                <w:b/>
                <w:i w:val="0"/>
                <w:color w:val="A33A2E"/>
                <w:sz w:val="19"/>
              </w:rPr>
              <w:t>-4.43%</w:t>
            </w:r>
          </w:p>
        </w:tc>
        <w:tc>
          <w:tcPr>
            <w:tcW w:type="dxa" w:w="1560"/>
          </w:tcPr>
          <w:p>
            <w:pPr>
              <w:jc w:val="right"/>
            </w:pPr>
            <w:r>
              <w:rPr>
                <w:rFonts w:ascii="Calibri" w:hAnsi="Calibri"/>
                <w:b w:val="0"/>
                <w:i w:val="0"/>
                <w:color w:val="5A6470"/>
                <w:sz w:val="18"/>
              </w:rPr>
              <w:t>23.67%</w:t>
            </w:r>
          </w:p>
        </w:tc>
      </w:tr>
    </w:tbl>
    <w:p>
      <w:pPr>
        <w:spacing w:after="40"/>
      </w:pPr>
    </w:p>
    <w:p>
      <w:pPr>
        <w:spacing w:after="160" w:line="307" w:lineRule="auto"/>
      </w:pPr>
      <w:r>
        <w:rPr>
          <w:rFonts w:ascii="Calibri" w:hAnsi="Calibri"/>
          <w:b w:val="0"/>
          <w:i w:val="0"/>
          <w:color w:val="222A30"/>
          <w:sz w:val="22"/>
        </w:rPr>
        <w:t>El maíz encabezó las señales del mes con un salto de 12% en una jornada. El nodo Rusia-Ucrania es el único del monitor donde la exposición agrícola es estructural, así que un movimiento de esta magnitud exige verificación antes que interpretación. La prueba es interna y está en el propio teatro: el trigo y los fertilizantes. Si los tres se movieron juntos, lo que se activó fue el vector agrícola de la guerra, y la lectura correcta apunta al Mar Negro y a las rutas de exportación. Si el maíz se movió aislado, el factor es un dato de inventarios o una condición climática del Medio Oeste estadounidense, ajeno al conflicto.</w:t>
      </w:r>
    </w:p>
    <w:p>
      <w:pPr>
        <w:spacing w:after="160" w:line="307" w:lineRule="auto"/>
      </w:pPr>
      <w:r>
        <w:rPr>
          <w:rFonts w:ascii="Calibri" w:hAnsi="Calibri"/>
          <w:b w:val="0"/>
          <w:i w:val="0"/>
          <w:color w:val="222A30"/>
          <w:sz w:val="22"/>
        </w:rPr>
        <w:t>La consecuencia para la región no depende de cuál de las dos hipótesis se confirme, pero cambia de signo. Un shock de oferta originado en la guerra reposiciona a los exportadores del Cono Sur como sustitutos residuales y mejora los términos de intercambio agrícolas de Argentina y Brasil. Un shock climático estadounidense mueve el precio sin abrir esa ventana. La diferencia entre una cosa y la otra es lo que un decisor del agro necesita saber, y es precisamente lo que un gráfico de precios no le dice.</w:t>
      </w:r>
    </w:p>
    <w:p>
      <w:pPr>
        <w:spacing w:before="280" w:after="0"/>
      </w:pPr>
      <w:r>
        <w:rPr>
          <w:rFonts w:ascii="Calibri" w:hAnsi="Calibri"/>
          <w:b/>
          <w:i w:val="0"/>
          <w:color w:val="26413C"/>
          <w:sz w:val="18"/>
        </w:rPr>
        <w:t>COMPLEJO ISRAEL–IRÁN</w:t>
      </w:r>
    </w:p>
    <w:p>
      <w:pPr>
        <w:spacing w:after="120"/>
      </w:pPr>
      <w:r>
        <w:rPr>
          <w:rFonts w:ascii="Calibri" w:hAnsi="Calibri"/>
          <w:b/>
          <w:i w:val="0"/>
          <w:color w:val="1F2A33"/>
          <w:sz w:val="30"/>
        </w:rPr>
        <w:t>Ormuz sostiene la prima, la logística la amplifica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3A464E"/>
          </w:tcPr>
          <w:p>
            <w:r>
              <w:rPr>
                <w:rFonts w:ascii="Calibri" w:hAnsi="Calibri"/>
                <w:b/>
                <w:i w:val="0"/>
                <w:color w:val="FFFFFF"/>
                <w:sz w:val="17"/>
              </w:rPr>
              <w:t>Activo</w:t>
            </w:r>
          </w:p>
        </w:tc>
        <w:tc>
          <w:tcPr>
            <w:tcW w:type="dxa" w:w="1560"/>
            <w:shd w:val="clear" w:fill="3A464E"/>
          </w:tcPr>
          <w:p>
            <w:r>
              <w:rPr>
                <w:rFonts w:ascii="Calibri" w:hAnsi="Calibri"/>
                <w:b/>
                <w:i w:val="0"/>
                <w:color w:val="FFFFFF"/>
                <w:sz w:val="17"/>
              </w:rPr>
              <w:t>Recurso</w:t>
            </w:r>
          </w:p>
        </w:tc>
        <w:tc>
          <w:tcPr>
            <w:tcW w:type="dxa" w:w="1560"/>
            <w:shd w:val="clear" w:fill="3A464E"/>
          </w:tcPr>
          <w:p>
            <w:r>
              <w:rPr>
                <w:rFonts w:ascii="Calibri" w:hAnsi="Calibri"/>
                <w:b/>
                <w:i w:val="0"/>
                <w:color w:val="FFFFFF"/>
                <w:sz w:val="17"/>
              </w:rPr>
              <w:t>Precio</w:t>
            </w:r>
          </w:p>
        </w:tc>
        <w:tc>
          <w:tcPr>
            <w:tcW w:type="dxa" w:w="1560"/>
            <w:shd w:val="clear" w:fill="3A464E"/>
          </w:tcPr>
          <w:p>
            <w:r>
              <w:rPr>
                <w:rFonts w:ascii="Calibri" w:hAnsi="Calibri"/>
                <w:b/>
                <w:i w:val="0"/>
                <w:color w:val="FFFFFF"/>
                <w:sz w:val="17"/>
              </w:rPr>
              <w:t>1 d</w:t>
            </w:r>
          </w:p>
        </w:tc>
        <w:tc>
          <w:tcPr>
            <w:tcW w:type="dxa" w:w="1560"/>
            <w:shd w:val="clear" w:fill="3A464E"/>
          </w:tcPr>
          <w:p>
            <w:r>
              <w:rPr>
                <w:rFonts w:ascii="Calibri" w:hAnsi="Calibri"/>
                <w:b/>
                <w:i w:val="0"/>
                <w:color w:val="FFFFFF"/>
                <w:sz w:val="17"/>
              </w:rPr>
              <w:t>30 d</w:t>
            </w:r>
          </w:p>
        </w:tc>
        <w:tc>
          <w:tcPr>
            <w:tcW w:type="dxa" w:w="1560"/>
            <w:shd w:val="clear" w:fill="3A464E"/>
          </w:tcPr>
          <w:p>
            <w:r>
              <w:rPr>
                <w:rFonts w:ascii="Calibri" w:hAnsi="Calibri"/>
                <w:b/>
                <w:i w:val="0"/>
                <w:color w:val="FFFFFF"/>
                <w:sz w:val="17"/>
              </w:rPr>
              <w:t>Vol 30d</w:t>
            </w:r>
          </w:p>
        </w:tc>
      </w:tr>
      <w:tr>
        <w:tc>
          <w:tcPr>
            <w:tcW w:type="dxa" w:w="1560"/>
          </w:tcPr>
          <w:p>
            <w:r>
              <w:rPr>
                <w:rFonts w:ascii="Calibri" w:hAnsi="Calibri"/>
                <w:b/>
                <w:i w:val="0"/>
                <w:color w:val="1F2A33"/>
                <w:sz w:val="18"/>
              </w:rPr>
              <w:t>BZ=F</w:t>
            </w:r>
          </w:p>
        </w:tc>
        <w:tc>
          <w:tcPr>
            <w:tcW w:type="dxa" w:w="1560"/>
          </w:tcPr>
          <w:p>
            <w:r>
              <w:rPr>
                <w:rFonts w:ascii="Calibri" w:hAnsi="Calibri"/>
                <w:b w:val="0"/>
                <w:i w:val="0"/>
                <w:color w:val="222A30"/>
                <w:sz w:val="17"/>
              </w:rPr>
              <w:t>Petróleo crudo</w:t>
            </w:r>
          </w:p>
        </w:tc>
        <w:tc>
          <w:tcPr>
            <w:tcW w:type="dxa" w:w="1560"/>
          </w:tcPr>
          <w:p>
            <w:pPr>
              <w:jc w:val="right"/>
            </w:pPr>
            <w:r>
              <w:rPr>
                <w:rFonts w:ascii="Calibri" w:hAnsi="Calibri"/>
                <w:b w:val="0"/>
                <w:i w:val="0"/>
                <w:color w:val="222A30"/>
                <w:sz w:val="18"/>
              </w:rPr>
              <w:t>161.25</w:t>
            </w:r>
          </w:p>
        </w:tc>
        <w:tc>
          <w:tcPr>
            <w:tcW w:type="dxa" w:w="1560"/>
          </w:tcPr>
          <w:p>
            <w:pPr>
              <w:jc w:val="right"/>
            </w:pPr>
            <w:r>
              <w:rPr>
                <w:rFonts w:ascii="Calibri" w:hAnsi="Calibri"/>
                <w:b/>
                <w:i w:val="0"/>
                <w:color w:val="1F6F4A"/>
                <w:sz w:val="19"/>
              </w:rPr>
              <w:t>+4.90%</w:t>
            </w:r>
          </w:p>
        </w:tc>
        <w:tc>
          <w:tcPr>
            <w:tcW w:type="dxa" w:w="1560"/>
          </w:tcPr>
          <w:p>
            <w:pPr>
              <w:jc w:val="right"/>
            </w:pPr>
            <w:r>
              <w:rPr>
                <w:rFonts w:ascii="Calibri" w:hAnsi="Calibri"/>
                <w:b/>
                <w:i w:val="0"/>
                <w:color w:val="1F6F4A"/>
                <w:sz w:val="19"/>
              </w:rPr>
              <w:t>+11.02%</w:t>
            </w:r>
          </w:p>
        </w:tc>
        <w:tc>
          <w:tcPr>
            <w:tcW w:type="dxa" w:w="1560"/>
          </w:tcPr>
          <w:p>
            <w:pPr>
              <w:jc w:val="right"/>
            </w:pPr>
            <w:r>
              <w:rPr>
                <w:rFonts w:ascii="Calibri" w:hAnsi="Calibri"/>
                <w:b w:val="0"/>
                <w:i w:val="0"/>
                <w:color w:val="5A6470"/>
                <w:sz w:val="18"/>
              </w:rPr>
              <w:t>32.24%</w:t>
            </w:r>
          </w:p>
        </w:tc>
      </w:tr>
      <w:tr>
        <w:tc>
          <w:tcPr>
            <w:tcW w:type="dxa" w:w="1560"/>
          </w:tcPr>
          <w:p>
            <w:r>
              <w:rPr>
                <w:rFonts w:ascii="Calibri" w:hAnsi="Calibri"/>
                <w:b/>
                <w:i w:val="0"/>
                <w:color w:val="1F2A33"/>
                <w:sz w:val="18"/>
              </w:rPr>
              <w:t>ZIM</w:t>
            </w:r>
          </w:p>
        </w:tc>
        <w:tc>
          <w:tcPr>
            <w:tcW w:type="dxa" w:w="1560"/>
          </w:tcPr>
          <w:p>
            <w:r>
              <w:rPr>
                <w:rFonts w:ascii="Calibri" w:hAnsi="Calibri"/>
                <w:b w:val="0"/>
                <w:i w:val="0"/>
                <w:color w:val="222A30"/>
                <w:sz w:val="17"/>
              </w:rPr>
              <w:t>Fletes marítimos</w:t>
            </w:r>
          </w:p>
        </w:tc>
        <w:tc>
          <w:tcPr>
            <w:tcW w:type="dxa" w:w="1560"/>
          </w:tcPr>
          <w:p>
            <w:pPr>
              <w:jc w:val="right"/>
            </w:pPr>
            <w:r>
              <w:rPr>
                <w:rFonts w:ascii="Calibri" w:hAnsi="Calibri"/>
                <w:b w:val="0"/>
                <w:i w:val="0"/>
                <w:color w:val="222A30"/>
                <w:sz w:val="18"/>
              </w:rPr>
              <w:t>110.59</w:t>
            </w:r>
          </w:p>
        </w:tc>
        <w:tc>
          <w:tcPr>
            <w:tcW w:type="dxa" w:w="1560"/>
          </w:tcPr>
          <w:p>
            <w:pPr>
              <w:jc w:val="right"/>
            </w:pPr>
            <w:r>
              <w:rPr>
                <w:rFonts w:ascii="Calibri" w:hAnsi="Calibri"/>
                <w:b/>
                <w:i w:val="0"/>
                <w:color w:val="1F6F4A"/>
                <w:sz w:val="19"/>
              </w:rPr>
              <w:t>+7.20%</w:t>
            </w:r>
          </w:p>
        </w:tc>
        <w:tc>
          <w:tcPr>
            <w:tcW w:type="dxa" w:w="1560"/>
          </w:tcPr>
          <w:p>
            <w:pPr>
              <w:jc w:val="right"/>
            </w:pPr>
            <w:r>
              <w:rPr>
                <w:rFonts w:ascii="Calibri" w:hAnsi="Calibri"/>
                <w:b/>
                <w:i w:val="0"/>
                <w:color w:val="A33A2E"/>
                <w:sz w:val="19"/>
              </w:rPr>
              <w:t>-5.83%</w:t>
            </w:r>
          </w:p>
        </w:tc>
        <w:tc>
          <w:tcPr>
            <w:tcW w:type="dxa" w:w="1560"/>
          </w:tcPr>
          <w:p>
            <w:pPr>
              <w:jc w:val="right"/>
            </w:pPr>
            <w:r>
              <w:rPr>
                <w:rFonts w:ascii="Calibri" w:hAnsi="Calibri"/>
                <w:b w:val="0"/>
                <w:i w:val="0"/>
                <w:color w:val="5A6470"/>
                <w:sz w:val="18"/>
              </w:rPr>
              <w:t>32.89%</w:t>
            </w:r>
          </w:p>
        </w:tc>
      </w:tr>
    </w:tbl>
    <w:p>
      <w:pPr>
        <w:spacing w:after="40"/>
      </w:pPr>
    </w:p>
    <w:p>
      <w:pPr>
        <w:spacing w:after="160" w:line="307" w:lineRule="auto"/>
      </w:pPr>
      <w:r>
        <w:rPr>
          <w:rFonts w:ascii="Calibri" w:hAnsi="Calibri"/>
          <w:b w:val="0"/>
          <w:i w:val="0"/>
          <w:color w:val="222A30"/>
          <w:sz w:val="22"/>
        </w:rPr>
        <w:t>El crudo Brent volvió a marcar señal, consistente con la escalada sostenida en torno al Estrecho de Ormuz. El movimiento del flete marítimo en el mismo período refuerza la lectura: cuando la prima energética y el costo logístico se mueven en tándem, la exposición del teatro está operando por su canal esperado, el encarecimiento simultáneo del barril y de su transporte.</w:t>
      </w:r>
    </w:p>
    <w:p>
      <w:pPr>
        <w:spacing w:after="160" w:line="307" w:lineRule="auto"/>
      </w:pPr>
      <w:r>
        <w:rPr>
          <w:rFonts w:ascii="Calibri" w:hAnsi="Calibri"/>
          <w:b w:val="0"/>
          <w:i w:val="0"/>
          <w:color w:val="222A30"/>
          <w:sz w:val="22"/>
        </w:rPr>
        <w:t>Para la región, el vector es importador. Un crudo con prima de conflicto sostenida presiona la factura energética de los países no productores y tensiona los subsidios en los que sí administran precios internos. La lectura fina para el sector energía es que el diferencial se explica por riesgo de tránsito y no por demanda, con lo que se disipa rápido si la vía se despeja.</w:t>
      </w:r>
    </w:p>
    <w:p>
      <w:pPr>
        <w:spacing w:before="280" w:after="0"/>
      </w:pPr>
      <w:r>
        <w:rPr>
          <w:rFonts w:ascii="Calibri" w:hAnsi="Calibri"/>
          <w:b/>
          <w:i w:val="0"/>
          <w:color w:val="26413C"/>
          <w:sz w:val="18"/>
        </w:rPr>
        <w:t>INDO-PACÍFICO</w:t>
      </w:r>
    </w:p>
    <w:p>
      <w:pPr>
        <w:spacing w:after="120"/>
      </w:pPr>
      <w:r>
        <w:rPr>
          <w:rFonts w:ascii="Calibri" w:hAnsi="Calibri"/>
          <w:b/>
          <w:i w:val="0"/>
          <w:color w:val="1F2A33"/>
          <w:sz w:val="30"/>
        </w:rPr>
        <w:t>La tierra rara que se lee en Beijing, no en Brasilia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3A464E"/>
          </w:tcPr>
          <w:p>
            <w:r>
              <w:rPr>
                <w:rFonts w:ascii="Calibri" w:hAnsi="Calibri"/>
                <w:b/>
                <w:i w:val="0"/>
                <w:color w:val="FFFFFF"/>
                <w:sz w:val="17"/>
              </w:rPr>
              <w:t>Activo</w:t>
            </w:r>
          </w:p>
        </w:tc>
        <w:tc>
          <w:tcPr>
            <w:tcW w:type="dxa" w:w="1560"/>
            <w:shd w:val="clear" w:fill="3A464E"/>
          </w:tcPr>
          <w:p>
            <w:r>
              <w:rPr>
                <w:rFonts w:ascii="Calibri" w:hAnsi="Calibri"/>
                <w:b/>
                <w:i w:val="0"/>
                <w:color w:val="FFFFFF"/>
                <w:sz w:val="17"/>
              </w:rPr>
              <w:t>Recurso</w:t>
            </w:r>
          </w:p>
        </w:tc>
        <w:tc>
          <w:tcPr>
            <w:tcW w:type="dxa" w:w="1560"/>
            <w:shd w:val="clear" w:fill="3A464E"/>
          </w:tcPr>
          <w:p>
            <w:r>
              <w:rPr>
                <w:rFonts w:ascii="Calibri" w:hAnsi="Calibri"/>
                <w:b/>
                <w:i w:val="0"/>
                <w:color w:val="FFFFFF"/>
                <w:sz w:val="17"/>
              </w:rPr>
              <w:t>Precio</w:t>
            </w:r>
          </w:p>
        </w:tc>
        <w:tc>
          <w:tcPr>
            <w:tcW w:type="dxa" w:w="1560"/>
            <w:shd w:val="clear" w:fill="3A464E"/>
          </w:tcPr>
          <w:p>
            <w:r>
              <w:rPr>
                <w:rFonts w:ascii="Calibri" w:hAnsi="Calibri"/>
                <w:b/>
                <w:i w:val="0"/>
                <w:color w:val="FFFFFF"/>
                <w:sz w:val="17"/>
              </w:rPr>
              <w:t>1 d</w:t>
            </w:r>
          </w:p>
        </w:tc>
        <w:tc>
          <w:tcPr>
            <w:tcW w:type="dxa" w:w="1560"/>
            <w:shd w:val="clear" w:fill="3A464E"/>
          </w:tcPr>
          <w:p>
            <w:r>
              <w:rPr>
                <w:rFonts w:ascii="Calibri" w:hAnsi="Calibri"/>
                <w:b/>
                <w:i w:val="0"/>
                <w:color w:val="FFFFFF"/>
                <w:sz w:val="17"/>
              </w:rPr>
              <w:t>30 d</w:t>
            </w:r>
          </w:p>
        </w:tc>
        <w:tc>
          <w:tcPr>
            <w:tcW w:type="dxa" w:w="1560"/>
            <w:shd w:val="clear" w:fill="3A464E"/>
          </w:tcPr>
          <w:p>
            <w:r>
              <w:rPr>
                <w:rFonts w:ascii="Calibri" w:hAnsi="Calibri"/>
                <w:b/>
                <w:i w:val="0"/>
                <w:color w:val="FFFFFF"/>
                <w:sz w:val="17"/>
              </w:rPr>
              <w:t>Vol 30d</w:t>
            </w:r>
          </w:p>
        </w:tc>
      </w:tr>
      <w:tr>
        <w:tc>
          <w:tcPr>
            <w:tcW w:type="dxa" w:w="1560"/>
          </w:tcPr>
          <w:p>
            <w:r>
              <w:rPr>
                <w:rFonts w:ascii="Calibri" w:hAnsi="Calibri"/>
                <w:b/>
                <w:i w:val="0"/>
                <w:color w:val="1F2A33"/>
                <w:sz w:val="18"/>
              </w:rPr>
              <w:t>MP</w:t>
            </w:r>
          </w:p>
        </w:tc>
        <w:tc>
          <w:tcPr>
            <w:tcW w:type="dxa" w:w="1560"/>
          </w:tcPr>
          <w:p>
            <w:r>
              <w:rPr>
                <w:rFonts w:ascii="Calibri" w:hAnsi="Calibri"/>
                <w:b w:val="0"/>
                <w:i w:val="0"/>
                <w:color w:val="222A30"/>
                <w:sz w:val="17"/>
              </w:rPr>
              <w:t>Tierras raras (alternativa)</w:t>
            </w:r>
          </w:p>
        </w:tc>
        <w:tc>
          <w:tcPr>
            <w:tcW w:type="dxa" w:w="1560"/>
          </w:tcPr>
          <w:p>
            <w:pPr>
              <w:jc w:val="right"/>
            </w:pPr>
            <w:r>
              <w:rPr>
                <w:rFonts w:ascii="Calibri" w:hAnsi="Calibri"/>
                <w:b w:val="0"/>
                <w:i w:val="0"/>
                <w:color w:val="222A30"/>
                <w:sz w:val="18"/>
              </w:rPr>
              <w:t>191.25</w:t>
            </w:r>
          </w:p>
        </w:tc>
        <w:tc>
          <w:tcPr>
            <w:tcW w:type="dxa" w:w="1560"/>
          </w:tcPr>
          <w:p>
            <w:pPr>
              <w:jc w:val="right"/>
            </w:pPr>
            <w:r>
              <w:rPr>
                <w:rFonts w:ascii="Calibri" w:hAnsi="Calibri"/>
                <w:b/>
                <w:i w:val="0"/>
                <w:color w:val="1F6F4A"/>
                <w:sz w:val="19"/>
              </w:rPr>
              <w:t>+5.80%</w:t>
            </w:r>
          </w:p>
        </w:tc>
        <w:tc>
          <w:tcPr>
            <w:tcW w:type="dxa" w:w="1560"/>
          </w:tcPr>
          <w:p>
            <w:pPr>
              <w:jc w:val="right"/>
            </w:pPr>
            <w:r>
              <w:rPr>
                <w:rFonts w:ascii="Calibri" w:hAnsi="Calibri"/>
                <w:b/>
                <w:i w:val="0"/>
                <w:color w:val="A33A2E"/>
                <w:sz w:val="19"/>
              </w:rPr>
              <w:t>-6.86%</w:t>
            </w:r>
          </w:p>
        </w:tc>
        <w:tc>
          <w:tcPr>
            <w:tcW w:type="dxa" w:w="1560"/>
          </w:tcPr>
          <w:p>
            <w:pPr>
              <w:jc w:val="right"/>
            </w:pPr>
            <w:r>
              <w:rPr>
                <w:rFonts w:ascii="Calibri" w:hAnsi="Calibri"/>
                <w:b w:val="0"/>
                <w:i w:val="0"/>
                <w:color w:val="5A6470"/>
                <w:sz w:val="18"/>
              </w:rPr>
              <w:t>33.77%</w:t>
            </w:r>
          </w:p>
        </w:tc>
      </w:tr>
    </w:tbl>
    <w:p>
      <w:pPr>
        <w:spacing w:after="40"/>
      </w:pPr>
    </w:p>
    <w:p>
      <w:pPr>
        <w:spacing w:after="160" w:line="307" w:lineRule="auto"/>
      </w:pPr>
      <w:r>
        <w:rPr>
          <w:rFonts w:ascii="Calibri" w:hAnsi="Calibri"/>
          <w:b w:val="0"/>
          <w:i w:val="0"/>
          <w:color w:val="222A30"/>
          <w:sz w:val="22"/>
        </w:rPr>
        <w:t>MP Materials marcó señal, y es el caso que mejor ilustra por qué la atribución apresurada erosiona la credibilidad. MP es un productor doméstico estadounidense y su precio lo gobierna la política china de exportación y licencias, que fija el piso y el techo del NdPr, más el respaldo del Departamento de Defensa. Está mapeado en este teatro por esa razón, como alternativa occidental al dominio chino, y ahí es donde vive su causalidad. Cualquier intento de explicarlo por eventos de otro hemisferio confunde correlación de calendario con estructura.</w:t>
      </w:r>
    </w:p>
    <w:p>
      <w:pPr>
        <w:spacing w:after="160" w:line="307" w:lineRule="auto"/>
      </w:pPr>
      <w:r>
        <w:rPr>
          <w:rFonts w:ascii="Calibri" w:hAnsi="Calibri"/>
          <w:b w:val="0"/>
          <w:i w:val="0"/>
          <w:color w:val="222A30"/>
          <w:sz w:val="22"/>
        </w:rPr>
        <w:t>La consecuencia regional es indirecta pero real. América Latina figura en el mapa de la diversificación de tierras raras fuera de China como fuente potencial, todavía en etapa exploratoria. Cada movimiento de la política china sobre este vector revalúa esos proyectos regionales, y ese es el canal por el que un decisor de minería debería leer la señal de MP.</w:t>
      </w:r>
    </w:p>
    <w:p>
      <w:pPr>
        <w:spacing w:before="280" w:after="0"/>
      </w:pPr>
      <w:r>
        <w:rPr>
          <w:rFonts w:ascii="Calibri" w:hAnsi="Calibri"/>
          <w:b/>
          <w:i w:val="0"/>
          <w:color w:val="26413C"/>
          <w:sz w:val="18"/>
        </w:rPr>
        <w:t>AMÉRICAS</w:t>
      </w:r>
    </w:p>
    <w:p>
      <w:pPr>
        <w:spacing w:after="120"/>
      </w:pPr>
      <w:r>
        <w:rPr>
          <w:rFonts w:ascii="Calibri" w:hAnsi="Calibri"/>
          <w:b/>
          <w:i w:val="0"/>
          <w:color w:val="1F2A33"/>
          <w:sz w:val="30"/>
        </w:rPr>
        <w:t>Sin señales, con una recomposición de fondo</w:t>
      </w:r>
    </w:p>
    <w:p>
      <w:pPr>
        <w:spacing w:after="160" w:line="307" w:lineRule="auto"/>
      </w:pPr>
      <w:r>
        <w:rPr>
          <w:rFonts w:ascii="Calibri" w:hAnsi="Calibri"/>
          <w:b w:val="0"/>
          <w:i w:val="0"/>
          <w:color w:val="222A30"/>
          <w:sz w:val="22"/>
        </w:rPr>
        <w:t>El teatro no marcó movimientos fuera de rango este mes, pero registra un cambio estructural que conviene anotar. Tras la absorción de Hess por Chevron, la exposición al Bloque Stabroek en aguas del Esequibo quedó repartida entre el operador y el nuevo socio, con lo que la señal más limpia sobre el diferendo Venezuela-Guyana pasa a leerse en el productor operador. La calma del tablero no equivale a calma del nodo.</w:t>
      </w:r>
    </w:p>
    <w:p>
      <w:pPr>
        <w:spacing w:before="280" w:after="0"/>
      </w:pPr>
      <w:r>
        <w:rPr>
          <w:rFonts w:ascii="Calibri" w:hAnsi="Calibri"/>
          <w:b/>
          <w:i w:val="0"/>
          <w:color w:val="26413C"/>
          <w:sz w:val="18"/>
        </w:rPr>
        <w:t>ÁFRICA DE RECURSOS CRÍTICOS</w:t>
      </w:r>
    </w:p>
    <w:p>
      <w:pPr>
        <w:spacing w:after="120"/>
      </w:pPr>
      <w:r>
        <w:rPr>
          <w:rFonts w:ascii="Calibri" w:hAnsi="Calibri"/>
          <w:b/>
          <w:i w:val="0"/>
          <w:color w:val="1F2A33"/>
          <w:sz w:val="30"/>
        </w:rPr>
        <w:t>El cinturón crítico, en vigilancia</w:t>
      </w:r>
    </w:p>
    <w:p>
      <w:pPr>
        <w:spacing w:after="160" w:line="307" w:lineRule="auto"/>
      </w:pPr>
      <w:r>
        <w:rPr>
          <w:rFonts w:ascii="Calibri" w:hAnsi="Calibri"/>
          <w:b w:val="0"/>
          <w:i w:val="0"/>
          <w:color w:val="222A30"/>
          <w:sz w:val="22"/>
        </w:rPr>
        <w:t>Sin señales de precio este mes en cobalto, uranio y GNL. El teatro se incorporó al núcleo recientemente y su valor es prospectivo: concentra los estrangulamientos de la economía de la transición, y su relevancia se activa ante disrupción de suministro más que ante movimiento de mercado. Se mantiene en vigilancia.</w:t>
      </w:r>
    </w:p>
    <w:p>
      <w:pPr>
        <w:spacing w:before="280" w:after="0"/>
      </w:pPr>
      <w:r>
        <w:rPr>
          <w:rFonts w:ascii="Calibri" w:hAnsi="Calibri"/>
          <w:b/>
          <w:i w:val="0"/>
          <w:color w:val="26413C"/>
          <w:sz w:val="18"/>
        </w:rPr>
        <w:t>PROSPECTIVA</w:t>
      </w:r>
    </w:p>
    <w:p>
      <w:pPr>
        <w:spacing w:after="120"/>
      </w:pPr>
      <w:r>
        <w:rPr>
          <w:rFonts w:ascii="Calibri" w:hAnsi="Calibri"/>
          <w:b/>
          <w:i w:val="0"/>
          <w:color w:val="1F2A33"/>
          <w:sz w:val="30"/>
        </w:rPr>
        <w:t>Señales a vigilar</w:t>
      </w:r>
    </w:p>
    <w:p>
      <w:pPr>
        <w:spacing w:after="160" w:line="307" w:lineRule="auto"/>
      </w:pPr>
      <w:r>
        <w:rPr>
          <w:rFonts w:ascii="Calibri" w:hAnsi="Calibri"/>
          <w:b w:val="0"/>
          <w:i w:val="0"/>
          <w:color w:val="222A30"/>
          <w:sz w:val="22"/>
        </w:rPr>
        <w:t>El cierre del mes deja tres frentes abiertos para el próximo período. En el agrícola, la confirmación o no del movimiento conjunto trigo-maíz-fertilizantes define si el vector de la guerra sigue activo o si julio fue un episodio idiosincrático del maíz. En el energético, la persistencia de la prima de Ormuz depende de la evolución del tránsito, y su disipación sería tan informativa como su sostenimiento. En tierras raras, cualquier ajuste en la política de licencias de exportación china revaluaría de inmediato tanto a los productores occidentales como a los proyectos regionales en etapa temprana.</w:t>
      </w:r>
    </w:p>
    <w:p>
      <w:pPr>
        <w:pBdr>
          <w:bottom w:val="single" w:sz="6" w:space="1" w:color="1F2A33"/>
        </w:pBdr>
        <w:spacing w:after="40"/>
      </w:pPr>
    </w:p>
    <w:p>
      <w:pPr>
        <w:spacing w:after="200"/>
      </w:pPr>
      <w:r>
        <w:rPr>
          <w:rFonts w:ascii="Calibri" w:hAnsi="Calibri"/>
          <w:b/>
          <w:i w:val="0"/>
          <w:color w:val="1F2A33"/>
          <w:sz w:val="18"/>
        </w:rPr>
        <w:t xml:space="preserve">Encuadre metodológico. </w:t>
      </w:r>
      <w:r>
        <w:rPr>
          <w:rFonts w:ascii="Calibri" w:hAnsi="Calibri"/>
          <w:b w:val="0"/>
          <w:i w:val="0"/>
          <w:color w:val="5A6470"/>
          <w:sz w:val="18"/>
        </w:rPr>
        <w:t>El MCG es un monitor de exposición. Mapea conflictos activos a activos cotizables en minería, banca y energía, y registra sus movimientos. No establece relaciones causales entre un conflicto y un movimiento de precio: esa lectura es analítica y está firmada. Los precios provienen de Yahoo Finance; la interpretación se apoya en fuentes primarias verificadas. Los movimientos marcados como señal son estadísticamente inusuales para cada activo, no necesariamente relevantes.</w:t>
      </w:r>
    </w:p>
    <w:p>
      <w:r>
        <w:rPr>
          <w:rFonts w:ascii="Calibri" w:hAnsi="Calibri"/>
          <w:b/>
          <w:i w:val="0"/>
          <w:color w:val="1F2A33"/>
          <w:sz w:val="21"/>
        </w:rPr>
        <w:t>Fernando Legrand — Strathos Lab</w:t>
      </w:r>
    </w:p>
    <w:p>
      <w:r>
        <w:rPr>
          <w:rFonts w:ascii="Calibri" w:hAnsi="Calibri"/>
          <w:b w:val="0"/>
          <w:i w:val="0"/>
          <w:color w:val="5A6470"/>
          <w:sz w:val="18"/>
        </w:rPr>
        <w:t>strathoslab.com · julio de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