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8A6B18"/>
          <w:sz w:val="22"/>
        </w:rPr>
        <w:t>STRATHOS LAB</w:t>
      </w:r>
    </w:p>
    <w:p>
      <w:pPr>
        <w:spacing w:after="0"/>
      </w:pPr>
      <w:r>
        <w:rPr>
          <w:rFonts w:ascii="Calibri" w:hAnsi="Calibri"/>
          <w:b/>
          <w:i w:val="0"/>
          <w:color w:val="0F1A2E"/>
          <w:sz w:val="42"/>
        </w:rPr>
        <w:t>Escenarios de Riesgos Geopolíticos</w:t>
      </w:r>
    </w:p>
    <w:p>
      <w:pPr>
        <w:pBdr>
          <w:bottom w:val="single" w:sz="6" w:space="1" w:color="0F1A2E"/>
        </w:pBdr>
        <w:spacing w:after="40"/>
      </w:pPr>
    </w:p>
    <w:p>
      <w:pPr>
        <w:spacing w:before="240" w:after="80"/>
      </w:pPr>
      <w:r>
        <w:rPr>
          <w:rFonts w:ascii="Calibri" w:hAnsi="Calibri"/>
          <w:b/>
          <w:i w:val="0"/>
          <w:color w:val="0F1A2E"/>
          <w:sz w:val="30"/>
        </w:rPr>
        <w:t>Teatro: Estrecho de Ormuz</w:t>
      </w:r>
    </w:p>
    <w:p>
      <w:pPr>
        <w:spacing w:after="160" w:line="307" w:lineRule="auto"/>
      </w:pPr>
      <w:r>
        <w:rPr>
          <w:rFonts w:ascii="Calibri" w:hAnsi="Calibri"/>
          <w:b w:val="0"/>
          <w:i w:val="0"/>
          <w:color w:val="1A1A1A"/>
          <w:sz w:val="22"/>
        </w:rPr>
        <w:t>Dossier de escenarios · Julio de 2026</w:t>
      </w:r>
    </w:p>
    <w:p>
      <w:pPr>
        <w:spacing w:after="240" w:line="307" w:lineRule="auto"/>
      </w:pPr>
      <w:r>
        <w:rPr>
          <w:rFonts w:ascii="Calibri" w:hAnsi="Calibri"/>
          <w:b/>
          <w:i w:val="0"/>
          <w:color w:val="0F1A2E"/>
          <w:sz w:val="25"/>
        </w:rPr>
        <w:t>El Estrecho de Ormuz opera hoy en cierre efectivo, y el mercado sigue mirando el activo equivocado. La atención se concentra en el precio del crudo, donde el inventario chino, el shale estadounidense y la destrucción de demanda ponen un techo. El daño estructural y durable se está trasladando a dos lugares sin ruta alternativa ni inventario estratégico: el gas licuado y la cadena petroquímica que alimenta fertilizantes y envases. Para América Latina, esa migración del cuello de botella abre una ventana de reposicionamiento que la lectura de consenso, centrada en el costo, no ve.</w:t>
      </w:r>
    </w:p>
    <w:p>
      <w:pPr>
        <w:spacing w:after="160" w:line="307" w:lineRule="auto"/>
      </w:pPr>
      <w:r>
        <w:rPr>
          <w:rFonts w:ascii="Calibri" w:hAnsi="Calibri"/>
          <w:b w:val="0"/>
          <w:i w:val="0"/>
          <w:color w:val="1A1A1A"/>
          <w:sz w:val="22"/>
        </w:rPr>
        <w:t>Este dossier proyecta las trayectorias plausibles del teatro de Ormuz hacia los próximos seis meses y traduce cada una en una canasta de exposición cotizable y en señales de disparo observables. No es un pronóstico de un único resultado. Es un mapa de trayectorias con su exposición asociada, para que un decisor en energía, alimentos, logística o banca sepa qué mirar y qué hacer bajo cada una.</w:t>
      </w:r>
    </w:p>
    <w:p>
      <w:pPr>
        <w:spacing w:before="240" w:after="80"/>
      </w:pPr>
      <w:r>
        <w:rPr>
          <w:rFonts w:ascii="Calibri" w:hAnsi="Calibri"/>
          <w:b/>
          <w:i w:val="0"/>
          <w:color w:val="0F1A2E"/>
          <w:sz w:val="30"/>
        </w:rPr>
        <w:t>El hecho y la estructura</w:t>
      </w:r>
    </w:p>
    <w:p>
      <w:pPr>
        <w:spacing w:after="160" w:line="307" w:lineRule="auto"/>
      </w:pPr>
      <w:r>
        <w:rPr>
          <w:rFonts w:ascii="Calibri" w:hAnsi="Calibri"/>
          <w:b w:val="0"/>
          <w:i w:val="0"/>
          <w:color w:val="1A1A1A"/>
          <w:sz w:val="22"/>
        </w:rPr>
        <w:t>Por Ormuz transita en condiciones normales cerca del 20% del petróleo que consume el mundo, alrededor de 20 millones de barriles diarios, y cerca del 20% del comercio global de gas licuado, incluida la totalidad de las exportaciones de Qatar y Emiratos. Desde el inicio del conflicto con Irán el estrecho quedó en cierre efectivo: los flujos del primer trimestre de 2026 cayeron cerca de 30% interanual, a 14,6 millones de barriles diarios, y el Brent saltó de 71 a 94 dólares en menos de dos semanas. Solo unos 2,6 millones de barriles diarios pueden reencaminarse por oleoductos de Arabia Saudita y Emiratos. Para el gas licuado no hay ruta alternativa alguna.</w:t>
      </w:r>
    </w:p>
    <w:p>
      <w:pPr>
        <w:spacing w:after="160" w:line="307" w:lineRule="auto"/>
      </w:pPr>
      <w:r>
        <w:rPr>
          <w:rFonts w:ascii="Calibri" w:hAnsi="Calibri"/>
          <w:b w:val="0"/>
          <w:i w:val="0"/>
          <w:color w:val="1A1A1A"/>
          <w:sz w:val="22"/>
        </w:rPr>
        <w:t>La estructura detrás del hecho se lee con tres lentes. En clave geoeconómica, Ormuz es la demostración de que el paso físico es un instrumento de poder, y que quien controla el cuello de botella impone un costo sin disparar un solo tiro adicional. En clave de posición estructural, América Latina entra al episodio como tomadora de precio, importadora neta de energía en la mayoría de sus economías, expuesta al encarecimiento simultáneo del barril y de su transporte. En clave hemisférica, la crisis acelera la lógica de autosuficiencia energética del hemisferio occidental y revaloriza a los proveedores del continente que no dependen del estrecho.</w:t>
      </w:r>
    </w:p>
    <w:p>
      <w:pPr>
        <w:spacing w:before="240" w:after="80"/>
      </w:pPr>
      <w:r>
        <w:rPr>
          <w:rFonts w:ascii="Calibri" w:hAnsi="Calibri"/>
          <w:b/>
          <w:i w:val="0"/>
          <w:color w:val="0F1A2E"/>
          <w:sz w:val="30"/>
        </w:rPr>
        <w:t>Fuerzas motrices e incertidumbres críticas</w:t>
      </w:r>
    </w:p>
    <w:p>
      <w:pPr>
        <w:spacing w:after="160" w:line="307" w:lineRule="auto"/>
      </w:pPr>
      <w:r>
        <w:rPr>
          <w:rFonts w:ascii="Calibri" w:hAnsi="Calibri"/>
          <w:b w:val="0"/>
          <w:i w:val="0"/>
          <w:color w:val="1A1A1A"/>
          <w:sz w:val="22"/>
        </w:rPr>
        <w:t>Cuatro fuerzas mueven el teatro: la capacidad iraní de sostener la interdicción bajo presión militar, la respuesta de la coalición liderada por Estados Unidos, el ritmo de descarga de los inventarios estratégicos asiáticos, y el riesgo de que el conflicto se extienda a la infraestructura de producción del Golfo, donde reside la casi totalidad de la capacidad ociosa mundial.</w:t>
      </w:r>
    </w:p>
    <w:p>
      <w:pPr>
        <w:spacing w:after="160" w:line="307" w:lineRule="auto"/>
      </w:pPr>
      <w:r>
        <w:rPr>
          <w:rFonts w:ascii="Calibri" w:hAnsi="Calibri"/>
          <w:b w:val="0"/>
          <w:i w:val="0"/>
          <w:color w:val="1A1A1A"/>
          <w:sz w:val="22"/>
        </w:rPr>
        <w:t>De esas fuerzas, dos son a la vez de alto impacto y genuinamente inciertas, y son las que definen el espacio de escenarios. La primera es la duración del cierre: si la interdicción se degrada en semanas o se entrenca durante meses. La segunda es la contención geográfica: si el conflicto permanece acotado al estrecho o escala hacia los campos y terminales de Arabia Saudita y Emiratos. Sobre esos dos ejes se ordenan las trayectorias que siguen.</w:t>
      </w:r>
    </w:p>
    <w:p>
      <w:pPr>
        <w:spacing w:before="240" w:after="80"/>
      </w:pPr>
      <w:r>
        <w:rPr>
          <w:rFonts w:ascii="Calibri" w:hAnsi="Calibri"/>
          <w:b/>
          <w:i w:val="0"/>
          <w:color w:val="0F1A2E"/>
          <w:sz w:val="30"/>
        </w:rPr>
        <w:t>Las trayectorias</w:t>
      </w:r>
    </w:p>
    <w:p>
      <w:pPr>
        <w:spacing w:before="160" w:after="60"/>
      </w:pPr>
      <w:r>
        <w:rPr>
          <w:rFonts w:ascii="Calibri" w:hAnsi="Calibri"/>
          <w:b/>
          <w:i w:val="0"/>
          <w:color w:val="0F1A2E"/>
          <w:sz w:val="24"/>
        </w:rPr>
        <w:t>Escenario 1: Reapertura bajo escolta</w:t>
      </w:r>
    </w:p>
    <w:p>
      <w:pPr>
        <w:spacing w:after="160" w:line="307" w:lineRule="auto"/>
      </w:pPr>
      <w:r>
        <w:rPr>
          <w:rFonts w:ascii="Calibri" w:hAnsi="Calibri"/>
          <w:b w:val="0"/>
          <w:i w:val="0"/>
          <w:color w:val="1A1A1A"/>
          <w:sz w:val="22"/>
        </w:rPr>
        <w:t>La coalición degrada la capacidad antibuque iraní y restablece un tránsito parcial bajo convoy y escolta naval. El estrecho no vuelve a la normalidad previa, pero recupera una fracción sustancial del flujo. El precio retrocede desde el pico sin volver al piso anterior: la prima de riesgo se instala como nuevo normal. Probabilidad estimada, como rango de juicio y no como cifra cerrada: 30 a 40%.</w:t>
      </w:r>
    </w:p>
    <w:tbl>
      <w:tblPr>
        <w:tblW w:type="auto" w:w="0"/>
        <w:jc w:val="center"/>
        <w:tblLook w:firstColumn="1" w:firstRow="1" w:lastColumn="0" w:lastRow="0" w:noHBand="0" w:noVBand="1" w:val="04A0"/>
      </w:tblPr>
      <w:tblGrid>
        <w:gridCol w:w="3120"/>
        <w:gridCol w:w="3120"/>
        <w:gridCol w:w="3120"/>
      </w:tblGrid>
      <w:tr>
        <w:tc>
          <w:tcPr>
            <w:tcW w:type="dxa" w:w="3120"/>
            <w:shd w:val="clear" w:fill="0F1A2E"/>
          </w:tcPr>
          <w:p>
            <w:r>
              <w:rPr>
                <w:rFonts w:ascii="Calibri" w:hAnsi="Calibri"/>
                <w:b/>
                <w:i w:val="0"/>
                <w:color w:val="FFFFFF"/>
                <w:sz w:val="18"/>
              </w:rPr>
              <w:t>Activo</w:t>
            </w:r>
          </w:p>
        </w:tc>
        <w:tc>
          <w:tcPr>
            <w:tcW w:type="dxa" w:w="3120"/>
            <w:shd w:val="clear" w:fill="0F1A2E"/>
          </w:tcPr>
          <w:p>
            <w:r>
              <w:rPr>
                <w:rFonts w:ascii="Calibri" w:hAnsi="Calibri"/>
                <w:b/>
                <w:i w:val="0"/>
                <w:color w:val="FFFFFF"/>
                <w:sz w:val="18"/>
              </w:rPr>
              <w:t>Dirección</w:t>
            </w:r>
          </w:p>
        </w:tc>
        <w:tc>
          <w:tcPr>
            <w:tcW w:type="dxa" w:w="3120"/>
            <w:shd w:val="clear" w:fill="0F1A2E"/>
          </w:tcPr>
          <w:p>
            <w:r>
              <w:rPr>
                <w:rFonts w:ascii="Calibri" w:hAnsi="Calibri"/>
                <w:b/>
                <w:i w:val="0"/>
                <w:color w:val="FFFFFF"/>
                <w:sz w:val="18"/>
              </w:rPr>
              <w:t>Lógica</w:t>
            </w:r>
          </w:p>
        </w:tc>
      </w:tr>
      <w:tr>
        <w:tc>
          <w:tcPr>
            <w:tcW w:type="dxa" w:w="3120"/>
          </w:tcPr>
          <w:p>
            <w:r>
              <w:rPr>
                <w:rFonts w:ascii="Calibri" w:hAnsi="Calibri"/>
                <w:b/>
                <w:i w:val="0"/>
                <w:color w:val="1A1A1A"/>
                <w:sz w:val="18"/>
              </w:rPr>
              <w:t>BZ=F Brent</w:t>
            </w:r>
          </w:p>
        </w:tc>
        <w:tc>
          <w:tcPr>
            <w:tcW w:type="dxa" w:w="3120"/>
          </w:tcPr>
          <w:p>
            <w:r>
              <w:rPr>
                <w:rFonts w:ascii="Calibri" w:hAnsi="Calibri"/>
                <w:b/>
                <w:i w:val="0"/>
                <w:color w:val="A33A2E"/>
                <w:sz w:val="18"/>
              </w:rPr>
              <w:t>baja</w:t>
            </w:r>
          </w:p>
        </w:tc>
        <w:tc>
          <w:tcPr>
            <w:tcW w:type="dxa" w:w="3120"/>
          </w:tcPr>
          <w:p>
            <w:r>
              <w:rPr>
                <w:rFonts w:ascii="Calibri" w:hAnsi="Calibri"/>
                <w:b w:val="0"/>
                <w:i w:val="0"/>
                <w:color w:val="1A1A1A"/>
                <w:sz w:val="18"/>
              </w:rPr>
              <w:t>Retroceso desde el pico, con prima residual sobre el nivel previo.</w:t>
            </w:r>
          </w:p>
        </w:tc>
      </w:tr>
      <w:tr>
        <w:tc>
          <w:tcPr>
            <w:tcW w:type="dxa" w:w="3120"/>
          </w:tcPr>
          <w:p>
            <w:r>
              <w:rPr>
                <w:rFonts w:ascii="Calibri" w:hAnsi="Calibri"/>
                <w:b/>
                <w:i w:val="0"/>
                <w:color w:val="1A1A1A"/>
                <w:sz w:val="18"/>
              </w:rPr>
              <w:t>NG=F Gas natural</w:t>
            </w:r>
          </w:p>
        </w:tc>
        <w:tc>
          <w:tcPr>
            <w:tcW w:type="dxa" w:w="3120"/>
          </w:tcPr>
          <w:p>
            <w:r>
              <w:rPr>
                <w:rFonts w:ascii="Calibri" w:hAnsi="Calibri"/>
                <w:b/>
                <w:i w:val="0"/>
                <w:color w:val="8A6B18"/>
                <w:sz w:val="18"/>
              </w:rPr>
              <w:t>vol</w:t>
            </w:r>
          </w:p>
        </w:tc>
        <w:tc>
          <w:tcPr>
            <w:tcW w:type="dxa" w:w="3120"/>
          </w:tcPr>
          <w:p>
            <w:r>
              <w:rPr>
                <w:rFonts w:ascii="Calibri" w:hAnsi="Calibri"/>
                <w:b w:val="0"/>
                <w:i w:val="0"/>
                <w:color w:val="1A1A1A"/>
                <w:sz w:val="18"/>
              </w:rPr>
              <w:t>Alivio parcial, pero el gas licuado tarda más en normalizar.</w:t>
            </w:r>
          </w:p>
        </w:tc>
      </w:tr>
      <w:tr>
        <w:tc>
          <w:tcPr>
            <w:tcW w:type="dxa" w:w="3120"/>
          </w:tcPr>
          <w:p>
            <w:r>
              <w:rPr>
                <w:rFonts w:ascii="Calibri" w:hAnsi="Calibri"/>
                <w:b/>
                <w:i w:val="0"/>
                <w:color w:val="1A1A1A"/>
                <w:sz w:val="18"/>
              </w:rPr>
              <w:t>ZIM Fletes</w:t>
            </w:r>
          </w:p>
        </w:tc>
        <w:tc>
          <w:tcPr>
            <w:tcW w:type="dxa" w:w="3120"/>
          </w:tcPr>
          <w:p>
            <w:r>
              <w:rPr>
                <w:rFonts w:ascii="Calibri" w:hAnsi="Calibri"/>
                <w:b/>
                <w:i w:val="0"/>
                <w:color w:val="A33A2E"/>
                <w:sz w:val="18"/>
              </w:rPr>
              <w:t>baja</w:t>
            </w:r>
          </w:p>
        </w:tc>
        <w:tc>
          <w:tcPr>
            <w:tcW w:type="dxa" w:w="3120"/>
          </w:tcPr>
          <w:p>
            <w:r>
              <w:rPr>
                <w:rFonts w:ascii="Calibri" w:hAnsi="Calibri"/>
                <w:b w:val="0"/>
                <w:i w:val="0"/>
                <w:color w:val="1A1A1A"/>
                <w:sz w:val="18"/>
              </w:rPr>
              <w:t>Reapertura de la vía reduce primas de guerra y reencaminamientos.</w:t>
            </w:r>
          </w:p>
        </w:tc>
      </w:tr>
      <w:tr>
        <w:tc>
          <w:tcPr>
            <w:tcW w:type="dxa" w:w="3120"/>
          </w:tcPr>
          <w:p>
            <w:r>
              <w:rPr>
                <w:rFonts w:ascii="Calibri" w:hAnsi="Calibri"/>
                <w:b/>
                <w:i w:val="0"/>
                <w:color w:val="1A1A1A"/>
                <w:sz w:val="18"/>
              </w:rPr>
              <w:t>GC=F Oro</w:t>
            </w:r>
          </w:p>
        </w:tc>
        <w:tc>
          <w:tcPr>
            <w:tcW w:type="dxa" w:w="3120"/>
          </w:tcPr>
          <w:p>
            <w:r>
              <w:rPr>
                <w:rFonts w:ascii="Calibri" w:hAnsi="Calibri"/>
                <w:b/>
                <w:i w:val="0"/>
                <w:color w:val="A33A2E"/>
                <w:sz w:val="18"/>
              </w:rPr>
              <w:t>baja</w:t>
            </w:r>
          </w:p>
        </w:tc>
        <w:tc>
          <w:tcPr>
            <w:tcW w:type="dxa" w:w="3120"/>
          </w:tcPr>
          <w:p>
            <w:r>
              <w:rPr>
                <w:rFonts w:ascii="Calibri" w:hAnsi="Calibri"/>
                <w:b w:val="0"/>
                <w:i w:val="0"/>
                <w:color w:val="1A1A1A"/>
                <w:sz w:val="18"/>
              </w:rPr>
              <w:t>Se descomprime la demanda de refugio.</w:t>
            </w:r>
          </w:p>
        </w:tc>
      </w:tr>
      <w:tr>
        <w:tc>
          <w:tcPr>
            <w:tcW w:type="dxa" w:w="3120"/>
          </w:tcPr>
          <w:p>
            <w:r>
              <w:rPr>
                <w:rFonts w:ascii="Calibri" w:hAnsi="Calibri"/>
                <w:b/>
                <w:i w:val="0"/>
                <w:color w:val="1A1A1A"/>
                <w:sz w:val="18"/>
              </w:rPr>
              <w:t>ESLT Defensa</w:t>
            </w:r>
          </w:p>
        </w:tc>
        <w:tc>
          <w:tcPr>
            <w:tcW w:type="dxa" w:w="3120"/>
          </w:tcPr>
          <w:p>
            <w:r>
              <w:rPr>
                <w:rFonts w:ascii="Calibri" w:hAnsi="Calibri"/>
                <w:b/>
                <w:i w:val="0"/>
                <w:color w:val="1F6F4A"/>
                <w:sz w:val="18"/>
              </w:rPr>
              <w:t>sube</w:t>
            </w:r>
          </w:p>
        </w:tc>
        <w:tc>
          <w:tcPr>
            <w:tcW w:type="dxa" w:w="3120"/>
          </w:tcPr>
          <w:p>
            <w:r>
              <w:rPr>
                <w:rFonts w:ascii="Calibri" w:hAnsi="Calibri"/>
                <w:b w:val="0"/>
                <w:i w:val="0"/>
                <w:color w:val="1A1A1A"/>
                <w:sz w:val="18"/>
              </w:rPr>
              <w:t>La operación de escolta sostiene el gasto militar.</w:t>
            </w:r>
          </w:p>
        </w:tc>
      </w:tr>
    </w:tbl>
    <w:p>
      <w:pPr>
        <w:spacing w:after="80"/>
      </w:pPr>
    </w:p>
    <w:p>
      <w:pPr>
        <w:spacing w:after="160" w:line="307" w:lineRule="auto"/>
      </w:pPr>
      <w:r>
        <w:rPr>
          <w:rFonts w:ascii="Calibri" w:hAnsi="Calibri"/>
          <w:b w:val="0"/>
          <w:i w:val="0"/>
          <w:color w:val="1A1A1A"/>
          <w:sz w:val="22"/>
        </w:rPr>
        <w:t>Señales de disparo, observables y falsables: recuperación del tránsito diario de buques por encima de la mitad del promedio histórico durante dos semanas sostenidas; anuncios de operación de convoy multinacional; retroceso del Brent por debajo de 85 dólares en más de cinco sesiones consecutivas.</w:t>
      </w:r>
    </w:p>
    <w:p>
      <w:pPr>
        <w:spacing w:before="160" w:after="60"/>
      </w:pPr>
      <w:r>
        <w:rPr>
          <w:rFonts w:ascii="Calibri" w:hAnsi="Calibri"/>
          <w:b/>
          <w:i w:val="0"/>
          <w:color w:val="0F1A2E"/>
          <w:sz w:val="24"/>
        </w:rPr>
        <w:t>Escenario 2: Cierre entrenchado</w:t>
      </w:r>
    </w:p>
    <w:p>
      <w:pPr>
        <w:spacing w:after="160" w:line="307" w:lineRule="auto"/>
      </w:pPr>
      <w:r>
        <w:rPr>
          <w:rFonts w:ascii="Calibri" w:hAnsi="Calibri"/>
          <w:b w:val="0"/>
          <w:i w:val="0"/>
          <w:color w:val="1A1A1A"/>
          <w:sz w:val="22"/>
        </w:rPr>
        <w:t>La interdicción persiste durante meses sin reapertura efectiva. Asia descarga inventario, y el ajuste se vuelve estructural: la prima de guerra se incorpora al precio, el gas licuado sin ruta alternativa arrastra a la petroquímica, y el encarecimiento del feedstock recorta la producción de polímeros que alimentan envases y fertilizantes. Es el caso base por probabilidad. Rango de juicio: 45 a 55%.</w:t>
      </w:r>
    </w:p>
    <w:tbl>
      <w:tblPr>
        <w:tblW w:type="auto" w:w="0"/>
        <w:jc w:val="center"/>
        <w:tblLook w:firstColumn="1" w:firstRow="1" w:lastColumn="0" w:lastRow="0" w:noHBand="0" w:noVBand="1" w:val="04A0"/>
      </w:tblPr>
      <w:tblGrid>
        <w:gridCol w:w="3120"/>
        <w:gridCol w:w="3120"/>
        <w:gridCol w:w="3120"/>
      </w:tblGrid>
      <w:tr>
        <w:tc>
          <w:tcPr>
            <w:tcW w:type="dxa" w:w="3120"/>
            <w:shd w:val="clear" w:fill="0F1A2E"/>
          </w:tcPr>
          <w:p>
            <w:r>
              <w:rPr>
                <w:rFonts w:ascii="Calibri" w:hAnsi="Calibri"/>
                <w:b/>
                <w:i w:val="0"/>
                <w:color w:val="FFFFFF"/>
                <w:sz w:val="18"/>
              </w:rPr>
              <w:t>Activo</w:t>
            </w:r>
          </w:p>
        </w:tc>
        <w:tc>
          <w:tcPr>
            <w:tcW w:type="dxa" w:w="3120"/>
            <w:shd w:val="clear" w:fill="0F1A2E"/>
          </w:tcPr>
          <w:p>
            <w:r>
              <w:rPr>
                <w:rFonts w:ascii="Calibri" w:hAnsi="Calibri"/>
                <w:b/>
                <w:i w:val="0"/>
                <w:color w:val="FFFFFF"/>
                <w:sz w:val="18"/>
              </w:rPr>
              <w:t>Dirección</w:t>
            </w:r>
          </w:p>
        </w:tc>
        <w:tc>
          <w:tcPr>
            <w:tcW w:type="dxa" w:w="3120"/>
            <w:shd w:val="clear" w:fill="0F1A2E"/>
          </w:tcPr>
          <w:p>
            <w:r>
              <w:rPr>
                <w:rFonts w:ascii="Calibri" w:hAnsi="Calibri"/>
                <w:b/>
                <w:i w:val="0"/>
                <w:color w:val="FFFFFF"/>
                <w:sz w:val="18"/>
              </w:rPr>
              <w:t>Lógica</w:t>
            </w:r>
          </w:p>
        </w:tc>
      </w:tr>
      <w:tr>
        <w:tc>
          <w:tcPr>
            <w:tcW w:type="dxa" w:w="3120"/>
          </w:tcPr>
          <w:p>
            <w:r>
              <w:rPr>
                <w:rFonts w:ascii="Calibri" w:hAnsi="Calibri"/>
                <w:b/>
                <w:i w:val="0"/>
                <w:color w:val="1A1A1A"/>
                <w:sz w:val="18"/>
              </w:rPr>
              <w:t>NG=F Gas natural</w:t>
            </w:r>
          </w:p>
        </w:tc>
        <w:tc>
          <w:tcPr>
            <w:tcW w:type="dxa" w:w="3120"/>
          </w:tcPr>
          <w:p>
            <w:r>
              <w:rPr>
                <w:rFonts w:ascii="Calibri" w:hAnsi="Calibri"/>
                <w:b/>
                <w:i w:val="0"/>
                <w:color w:val="1F6F4A"/>
                <w:sz w:val="18"/>
              </w:rPr>
              <w:t>sube</w:t>
            </w:r>
          </w:p>
        </w:tc>
        <w:tc>
          <w:tcPr>
            <w:tcW w:type="dxa" w:w="3120"/>
          </w:tcPr>
          <w:p>
            <w:r>
              <w:rPr>
                <w:rFonts w:ascii="Calibri" w:hAnsi="Calibri"/>
                <w:b w:val="0"/>
                <w:i w:val="0"/>
                <w:color w:val="1A1A1A"/>
                <w:sz w:val="18"/>
              </w:rPr>
              <w:t>Sin ruta alternativa ni inventario estratégico: el punto de mayor tensión.</w:t>
            </w:r>
          </w:p>
        </w:tc>
      </w:tr>
      <w:tr>
        <w:tc>
          <w:tcPr>
            <w:tcW w:type="dxa" w:w="3120"/>
          </w:tcPr>
          <w:p>
            <w:r>
              <w:rPr>
                <w:rFonts w:ascii="Calibri" w:hAnsi="Calibri"/>
                <w:b/>
                <w:i w:val="0"/>
                <w:color w:val="1A1A1A"/>
                <w:sz w:val="18"/>
              </w:rPr>
              <w:t>LNG Cheniere</w:t>
            </w:r>
          </w:p>
        </w:tc>
        <w:tc>
          <w:tcPr>
            <w:tcW w:type="dxa" w:w="3120"/>
          </w:tcPr>
          <w:p>
            <w:r>
              <w:rPr>
                <w:rFonts w:ascii="Calibri" w:hAnsi="Calibri"/>
                <w:b/>
                <w:i w:val="0"/>
                <w:color w:val="1F6F4A"/>
                <w:sz w:val="18"/>
              </w:rPr>
              <w:t>sube</w:t>
            </w:r>
          </w:p>
        </w:tc>
        <w:tc>
          <w:tcPr>
            <w:tcW w:type="dxa" w:w="3120"/>
          </w:tcPr>
          <w:p>
            <w:r>
              <w:rPr>
                <w:rFonts w:ascii="Calibri" w:hAnsi="Calibri"/>
                <w:b w:val="0"/>
                <w:i w:val="0"/>
                <w:color w:val="1A1A1A"/>
                <w:sz w:val="18"/>
              </w:rPr>
              <w:t>El gas licuado no iraní gana prima de escasez.</w:t>
            </w:r>
          </w:p>
        </w:tc>
      </w:tr>
      <w:tr>
        <w:tc>
          <w:tcPr>
            <w:tcW w:type="dxa" w:w="3120"/>
          </w:tcPr>
          <w:p>
            <w:r>
              <w:rPr>
                <w:rFonts w:ascii="Calibri" w:hAnsi="Calibri"/>
                <w:b/>
                <w:i w:val="0"/>
                <w:color w:val="1A1A1A"/>
                <w:sz w:val="18"/>
              </w:rPr>
              <w:t>NTR Nutrien</w:t>
            </w:r>
          </w:p>
        </w:tc>
        <w:tc>
          <w:tcPr>
            <w:tcW w:type="dxa" w:w="3120"/>
          </w:tcPr>
          <w:p>
            <w:r>
              <w:rPr>
                <w:rFonts w:ascii="Calibri" w:hAnsi="Calibri"/>
                <w:b/>
                <w:i w:val="0"/>
                <w:color w:val="1F6F4A"/>
                <w:sz w:val="18"/>
              </w:rPr>
              <w:t>sube</w:t>
            </w:r>
          </w:p>
        </w:tc>
        <w:tc>
          <w:tcPr>
            <w:tcW w:type="dxa" w:w="3120"/>
          </w:tcPr>
          <w:p>
            <w:r>
              <w:rPr>
                <w:rFonts w:ascii="Calibri" w:hAnsi="Calibri"/>
                <w:b w:val="0"/>
                <w:i w:val="0"/>
                <w:color w:val="1A1A1A"/>
                <w:sz w:val="18"/>
              </w:rPr>
              <w:t>El feedstock encarecido presiona la producción de fertilizantes.</w:t>
            </w:r>
          </w:p>
        </w:tc>
      </w:tr>
      <w:tr>
        <w:tc>
          <w:tcPr>
            <w:tcW w:type="dxa" w:w="3120"/>
          </w:tcPr>
          <w:p>
            <w:r>
              <w:rPr>
                <w:rFonts w:ascii="Calibri" w:hAnsi="Calibri"/>
                <w:b/>
                <w:i w:val="0"/>
                <w:color w:val="1A1A1A"/>
                <w:sz w:val="18"/>
              </w:rPr>
              <w:t>ADM Agroprocesamiento</w:t>
            </w:r>
          </w:p>
        </w:tc>
        <w:tc>
          <w:tcPr>
            <w:tcW w:type="dxa" w:w="3120"/>
          </w:tcPr>
          <w:p>
            <w:r>
              <w:rPr>
                <w:rFonts w:ascii="Calibri" w:hAnsi="Calibri"/>
                <w:b/>
                <w:i w:val="0"/>
                <w:color w:val="8A6B18"/>
                <w:sz w:val="18"/>
              </w:rPr>
              <w:t>vol</w:t>
            </w:r>
          </w:p>
        </w:tc>
        <w:tc>
          <w:tcPr>
            <w:tcW w:type="dxa" w:w="3120"/>
          </w:tcPr>
          <w:p>
            <w:r>
              <w:rPr>
                <w:rFonts w:ascii="Calibri" w:hAnsi="Calibri"/>
                <w:b w:val="0"/>
                <w:i w:val="0"/>
                <w:color w:val="1A1A1A"/>
                <w:sz w:val="18"/>
              </w:rPr>
              <w:t>Costo de insumos y de envases al alza.</w:t>
            </w:r>
          </w:p>
        </w:tc>
      </w:tr>
      <w:tr>
        <w:tc>
          <w:tcPr>
            <w:tcW w:type="dxa" w:w="3120"/>
          </w:tcPr>
          <w:p>
            <w:r>
              <w:rPr>
                <w:rFonts w:ascii="Calibri" w:hAnsi="Calibri"/>
                <w:b/>
                <w:i w:val="0"/>
                <w:color w:val="1A1A1A"/>
                <w:sz w:val="18"/>
              </w:rPr>
              <w:t>ZIM Fletes</w:t>
            </w:r>
          </w:p>
        </w:tc>
        <w:tc>
          <w:tcPr>
            <w:tcW w:type="dxa" w:w="3120"/>
          </w:tcPr>
          <w:p>
            <w:r>
              <w:rPr>
                <w:rFonts w:ascii="Calibri" w:hAnsi="Calibri"/>
                <w:b/>
                <w:i w:val="0"/>
                <w:color w:val="1F6F4A"/>
                <w:sz w:val="18"/>
              </w:rPr>
              <w:t>sube</w:t>
            </w:r>
          </w:p>
        </w:tc>
        <w:tc>
          <w:tcPr>
            <w:tcW w:type="dxa" w:w="3120"/>
          </w:tcPr>
          <w:p>
            <w:r>
              <w:rPr>
                <w:rFonts w:ascii="Calibri" w:hAnsi="Calibri"/>
                <w:b w:val="0"/>
                <w:i w:val="0"/>
                <w:color w:val="1A1A1A"/>
                <w:sz w:val="18"/>
              </w:rPr>
              <w:t>Primas de guerra y reencaminamientos entrenchados.</w:t>
            </w:r>
          </w:p>
        </w:tc>
      </w:tr>
      <w:tr>
        <w:tc>
          <w:tcPr>
            <w:tcW w:type="dxa" w:w="3120"/>
          </w:tcPr>
          <w:p>
            <w:r>
              <w:rPr>
                <w:rFonts w:ascii="Calibri" w:hAnsi="Calibri"/>
                <w:b/>
                <w:i w:val="0"/>
                <w:color w:val="1A1A1A"/>
                <w:sz w:val="18"/>
              </w:rPr>
              <w:t>BZ=F Brent</w:t>
            </w:r>
          </w:p>
        </w:tc>
        <w:tc>
          <w:tcPr>
            <w:tcW w:type="dxa" w:w="3120"/>
          </w:tcPr>
          <w:p>
            <w:r>
              <w:rPr>
                <w:rFonts w:ascii="Calibri" w:hAnsi="Calibri"/>
                <w:b/>
                <w:i w:val="0"/>
                <w:color w:val="8A6B18"/>
                <w:sz w:val="18"/>
              </w:rPr>
              <w:t>vol</w:t>
            </w:r>
          </w:p>
        </w:tc>
        <w:tc>
          <w:tcPr>
            <w:tcW w:type="dxa" w:w="3120"/>
          </w:tcPr>
          <w:p>
            <w:r>
              <w:rPr>
                <w:rFonts w:ascii="Calibri" w:hAnsi="Calibri"/>
                <w:b w:val="0"/>
                <w:i w:val="0"/>
                <w:color w:val="1A1A1A"/>
                <w:sz w:val="18"/>
              </w:rPr>
              <w:t>Elevado pero con techo por inventario asiático y destrucción de demanda.</w:t>
            </w:r>
          </w:p>
        </w:tc>
      </w:tr>
    </w:tbl>
    <w:p>
      <w:pPr>
        <w:spacing w:after="80"/>
      </w:pPr>
    </w:p>
    <w:p>
      <w:pPr>
        <w:spacing w:after="160" w:line="307" w:lineRule="auto"/>
      </w:pPr>
      <w:r>
        <w:rPr>
          <w:rFonts w:ascii="Calibri" w:hAnsi="Calibri"/>
          <w:b w:val="0"/>
          <w:i w:val="0"/>
          <w:color w:val="1A1A1A"/>
          <w:sz w:val="22"/>
        </w:rPr>
        <w:t>Señales de disparo: tránsito diario por debajo de un cuarto del promedio histórico sostenido más de un mes; caída confirmada de los inventarios estratégicos chinos por debajo de su nivel de fin de 2025; recortes anunciados de producción petroquímica en Asia por costo de nafta y gas licuado de petróleo.</w:t>
      </w:r>
    </w:p>
    <w:p>
      <w:pPr>
        <w:spacing w:before="160" w:after="60"/>
      </w:pPr>
      <w:r>
        <w:rPr>
          <w:rFonts w:ascii="Calibri" w:hAnsi="Calibri"/>
          <w:b/>
          <w:i w:val="0"/>
          <w:color w:val="0F1A2E"/>
          <w:sz w:val="24"/>
        </w:rPr>
        <w:t>Escenario 3: Escalada a la infraestructura del Golfo</w:t>
      </w:r>
    </w:p>
    <w:p>
      <w:pPr>
        <w:spacing w:after="160" w:line="307" w:lineRule="auto"/>
      </w:pPr>
      <w:r>
        <w:rPr>
          <w:rFonts w:ascii="Calibri" w:hAnsi="Calibri"/>
          <w:b w:val="0"/>
          <w:i w:val="0"/>
          <w:color w:val="1A1A1A"/>
          <w:sz w:val="22"/>
        </w:rPr>
        <w:t>El conflicto se extiende a los campos y terminales de Arabia Saudita y Emiratos, removiendo la capacidad ociosa que amortigua al mercado global. El shock deja de tener techo: el crudo se dispara hacia niveles de recesión global y el gas licuado entra en racionamiento. Baja probabilidad, impacto extremo. Rango de juicio: 10 a 15%.</w:t>
      </w:r>
    </w:p>
    <w:tbl>
      <w:tblPr>
        <w:tblW w:type="auto" w:w="0"/>
        <w:jc w:val="center"/>
        <w:tblLook w:firstColumn="1" w:firstRow="1" w:lastColumn="0" w:lastRow="0" w:noHBand="0" w:noVBand="1" w:val="04A0"/>
      </w:tblPr>
      <w:tblGrid>
        <w:gridCol w:w="3120"/>
        <w:gridCol w:w="3120"/>
        <w:gridCol w:w="3120"/>
      </w:tblGrid>
      <w:tr>
        <w:tc>
          <w:tcPr>
            <w:tcW w:type="dxa" w:w="3120"/>
            <w:shd w:val="clear" w:fill="0F1A2E"/>
          </w:tcPr>
          <w:p>
            <w:r>
              <w:rPr>
                <w:rFonts w:ascii="Calibri" w:hAnsi="Calibri"/>
                <w:b/>
                <w:i w:val="0"/>
                <w:color w:val="FFFFFF"/>
                <w:sz w:val="18"/>
              </w:rPr>
              <w:t>Activo</w:t>
            </w:r>
          </w:p>
        </w:tc>
        <w:tc>
          <w:tcPr>
            <w:tcW w:type="dxa" w:w="3120"/>
            <w:shd w:val="clear" w:fill="0F1A2E"/>
          </w:tcPr>
          <w:p>
            <w:r>
              <w:rPr>
                <w:rFonts w:ascii="Calibri" w:hAnsi="Calibri"/>
                <w:b/>
                <w:i w:val="0"/>
                <w:color w:val="FFFFFF"/>
                <w:sz w:val="18"/>
              </w:rPr>
              <w:t>Dirección</w:t>
            </w:r>
          </w:p>
        </w:tc>
        <w:tc>
          <w:tcPr>
            <w:tcW w:type="dxa" w:w="3120"/>
            <w:shd w:val="clear" w:fill="0F1A2E"/>
          </w:tcPr>
          <w:p>
            <w:r>
              <w:rPr>
                <w:rFonts w:ascii="Calibri" w:hAnsi="Calibri"/>
                <w:b/>
                <w:i w:val="0"/>
                <w:color w:val="FFFFFF"/>
                <w:sz w:val="18"/>
              </w:rPr>
              <w:t>Lógica</w:t>
            </w:r>
          </w:p>
        </w:tc>
      </w:tr>
      <w:tr>
        <w:tc>
          <w:tcPr>
            <w:tcW w:type="dxa" w:w="3120"/>
          </w:tcPr>
          <w:p>
            <w:r>
              <w:rPr>
                <w:rFonts w:ascii="Calibri" w:hAnsi="Calibri"/>
                <w:b/>
                <w:i w:val="0"/>
                <w:color w:val="1A1A1A"/>
                <w:sz w:val="18"/>
              </w:rPr>
              <w:t>BZ=F Brent</w:t>
            </w:r>
          </w:p>
        </w:tc>
        <w:tc>
          <w:tcPr>
            <w:tcW w:type="dxa" w:w="3120"/>
          </w:tcPr>
          <w:p>
            <w:r>
              <w:rPr>
                <w:rFonts w:ascii="Calibri" w:hAnsi="Calibri"/>
                <w:b/>
                <w:i w:val="0"/>
                <w:color w:val="1F6F4A"/>
                <w:sz w:val="18"/>
              </w:rPr>
              <w:t>sube</w:t>
            </w:r>
          </w:p>
        </w:tc>
        <w:tc>
          <w:tcPr>
            <w:tcW w:type="dxa" w:w="3120"/>
          </w:tcPr>
          <w:p>
            <w:r>
              <w:rPr>
                <w:rFonts w:ascii="Calibri" w:hAnsi="Calibri"/>
                <w:b w:val="0"/>
                <w:i w:val="0"/>
                <w:color w:val="1A1A1A"/>
                <w:sz w:val="18"/>
              </w:rPr>
              <w:t>Sin capacidad ociosa disponible, el precio pierde su techo.</w:t>
            </w:r>
          </w:p>
        </w:tc>
      </w:tr>
      <w:tr>
        <w:tc>
          <w:tcPr>
            <w:tcW w:type="dxa" w:w="3120"/>
          </w:tcPr>
          <w:p>
            <w:r>
              <w:rPr>
                <w:rFonts w:ascii="Calibri" w:hAnsi="Calibri"/>
                <w:b/>
                <w:i w:val="0"/>
                <w:color w:val="1A1A1A"/>
                <w:sz w:val="18"/>
              </w:rPr>
              <w:t>GC=F Oro</w:t>
            </w:r>
          </w:p>
        </w:tc>
        <w:tc>
          <w:tcPr>
            <w:tcW w:type="dxa" w:w="3120"/>
          </w:tcPr>
          <w:p>
            <w:r>
              <w:rPr>
                <w:rFonts w:ascii="Calibri" w:hAnsi="Calibri"/>
                <w:b/>
                <w:i w:val="0"/>
                <w:color w:val="1F6F4A"/>
                <w:sz w:val="18"/>
              </w:rPr>
              <w:t>sube</w:t>
            </w:r>
          </w:p>
        </w:tc>
        <w:tc>
          <w:tcPr>
            <w:tcW w:type="dxa" w:w="3120"/>
          </w:tcPr>
          <w:p>
            <w:r>
              <w:rPr>
                <w:rFonts w:ascii="Calibri" w:hAnsi="Calibri"/>
                <w:b w:val="0"/>
                <w:i w:val="0"/>
                <w:color w:val="1A1A1A"/>
                <w:sz w:val="18"/>
              </w:rPr>
              <w:t>Refugio ante shock sistémico y riesgo de recesión.</w:t>
            </w:r>
          </w:p>
        </w:tc>
      </w:tr>
      <w:tr>
        <w:tc>
          <w:tcPr>
            <w:tcW w:type="dxa" w:w="3120"/>
          </w:tcPr>
          <w:p>
            <w:r>
              <w:rPr>
                <w:rFonts w:ascii="Calibri" w:hAnsi="Calibri"/>
                <w:b/>
                <w:i w:val="0"/>
                <w:color w:val="1A1A1A"/>
                <w:sz w:val="18"/>
              </w:rPr>
              <w:t>EWW / EMB Riesgo emergente</w:t>
            </w:r>
          </w:p>
        </w:tc>
        <w:tc>
          <w:tcPr>
            <w:tcW w:type="dxa" w:w="3120"/>
          </w:tcPr>
          <w:p>
            <w:r>
              <w:rPr>
                <w:rFonts w:ascii="Calibri" w:hAnsi="Calibri"/>
                <w:b/>
                <w:i w:val="0"/>
                <w:color w:val="A33A2E"/>
                <w:sz w:val="18"/>
              </w:rPr>
              <w:t>baja</w:t>
            </w:r>
          </w:p>
        </w:tc>
        <w:tc>
          <w:tcPr>
            <w:tcW w:type="dxa" w:w="3120"/>
          </w:tcPr>
          <w:p>
            <w:r>
              <w:rPr>
                <w:rFonts w:ascii="Calibri" w:hAnsi="Calibri"/>
                <w:b w:val="0"/>
                <w:i w:val="0"/>
                <w:color w:val="1A1A1A"/>
                <w:sz w:val="18"/>
              </w:rPr>
              <w:t>Salida de capital de mercados emergentes importadores de energía.</w:t>
            </w:r>
          </w:p>
        </w:tc>
      </w:tr>
      <w:tr>
        <w:tc>
          <w:tcPr>
            <w:tcW w:type="dxa" w:w="3120"/>
          </w:tcPr>
          <w:p>
            <w:r>
              <w:rPr>
                <w:rFonts w:ascii="Calibri" w:hAnsi="Calibri"/>
                <w:b/>
                <w:i w:val="0"/>
                <w:color w:val="1A1A1A"/>
                <w:sz w:val="18"/>
              </w:rPr>
              <w:t>ESLT / RTX Defensa</w:t>
            </w:r>
          </w:p>
        </w:tc>
        <w:tc>
          <w:tcPr>
            <w:tcW w:type="dxa" w:w="3120"/>
          </w:tcPr>
          <w:p>
            <w:r>
              <w:rPr>
                <w:rFonts w:ascii="Calibri" w:hAnsi="Calibri"/>
                <w:b/>
                <w:i w:val="0"/>
                <w:color w:val="1F6F4A"/>
                <w:sz w:val="18"/>
              </w:rPr>
              <w:t>sube</w:t>
            </w:r>
          </w:p>
        </w:tc>
        <w:tc>
          <w:tcPr>
            <w:tcW w:type="dxa" w:w="3120"/>
          </w:tcPr>
          <w:p>
            <w:r>
              <w:rPr>
                <w:rFonts w:ascii="Calibri" w:hAnsi="Calibri"/>
                <w:b w:val="0"/>
                <w:i w:val="0"/>
                <w:color w:val="1A1A1A"/>
                <w:sz w:val="18"/>
              </w:rPr>
              <w:t>Escalada militar amplia sostiene la demanda de armamento.</w:t>
            </w:r>
          </w:p>
        </w:tc>
      </w:tr>
      <w:tr>
        <w:tc>
          <w:tcPr>
            <w:tcW w:type="dxa" w:w="3120"/>
          </w:tcPr>
          <w:p>
            <w:r>
              <w:rPr>
                <w:rFonts w:ascii="Calibri" w:hAnsi="Calibri"/>
                <w:b/>
                <w:i w:val="0"/>
                <w:color w:val="1A1A1A"/>
                <w:sz w:val="18"/>
              </w:rPr>
              <w:t>ZW=F / ZC=F Granos</w:t>
            </w:r>
          </w:p>
        </w:tc>
        <w:tc>
          <w:tcPr>
            <w:tcW w:type="dxa" w:w="3120"/>
          </w:tcPr>
          <w:p>
            <w:r>
              <w:rPr>
                <w:rFonts w:ascii="Calibri" w:hAnsi="Calibri"/>
                <w:b/>
                <w:i w:val="0"/>
                <w:color w:val="1F6F4A"/>
                <w:sz w:val="18"/>
              </w:rPr>
              <w:t>sube</w:t>
            </w:r>
          </w:p>
        </w:tc>
        <w:tc>
          <w:tcPr>
            <w:tcW w:type="dxa" w:w="3120"/>
          </w:tcPr>
          <w:p>
            <w:r>
              <w:rPr>
                <w:rFonts w:ascii="Calibri" w:hAnsi="Calibri"/>
                <w:b w:val="0"/>
                <w:i w:val="0"/>
                <w:color w:val="1A1A1A"/>
                <w:sz w:val="18"/>
              </w:rPr>
              <w:t>Fertilizantes y transporte disparan el costo de la cadena alimentaria.</w:t>
            </w:r>
          </w:p>
        </w:tc>
      </w:tr>
    </w:tbl>
    <w:p>
      <w:pPr>
        <w:spacing w:after="80"/>
      </w:pPr>
    </w:p>
    <w:p>
      <w:pPr>
        <w:spacing w:after="160" w:line="307" w:lineRule="auto"/>
      </w:pPr>
      <w:r>
        <w:rPr>
          <w:rFonts w:ascii="Calibri" w:hAnsi="Calibri"/>
          <w:b w:val="0"/>
          <w:i w:val="0"/>
          <w:color w:val="1A1A1A"/>
          <w:sz w:val="22"/>
        </w:rPr>
        <w:t>Señales de disparo: ataques confirmados a infraestructura de producción o exportación saudí o emiratí; declaración de fuerza mayor por parte de productores del Golfo; Brent por encima de 120 dólares de forma sostenida.</w:t>
      </w:r>
    </w:p>
    <w:p>
      <w:pPr>
        <w:spacing w:before="240" w:after="80"/>
      </w:pPr>
      <w:r>
        <w:rPr>
          <w:rFonts w:ascii="Calibri" w:hAnsi="Calibri"/>
          <w:b/>
          <w:i w:val="0"/>
          <w:color w:val="0F1A2E"/>
          <w:sz w:val="30"/>
        </w:rPr>
        <w:t>La lectura contraintuitiva</w:t>
      </w:r>
    </w:p>
    <w:p>
      <w:pPr>
        <w:spacing w:after="160" w:line="307" w:lineRule="auto"/>
      </w:pPr>
      <w:r>
        <w:rPr>
          <w:rFonts w:ascii="Calibri" w:hAnsi="Calibri"/>
          <w:b w:val="0"/>
          <w:i w:val="0"/>
          <w:color w:val="1A1A1A"/>
          <w:sz w:val="22"/>
        </w:rPr>
        <w:t>El consenso lee la crisis de Ormuz como un shock lineal del precio del crudo, y ordena su atención alrededor del Brent. La lectura de Strathos es otra. El crudo tiene tres amortiguadores que le ponen techo incluso en el cierre: el inventario estratégico que Asia acumuló, la producción de shale estadounidense, y la destrucción de demanda que todo precio alto provoca. El gas licuado no tiene ninguno de los tres. No hay ruta alternativa al estrecho, no hay inventario estratégico comparable, y la demanda es más rígida. El daño durable, por lo tanto, no se expresa donde todos miran, en el barril, sino donde casi nadie mira: en el gas, en el feedstock petroquímico, y en los fertilizantes y envases que de ahí dependen. Un decisor que cubre solo su exposición al crudo deja abierto el flanco que más le va a doler.</w:t>
      </w:r>
    </w:p>
    <w:p>
      <w:pPr>
        <w:spacing w:after="160" w:line="307" w:lineRule="auto"/>
      </w:pPr>
      <w:r>
        <w:rPr>
          <w:rFonts w:ascii="Calibri" w:hAnsi="Calibri"/>
          <w:b w:val="0"/>
          <w:i w:val="0"/>
          <w:color w:val="1A1A1A"/>
          <w:sz w:val="22"/>
        </w:rPr>
        <w:t>De esa lectura se desprende la consecuencia regional, y es la que convierte a América Latina de espectadora en parte interesada. La región concentra oferta en los tres vectores que la crisis encarece. En energía, como proveedora de crudo ajeno al estrecho desde Guyana, Brasil, Argentina y Venezuela, y de gas desde los proyectos del Cono Sur. En alimentos, como origen alternativo de granos y fertilizantes cuando la cadena del Golfo se tensa. En logística, como destino de reencaminamiento de cadenas que buscan alejarse del riesgo. La crisis de Ormuz, leída desde la región, es tanto una factura como una ventana de reposicionamiento, y qué predomine depende de si sus productores leen el momento a tiempo.</w:t>
      </w:r>
    </w:p>
    <w:p>
      <w:pPr>
        <w:spacing w:before="240" w:after="80"/>
      </w:pPr>
      <w:r>
        <w:rPr>
          <w:rFonts w:ascii="Calibri" w:hAnsi="Calibri"/>
          <w:b/>
          <w:i w:val="0"/>
          <w:color w:val="0F1A2E"/>
          <w:sz w:val="30"/>
        </w:rPr>
        <w:t>Consecuencia por sector</w:t>
      </w:r>
    </w:p>
    <w:p>
      <w:pPr>
        <w:spacing w:after="160" w:line="307" w:lineRule="auto"/>
      </w:pPr>
      <w:r>
        <w:rPr>
          <w:rFonts w:ascii="Calibri" w:hAnsi="Calibri"/>
          <w:b w:val="0"/>
          <w:i w:val="0"/>
          <w:color w:val="1A1A1A"/>
          <w:sz w:val="22"/>
        </w:rPr>
        <w:t>En energía, la exposición se bifurca: el importador neto paga la factura, el productor no dependiente de Ormuz captura la prima. En alimentos, el canal es el fertilizante y el envase, dos costos que suben por el feedstock petroquímico y golpean el margen agroindustrial, con América Latina del lado de la oferta. En logística, las primas de guerra y los reencaminamientos encarecen el flete y premian a los operadores fuera de la zona de riesgo. En banca, el vector es la cuenta corriente y el riesgo soberano de los importadores netos, con presión sobre monedas y sobre el costo de financiamiento emergente.</w:t>
      </w:r>
    </w:p>
    <w:p>
      <w:pPr>
        <w:spacing w:before="240" w:after="80"/>
      </w:pPr>
      <w:r>
        <w:rPr>
          <w:rFonts w:ascii="Calibri" w:hAnsi="Calibri"/>
          <w:b/>
          <w:i w:val="0"/>
          <w:color w:val="0F1A2E"/>
          <w:sz w:val="30"/>
        </w:rPr>
        <w:t>Del diagnóstico al monitoreo</w:t>
      </w:r>
    </w:p>
    <w:p>
      <w:pPr>
        <w:spacing w:after="160" w:line="307" w:lineRule="auto"/>
      </w:pPr>
      <w:r>
        <w:rPr>
          <w:rFonts w:ascii="Calibri" w:hAnsi="Calibri"/>
          <w:b w:val="0"/>
          <w:i w:val="0"/>
          <w:color w:val="1A1A1A"/>
          <w:sz w:val="22"/>
        </w:rPr>
        <w:t>Un escenario es una foto, y las fotos envejecen. La pregunta que un decisor necesita responder mes a mes no es cuál era el escenario más probable en julio, sino cuál se está materializando ahora. Esa respuesta está en las señales de disparo, y esas señales son observables y falsables por diseño. El seguimiento de esos indicadores contra el Monitor de Conflictos Geopolíticos de Strathos convierte este diagnóstico puntual en un tablero vivo: cada mes, la lectura confirma o descarta la trayectoria en curso y ajusta la canasta de exposición correspondiente. El ERG entrega el mapa; el monitoreo continuo dice en qué parte del mapa estás.</w:t>
      </w:r>
    </w:p>
    <w:p>
      <w:pPr>
        <w:spacing w:before="240" w:after="80"/>
      </w:pPr>
      <w:r>
        <w:rPr>
          <w:rFonts w:ascii="Calibri" w:hAnsi="Calibri"/>
          <w:b/>
          <w:i w:val="0"/>
          <w:color w:val="0F1A2E"/>
          <w:sz w:val="30"/>
        </w:rPr>
        <w:t>Nota metodológica</w:t>
      </w:r>
    </w:p>
    <w:p>
      <w:pPr>
        <w:spacing w:after="160" w:line="307" w:lineRule="auto"/>
      </w:pPr>
      <w:r>
        <w:rPr>
          <w:rFonts w:ascii="Calibri" w:hAnsi="Calibri"/>
          <w:b w:val="0"/>
          <w:i w:val="0"/>
          <w:color w:val="1A1A1A"/>
          <w:sz w:val="22"/>
        </w:rPr>
        <w:t>Los escenarios se construyen sobre el marco analítico de Strathos Lab, anclados en un conflicto ya mapeado en el MCG y cruzados con exposición a activos cotizables. Las probabilidades se expresan como rangos de juicio fundado, no como cifras cerradas. Las canastas de exposición indican dirección esperada de movimiento bajo cada escenario, no recomendación de inversión. Los datos de tránsito y precio provienen de la Administración de Información Energética de Estados Unidos y de la Agencia Internacional de Energía, y se verifican contra fuente primaria antes de cada entrega a cliente.</w:t>
      </w:r>
    </w:p>
    <w:p/>
    <w:p>
      <w:pPr>
        <w:pBdr>
          <w:bottom w:val="single" w:sz="6" w:space="1" w:color="0F1A2E"/>
        </w:pBdr>
        <w:spacing w:after="40"/>
      </w:pPr>
    </w:p>
    <w:p>
      <w:r>
        <w:rPr>
          <w:rFonts w:ascii="Calibri" w:hAnsi="Calibri"/>
          <w:b/>
          <w:i w:val="0"/>
          <w:color w:val="0F1A2E"/>
          <w:sz w:val="21"/>
        </w:rPr>
        <w:t>Fernando Legrand — Strathos Lab</w:t>
      </w:r>
    </w:p>
    <w:p>
      <w:r>
        <w:rPr>
          <w:rFonts w:ascii="Calibri" w:hAnsi="Calibri"/>
          <w:b w:val="0"/>
          <w:i w:val="0"/>
          <w:color w:val="4A5568"/>
          <w:sz w:val="18"/>
        </w:rPr>
        <w:t>strathoslab.com · Escenarios de Riesgos Geopolíticos (ERG)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