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44"/>
        </w:rPr>
        <w:t>STRATINK INTELLECTUAL PROPERTY ASSIGNMENT AGREEMENT</w:t>
      </w:r>
    </w:p>
    <w:p>
      <w:pPr>
        <w:jc w:val="center"/>
      </w:pPr>
      <w:r>
        <w:rPr>
          <w:color w:val="0F4CDE"/>
          <w:sz w:val="22"/>
        </w:rPr>
        <w:t>For developers, designers, contractors, consultants and contributors</w:t>
      </w:r>
    </w:p>
    <w:p>
      <w:pPr>
        <w:jc w:val="center"/>
      </w:pPr>
      <w:r>
        <w:rPr>
          <w:i/>
          <w:color w:val="787878"/>
          <w:sz w:val="18"/>
        </w:rPr>
        <w:t>Important: This is a business template, not legal advice. Have a qualified lawyer review it before signing.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4CDE"/>
          </w:tcPr>
          <w:p>
            <w:r/>
            <w:r>
              <w:rPr>
                <w:b/>
                <w:color w:val="FFFFFF"/>
                <w:sz w:val="18"/>
              </w:rPr>
              <w:t>Field</w:t>
            </w:r>
          </w:p>
        </w:tc>
        <w:tc>
          <w:tcPr>
            <w:tcW w:type="dxa" w:w="5040"/>
            <w:vAlign w:val="center"/>
            <w:shd w:fill="0F4CDE"/>
          </w:tcPr>
          <w:p>
            <w:r/>
            <w:r>
              <w:rPr>
                <w:b/>
                <w:color w:val="FFFFFF"/>
                <w:sz w:val="18"/>
              </w:rPr>
              <w:t>Details</w:t>
            </w:r>
          </w:p>
        </w:tc>
      </w:tr>
      <w:tr>
        <w:tc>
          <w:tcPr>
            <w:tcW w:type="dxa" w:w="5040"/>
            <w:vAlign w:val="center"/>
            <w:shd w:fill="F4F8FF"/>
          </w:tcPr>
          <w:p>
            <w:r/>
            <w:r>
              <w:rPr>
                <w:b/>
                <w:color w:val="0B1F3A"/>
                <w:sz w:val="18"/>
              </w:rPr>
              <w:t>Effective Date</w:t>
            </w:r>
          </w:p>
        </w:tc>
        <w:tc>
          <w:tcPr>
            <w:tcW w:type="dxa" w:w="5040"/>
            <w:vAlign w:val="center"/>
          </w:tcPr>
          <w:p>
            <w:r/>
            <w:r>
              <w:rPr>
                <w:b w:val="0"/>
                <w:color w:val="233044"/>
                <w:sz w:val="18"/>
              </w:rPr>
              <w:t>______________________</w:t>
            </w:r>
          </w:p>
        </w:tc>
      </w:tr>
      <w:tr>
        <w:tc>
          <w:tcPr>
            <w:tcW w:type="dxa" w:w="5040"/>
            <w:vAlign w:val="center"/>
            <w:shd w:fill="F4F8FF"/>
          </w:tcPr>
          <w:p>
            <w:r/>
            <w:r>
              <w:rPr>
                <w:b/>
                <w:color w:val="0B1F3A"/>
                <w:sz w:val="18"/>
              </w:rPr>
              <w:t>Company</w:t>
            </w:r>
          </w:p>
        </w:tc>
        <w:tc>
          <w:tcPr>
            <w:tcW w:type="dxa" w:w="5040"/>
            <w:vAlign w:val="center"/>
          </w:tcPr>
          <w:p>
            <w:r/>
            <w:r>
              <w:rPr>
                <w:b w:val="0"/>
                <w:color w:val="233044"/>
                <w:sz w:val="18"/>
              </w:rPr>
              <w:t>Stratink Technologies Inc. or Samer Taj until assigned to the corporation</w:t>
            </w:r>
          </w:p>
        </w:tc>
      </w:tr>
      <w:tr>
        <w:tc>
          <w:tcPr>
            <w:tcW w:type="dxa" w:w="5040"/>
            <w:vAlign w:val="center"/>
            <w:shd w:fill="F4F8FF"/>
          </w:tcPr>
          <w:p>
            <w:r/>
            <w:r>
              <w:rPr>
                <w:b/>
                <w:color w:val="0B1F3A"/>
                <w:sz w:val="18"/>
              </w:rPr>
              <w:t>Creator / Contributor</w:t>
            </w:r>
          </w:p>
        </w:tc>
        <w:tc>
          <w:tcPr>
            <w:tcW w:type="dxa" w:w="5040"/>
            <w:vAlign w:val="center"/>
          </w:tcPr>
          <w:p>
            <w:r/>
            <w:r>
              <w:rPr>
                <w:b w:val="0"/>
                <w:color w:val="233044"/>
                <w:sz w:val="18"/>
              </w:rPr>
              <w:t>______________________</w:t>
            </w:r>
          </w:p>
        </w:tc>
      </w:tr>
      <w:tr>
        <w:tc>
          <w:tcPr>
            <w:tcW w:type="dxa" w:w="5040"/>
            <w:vAlign w:val="center"/>
            <w:shd w:fill="F4F8FF"/>
          </w:tcPr>
          <w:p>
            <w:r/>
            <w:r>
              <w:rPr>
                <w:b/>
                <w:color w:val="0B1F3A"/>
                <w:sz w:val="18"/>
              </w:rPr>
              <w:t>Project</w:t>
            </w:r>
          </w:p>
        </w:tc>
        <w:tc>
          <w:tcPr>
            <w:tcW w:type="dxa" w:w="5040"/>
            <w:vAlign w:val="center"/>
          </w:tcPr>
          <w:p>
            <w:r/>
            <w:r>
              <w:rPr>
                <w:b w:val="0"/>
                <w:color w:val="233044"/>
                <w:sz w:val="18"/>
              </w:rPr>
              <w:t>Stratink software platform, mobile app, dashboard, marketplace, documents, designs and related technology</w:t>
            </w:r>
          </w:p>
        </w:tc>
      </w:tr>
      <w:tr>
        <w:tc>
          <w:tcPr>
            <w:tcW w:type="dxa" w:w="5040"/>
            <w:vAlign w:val="center"/>
            <w:shd w:fill="F4F8FF"/>
          </w:tcPr>
          <w:p>
            <w:r/>
            <w:r>
              <w:rPr>
                <w:b/>
                <w:color w:val="0B1F3A"/>
                <w:sz w:val="18"/>
              </w:rPr>
              <w:t>Governing Law</w:t>
            </w:r>
          </w:p>
        </w:tc>
        <w:tc>
          <w:tcPr>
            <w:tcW w:type="dxa" w:w="5040"/>
            <w:vAlign w:val="center"/>
          </w:tcPr>
          <w:p>
            <w:r/>
            <w:r>
              <w:rPr>
                <w:b w:val="0"/>
                <w:color w:val="233044"/>
                <w:sz w:val="18"/>
              </w:rPr>
              <w:t>British Columbia, Canada, unless changed by legal counsel</w:t>
            </w:r>
          </w:p>
        </w:tc>
      </w:tr>
    </w:tbl>
    <w:p/>
    <w:p>
      <w:pPr>
        <w:pStyle w:val="Heading1"/>
      </w:pPr>
      <w:r>
        <w:t>1. Purpose</w:t>
      </w:r>
    </w:p>
    <w:p>
      <w:pPr>
        <w:pStyle w:val="BodyText"/>
      </w:pPr>
      <w:r>
        <w:t>The Creator may create, develop, design, write, modify, contribute to, advise on, or deliver work product related to Stratink. The parties intend that all such work product belongs exclusively to the Company.</w:t>
      </w:r>
    </w:p>
    <w:p>
      <w:pPr>
        <w:pStyle w:val="Heading1"/>
      </w:pPr>
      <w:r>
        <w:t>2. Assigned Work Product</w:t>
      </w:r>
    </w:p>
    <w:p>
      <w:pPr>
        <w:pStyle w:val="BodyText"/>
      </w:pPr>
      <w:r>
        <w:t>Work Product includes anything created, conceived, authored, developed, improved, modified, delivered or contributed by the Creator for Stratink, alone or with others, whether before or after the effective date if related to the project.</w:t>
      </w:r>
    </w:p>
    <w:p>
      <w:pPr>
        <w:pStyle w:val="ListBullet"/>
      </w:pPr>
      <w:r>
        <w:t>Software source code, scripts, APIs, backend logic, mobile application code and web dashboard code.</w:t>
      </w:r>
    </w:p>
    <w:p>
      <w:pPr>
        <w:pStyle w:val="ListBullet"/>
      </w:pPr>
      <w:r>
        <w:t>Database schemas, data models, integrations, infrastructure configuration and deployment documentation.</w:t>
      </w:r>
    </w:p>
    <w:p>
      <w:pPr>
        <w:pStyle w:val="ListBullet"/>
      </w:pPr>
      <w:r>
        <w:t>UI/UX layouts, Figma files, wireframes, screenshots, prototypes, icons, logos and design systems.</w:t>
      </w:r>
    </w:p>
    <w:p>
      <w:pPr>
        <w:pStyle w:val="ListBullet"/>
      </w:pPr>
      <w:r>
        <w:t>Product documents, MVP specifications, roadmaps, technical specifications, user stories and developer documentation.</w:t>
      </w:r>
    </w:p>
    <w:p>
      <w:pPr>
        <w:pStyle w:val="ListBullet"/>
      </w:pPr>
      <w:r>
        <w:t>Marketplace workflows, payment workflows, governance workflows, AGM voting workflows and council approval workflows.</w:t>
      </w:r>
    </w:p>
    <w:p>
      <w:pPr>
        <w:pStyle w:val="ListBullet"/>
      </w:pPr>
      <w:r>
        <w:t>AI prompts, AI workflows, knowledge base designs, document-search logic and recommendation features.</w:t>
      </w:r>
    </w:p>
    <w:p>
      <w:pPr>
        <w:pStyle w:val="ListBullet"/>
      </w:pPr>
      <w:r>
        <w:t>Marketing materials, presentations, website content, naming ideas, branding concepts and related business materials.</w:t>
      </w:r>
    </w:p>
    <w:p>
      <w:pPr>
        <w:pStyle w:val="Heading1"/>
      </w:pPr>
      <w:r>
        <w:t>3. Assignment of Rights</w:t>
      </w:r>
    </w:p>
    <w:p>
      <w:pPr>
        <w:pStyle w:val="BodyText"/>
      </w:pPr>
      <w:r>
        <w:t>The Creator irrevocably assigns, transfers and conveys to the Company all worldwide rights, title and interest in the Work Product, including all copyrights, trade secrets, design rights, database rights, patent rights, trademark-related rights, moral rights to the extent waivable, and all other intellectual property rights.</w:t>
      </w:r>
    </w:p>
    <w:p>
      <w:pPr>
        <w:pStyle w:val="Heading1"/>
      </w:pPr>
      <w:r>
        <w:t>4. Work Made for Hire</w:t>
      </w:r>
    </w:p>
    <w:p>
      <w:pPr>
        <w:pStyle w:val="BodyText"/>
      </w:pPr>
      <w:r>
        <w:t>To the maximum extent permitted by law, the Work Product is intended to be work made for hire for the Company. If any Work Product is not legally treated as work made for hire, the Creator assigns all rights to the Company under Section 3.</w:t>
      </w:r>
    </w:p>
    <w:p>
      <w:pPr>
        <w:pStyle w:val="Heading1"/>
      </w:pPr>
      <w:r>
        <w:t>5. Moral Rights Waiver</w:t>
      </w:r>
    </w:p>
    <w:p>
      <w:pPr>
        <w:pStyle w:val="BodyText"/>
      </w:pPr>
      <w:r>
        <w:t>To the extent permitted by law, the Creator waives in favour of the Company and its successors and assigns all moral rights or similar rights in the Work Product. If waiver is not permitted, the Creator agrees not to enforce such rights against the Company.</w:t>
      </w:r>
    </w:p>
    <w:p>
      <w:pPr>
        <w:pStyle w:val="Heading1"/>
      </w:pPr>
      <w:r>
        <w:t>6. Pre-Existing Materials</w:t>
      </w:r>
    </w:p>
    <w:p>
      <w:pPr>
        <w:pStyle w:val="BodyText"/>
      </w:pPr>
      <w:r>
        <w:t>The Creator must list all pre-existing materials that are not assigned to the Company in Schedule A. Any unlisted materials incorporated into the Work Product are deemed licensed to the Company on a perpetual, worldwide, royalty-free, transferable and sublicensable basis as needed to use the Work Product.</w:t>
      </w:r>
    </w:p>
    <w:p>
      <w:pPr>
        <w:pStyle w:val="Heading1"/>
      </w:pPr>
      <w:r>
        <w:t>7. Open Source and Third-Party Materials</w:t>
      </w:r>
    </w:p>
    <w:p>
      <w:pPr>
        <w:pStyle w:val="BodyText"/>
      </w:pPr>
      <w:r>
        <w:t>The Creator must not include third-party materials, paid assets, stock assets, open-source software, templates or artificial intelligence outputs in the Work Product unless disclosed to and approved by the Company. GPL, AGPL or similar restrictive copyleft materials require prior written approval.</w:t>
      </w:r>
    </w:p>
    <w:p>
      <w:pPr>
        <w:pStyle w:val="Heading1"/>
      </w:pPr>
      <w:r>
        <w:t>8. Further Assurances</w:t>
      </w:r>
    </w:p>
    <w:p>
      <w:pPr>
        <w:pStyle w:val="BodyText"/>
      </w:pPr>
      <w:r>
        <w:t>The Creator will sign and provide any additional documents reasonably requested to confirm, register, protect, enforce or transfer the Company’s rights in the Work Product, including documents needed for copyright, trademark, patent, investor due diligence or corporate records.</w:t>
      </w:r>
    </w:p>
    <w:p>
      <w:pPr>
        <w:pStyle w:val="Heading1"/>
      </w:pPr>
      <w:r>
        <w:t>9. Confidentiality</w:t>
      </w:r>
    </w:p>
    <w:p>
      <w:pPr>
        <w:pStyle w:val="BodyText"/>
      </w:pPr>
      <w:r>
        <w:t>The Creator will keep confidential all non-public Company information, including code, designs, customer information, product plans, business strategy and technical architecture. This duty survives the end of the relationship.</w:t>
      </w:r>
    </w:p>
    <w:p>
      <w:pPr>
        <w:pStyle w:val="Heading1"/>
      </w:pPr>
      <w:r>
        <w:t>10. No Reuse of Proprietary Work</w:t>
      </w:r>
    </w:p>
    <w:p>
      <w:pPr>
        <w:pStyle w:val="BodyText"/>
      </w:pPr>
      <w:r>
        <w:t>The Creator may not reuse, resell, publish, distribute, license or disclose Stratink proprietary Work Product for any other customer, portfolio, product or project without written approval.</w:t>
      </w:r>
    </w:p>
    <w:p>
      <w:pPr>
        <w:pStyle w:val="Heading1"/>
      </w:pPr>
      <w:r>
        <w:t>11. Return of Materials</w:t>
      </w:r>
    </w:p>
    <w:p>
      <w:pPr>
        <w:pStyle w:val="BodyText"/>
      </w:pPr>
      <w:r>
        <w:t>Upon request, the Creator will return or delete all Company materials, credentials, code, designs, files, local copies and documentation, except where retention is required by law.</w:t>
      </w:r>
    </w:p>
    <w:p>
      <w:pPr>
        <w:pStyle w:val="Heading1"/>
      </w:pPr>
      <w:r>
        <w:t>12. Representations</w:t>
      </w:r>
    </w:p>
    <w:p>
      <w:pPr>
        <w:pStyle w:val="BodyText"/>
      </w:pPr>
      <w:r>
        <w:t>The Creator represents that the Work Product is original to the Creator or properly licensed, does not knowingly infringe third-party rights, and is not subject to obligations that prevent assignment to the Company.</w:t>
      </w:r>
    </w:p>
    <w:p>
      <w:pPr>
        <w:pStyle w:val="Heading1"/>
      </w:pPr>
      <w:r>
        <w:t>13. Schedule A - Pre-Existing Materials</w:t>
      </w:r>
    </w:p>
    <w:p>
      <w:pPr>
        <w:pStyle w:val="BodyText"/>
      </w:pPr>
      <w:r>
        <w:t>List any pre-existing materials here. If none, write "None".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14. Governing Law</w:t>
      </w:r>
    </w:p>
    <w:p>
      <w:pPr>
        <w:pStyle w:val="BodyText"/>
      </w:pPr>
      <w:r>
        <w:t>This Agreement is governed by the laws of British Columbia, Canada, unless replaced by legal counsel with another governing law clause.</w:t>
      </w:r>
    </w:p>
    <w:p>
      <w:pPr>
        <w:pStyle w:val="Heading1"/>
      </w:pPr>
      <w:r>
        <w:t>Signatures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4CDE"/>
          </w:tcPr>
          <w:p>
            <w:r/>
            <w:r>
              <w:rPr>
                <w:b/>
                <w:color w:val="FFFFFF"/>
                <w:sz w:val="18"/>
              </w:rPr>
              <w:t>Company</w:t>
            </w:r>
          </w:p>
        </w:tc>
        <w:tc>
          <w:tcPr>
            <w:tcW w:type="dxa" w:w="5040"/>
            <w:vAlign w:val="center"/>
            <w:shd w:fill="0F4CDE"/>
          </w:tcPr>
          <w:p>
            <w:r/>
            <w:r>
              <w:rPr>
                <w:b/>
                <w:color w:val="FFFFFF"/>
                <w:sz w:val="18"/>
              </w:rPr>
              <w:t>Creator / Contributor</w:t>
            </w:r>
          </w:p>
        </w:tc>
      </w:tr>
      <w:tr>
        <w:tc>
          <w:tcPr>
            <w:tcW w:type="dxa" w:w="5040"/>
            <w:vAlign w:val="center"/>
          </w:tcPr>
          <w:p>
            <w:r/>
            <w:r>
              <w:rPr>
                <w:b w:val="0"/>
                <w:color w:val="233044"/>
                <w:sz w:val="18"/>
              </w:rPr>
              <w:t>Name / Title: ______________________________</w:t>
            </w:r>
          </w:p>
        </w:tc>
        <w:tc>
          <w:tcPr>
            <w:tcW w:type="dxa" w:w="5040"/>
            <w:vAlign w:val="center"/>
          </w:tcPr>
          <w:p>
            <w:r/>
            <w:r>
              <w:rPr>
                <w:b w:val="0"/>
                <w:color w:val="233044"/>
                <w:sz w:val="18"/>
              </w:rPr>
              <w:t>Name / Title: ______________________________</w:t>
            </w:r>
          </w:p>
        </w:tc>
      </w:tr>
      <w:tr>
        <w:tc>
          <w:tcPr>
            <w:tcW w:type="dxa" w:w="5040"/>
            <w:vAlign w:val="center"/>
          </w:tcPr>
          <w:p>
            <w:r/>
            <w:r>
              <w:rPr>
                <w:b w:val="0"/>
                <w:color w:val="233044"/>
                <w:sz w:val="18"/>
              </w:rPr>
              <w:t>Signature: ______________________________</w:t>
            </w:r>
          </w:p>
        </w:tc>
        <w:tc>
          <w:tcPr>
            <w:tcW w:type="dxa" w:w="5040"/>
            <w:vAlign w:val="center"/>
          </w:tcPr>
          <w:p>
            <w:r/>
            <w:r>
              <w:rPr>
                <w:b w:val="0"/>
                <w:color w:val="233044"/>
                <w:sz w:val="18"/>
              </w:rPr>
              <w:t>Signature: ______________________________</w:t>
            </w:r>
          </w:p>
        </w:tc>
      </w:tr>
      <w:tr>
        <w:tc>
          <w:tcPr>
            <w:tcW w:type="dxa" w:w="5040"/>
            <w:vAlign w:val="center"/>
          </w:tcPr>
          <w:p>
            <w:r/>
            <w:r>
              <w:rPr>
                <w:b w:val="0"/>
                <w:color w:val="233044"/>
                <w:sz w:val="18"/>
              </w:rPr>
              <w:t>Date: ______________________________</w:t>
            </w:r>
          </w:p>
        </w:tc>
        <w:tc>
          <w:tcPr>
            <w:tcW w:type="dxa" w:w="5040"/>
            <w:vAlign w:val="center"/>
          </w:tcPr>
          <w:p>
            <w:r/>
            <w:r>
              <w:rPr>
                <w:b w:val="0"/>
                <w:color w:val="233044"/>
                <w:sz w:val="18"/>
              </w:rPr>
              <w:t>Date: ______________________________</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Stratink Technologies Inc. | Template for legal review before signing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Stratink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1F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