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940"/>
      </w:tblGrid>
      <w:tr>
        <w:tc>
          <w:tcPr>
            <w:tcW w:type="dxa" w:w="4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52"/>
                <w:szCs w:val="52"/>
              </w:rPr>
              <w:t xml:space="preserve">Ben Poole</w:t>
            </w:r>
          </w:p>
        </w:tc>
        <w:tc>
          <w:tcPr>
            <w:tcW w:type="dxa" w:w="59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A5568"/>
                <w:sz w:val="16"/>
                <w:szCs w:val="16"/>
              </w:rPr>
              <w:t xml:space="preserve">benpoole@outlook.com</w:t>
            </w:r>
            <w:r>
              <w:rPr>
                <w:rFonts w:ascii="Calibri" w:cs="Calibri" w:eastAsia="Calibri" w:hAnsi="Calibri"/>
                <w:color w:val="A0AEC0"/>
                <w:sz w:val="16"/>
                <w:szCs w:val="16"/>
              </w:rPr>
              <w:t xml:space="preserve">  | </w:t>
            </w:r>
            <w:r>
              <w:rPr>
                <w:rFonts w:ascii="Calibri" w:cs="Calibri" w:eastAsia="Calibri" w:hAnsi="Calibri"/>
                <w:color w:val="4A5568"/>
                <w:sz w:val="16"/>
                <w:szCs w:val="16"/>
              </w:rPr>
              <w:t xml:space="preserve">(402) 875-3498</w:t>
            </w:r>
            <w:r>
              <w:rPr>
                <w:rFonts w:ascii="Calibri" w:cs="Calibri" w:eastAsia="Calibri" w:hAnsi="Calibri"/>
                <w:color w:val="A0AEC0"/>
                <w:sz w:val="16"/>
                <w:szCs w:val="16"/>
              </w:rPr>
              <w:t xml:space="preserve">  | </w:t>
            </w:r>
            <w:r>
              <w:rPr>
                <w:rFonts w:ascii="Calibri" w:cs="Calibri" w:eastAsia="Calibri" w:hAnsi="Calibri"/>
                <w:color w:val="4A5568"/>
                <w:sz w:val="16"/>
                <w:szCs w:val="16"/>
              </w:rPr>
              <w:t xml:space="preserve">Omaha, NE</w:t>
            </w:r>
            <w:r>
              <w:rPr>
                <w:rFonts w:ascii="Calibri" w:cs="Calibri" w:eastAsia="Calibri" w:hAnsi="Calibri"/>
                <w:color w:val="A0AEC0"/>
                <w:sz w:val="16"/>
                <w:szCs w:val="16"/>
              </w:rPr>
              <w:t xml:space="preserve">  | </w:t>
            </w:r>
            <w:r>
              <w:rPr>
                <w:rFonts w:ascii="Calibri" w:cs="Calibri" w:eastAsia="Calibri" w:hAnsi="Calibri"/>
                <w:color w:val="4A5568"/>
                <w:sz w:val="16"/>
                <w:szCs w:val="16"/>
              </w:rPr>
              <w:t xml:space="preserve">benpoole.me</w:t>
            </w:r>
          </w:p>
        </w:tc>
      </w:tr>
    </w:tbl>
    <w:p>
      <w:pPr>
        <w:pBdr>
          <w:top w:val="single" w:color="2B6CB0" w:sz="6" w:space="6"/>
        </w:pBdr>
        <w:spacing w:after="40" w:before="60"/>
        <w:jc w:val="center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Digital Product Strategy</w:t>
      </w:r>
      <w:r>
        <w:rPr>
          <w:rFonts w:ascii="Calibri" w:cs="Calibri" w:eastAsia="Calibri" w:hAnsi="Calibri"/>
          <w:color w:val="A0AEC0"/>
          <w:sz w:val="22"/>
          <w:szCs w:val="22"/>
        </w:rPr>
        <w:t xml:space="preserve">  | </w:t>
      </w: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Marketing Analytics</w:t>
      </w:r>
      <w:r>
        <w:rPr>
          <w:rFonts w:ascii="Calibri" w:cs="Calibri" w:eastAsia="Calibri" w:hAnsi="Calibri"/>
          <w:color w:val="A0AEC0"/>
          <w:sz w:val="22"/>
          <w:szCs w:val="22"/>
        </w:rPr>
        <w:t xml:space="preserve">  | </w:t>
      </w: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FinTech Platform Leader</w:t>
      </w:r>
      <w:r>
        <w:rPr>
          <w:rFonts w:ascii="Calibri" w:cs="Calibri" w:eastAsia="Calibri" w:hAnsi="Calibri"/>
          <w:color w:val="A0AEC0"/>
          <w:sz w:val="22"/>
          <w:szCs w:val="22"/>
        </w:rPr>
        <w:t xml:space="preserve">  | </w:t>
      </w: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AI-Enabled Discovery</w:t>
      </w:r>
    </w:p>
    <w:p>
      <w:pPr>
        <w:pBdr>
          <w:bottom w:val="single" w:color="2B6CB0" w:sz="4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EXECUTIVE SUMMARY</w:t>
      </w:r>
    </w:p>
    <w:p>
      <w:pPr>
        <w:spacing w:after="80" w:before="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Product leader with 25+ years spanning financial services, enterprise SaaS, and digital platform strategy. Built wealth management technology from startup to $40B AUA at Orion Advisor Services, then scaled enterprise product adoption and change management at PayPal (30,000+ employees) and Autodesk. Combines deep financial services domain expertise with hands-on AI/ML product delivery, data platform strategy, and Prosci-certified change management. FINRA Series 6 licensed. Passionate about building digital experiences that earn advisor trust and drive measurable business outcomes.</w:t>
      </w:r>
    </w:p>
    <w:p>
      <w:pPr>
        <w:pBdr>
          <w:bottom w:val="single" w:color="2B6CB0" w:sz="4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KEY CAPABILITIES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Digital product vision, strategy &amp; multi-platform roadmaps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AI-assisted discovery, rapid experimentation &amp; prototyping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Advisor-facing platform design &amp; onboarding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Cross-functional leadership across Design, Engineering &amp; Business</w:t>
            </w:r>
          </w:p>
        </w:tc>
        <w:tc>
          <w:tcPr>
            <w:tcW w:type="dxa" w:w="52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Wealth management platforms &amp; FINRA Series 6 licensed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Data-driven product decisions (Snowflake, Looker, Power BI)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Prosci ADKAR change management &amp; enterprise adoption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20"/>
                <w:szCs w:val="20"/>
              </w:rPr>
              <w:t xml:space="preserve">Vendor strategy, contract negotiation &amp; partner ecosystems</w:t>
            </w:r>
          </w:p>
        </w:tc>
      </w:tr>
    </w:tbl>
    <w:p>
      <w:pPr>
        <w:pBdr>
          <w:bottom w:val="single" w:color="2B6CB0" w:sz="4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Senior Manager, Data Products — Construction Cloud</w:t>
      </w:r>
    </w:p>
    <w:p>
      <w:pPr>
        <w:tabs>
          <w:tab w:val="right" w:pos="9026"/>
        </w:tabs>
        <w:spacing w:after="40" w:before="10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Autodesk, Inc.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	Aug 2022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Built analytics platform framework including workflows library, metrics library, AI Data Agent POC, and experimentation framework enabling Product teams to self-serve insights at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Led cross-functional team of Data Product Managers partnering with Engineering, Data Science, and Analytics to drive adoption of advanced tools and AI models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Scoped and launched ML-powered data product generating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$2.7M in attributed pipeline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through product marketing and sales enablement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Led BI Engineering program (Power BI, Google Looker, Snowflake), reducing average load time from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29 to 7 seconds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Launched Construction Data Products Catalog, a platform delivering SaaS metrics and customer insights to GTM, Sales, and CS teams across Autodesk Construction Cloud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Drove in-app messaging strategy and customer data platform focused on onboarding, adoption measurement, and personalized user experiences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Managed vendor relationships and contracts for third-party construction data enrichment services; facilitated Design Thinking workshops with customers and partners on AI, automation, and sustainability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Senior Manager, Organizational Change Management &amp; UX Research</w:t>
      </w:r>
    </w:p>
    <w:p>
      <w:pPr>
        <w:tabs>
          <w:tab w:val="right" w:pos="9026"/>
        </w:tabs>
        <w:spacing w:after="40" w:before="10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PayPal, Inc.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	Apr 2018 – Aug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Led enterprise-wide digital transformation supporting 30,000+ employees through collaboration platform rollout — applying ADKAR framework to achieve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NPS increase from 35 to 85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1,500% increase in platform adoption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by redesigning enterprise deployment strategy through change champions network and peer-to-peer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Partnered with Product and Technology leadership to design program governance, stakeholder engagement, and resistance management strategies for major platform initiatives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Established scalable operating model for Change Management and UX Research with repeatable processes and governance across business units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Led cross-functional UX Research team deploying human-centered methods to inform technology solution design and strategic product decisions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Influenced M&amp;A integration and project go/no-go decisions through risk analysis, use-case validation, and executive-level recommendations</w:t>
      </w:r>
    </w:p>
    <w:p>
      <w:pPr>
        <w:spacing w:after="0" w:before="20"/>
        <w:ind w:left="36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Promoted from UX Research Team Lead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Product Manager, Cloud Collaboration &amp; Unified Communications</w:t>
      </w:r>
    </w:p>
    <w:p>
      <w:pPr>
        <w:tabs>
          <w:tab w:val="right" w:pos="9026"/>
        </w:tabs>
        <w:spacing w:after="40" w:before="10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HDR, Inc.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	Feb 2010 – Apr 2018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Expanded scope from Product Owner to Chief-of-Staff function, becoming trusted partner to technology leadership on strategic planning, cross-functional coordination, and enterprise platform ownership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Led multi-year cloud platform strategy including hybrid architecture design and technology service catalog for 10,000+ employee AEC firm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Built enterprise change champion network to accelerate strategic technology adoption across design and construction workflows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Negotiated and managed vendor contracts (Microsoft, Oracle, Cisco), saving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$1.4M in vendor costs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while increasing value of technology investments</w:t>
      </w:r>
    </w:p>
    <w:p>
      <w:pPr>
        <w:spacing w:after="0" w:before="20"/>
        <w:ind w:left="360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Promoted from Senior Web Application Developer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Web Solutions &amp; Product Marketing Lead → Senior Web Application Developer</w:t>
      </w:r>
    </w:p>
    <w:p>
      <w:pPr>
        <w:tabs>
          <w:tab w:val="right" w:pos="9026"/>
        </w:tabs>
        <w:spacing w:after="40" w:before="10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Orion Advisor Services (formerly CLS Investments)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	1997 – 2010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Founding team member of FinTech startup; scaled platform from inception to </w:t>
      </w: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$40B in AUA</w:t>
      </w:r>
      <w:r>
        <w:rPr>
          <w:rFonts w:ascii="Calibri" w:cs="Calibri" w:eastAsia="Calibri" w:hAnsi="Calibri"/>
          <w:color w:val="1A202C"/>
          <w:sz w:val="20"/>
          <w:szCs w:val="20"/>
        </w:rPr>
        <w:t xml:space="preserve"> — leading web application development and marketing divisions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Led product marketing, UX strategy, and developer experience through high-growth phase, establishing design patterns and development best practices for wealth management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Supported sales and partnership growth through technical consulting, conference speaking, executive presentations, and partner integration programs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Created cross-functional alignment across Sales, Operations, Engineering, and Product — bridging business objectives with technical delivery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Earned FINRA Series 6 Securities license to deepen domain expertise in wealth management and investment products</w:t>
      </w:r>
    </w:p>
    <w:p>
      <w:pPr>
        <w:pBdr>
          <w:bottom w:val="single" w:color="2B6CB0" w:sz="4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BUSINESS IMPACT METRICS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43000" cy="619125"/>
                  <wp:effectExtent t="0" r="0" b="0" l="0"/>
                  <wp:docPr id="1" name="metric-icon" descr="Business impact metric" title="Metr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43000" cy="619125"/>
                  <wp:effectExtent t="0" r="0" b="0" l="0"/>
                  <wp:docPr id="1" name="metric-icon" descr="Business impact metric" title="Metr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43000" cy="619125"/>
                  <wp:effectExtent t="0" r="0" b="0" l="0"/>
                  <wp:docPr id="1" name="metric-icon" descr="Business impact metric" title="Metr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43000" cy="619125"/>
                  <wp:effectExtent t="0" r="0" b="0" l="0"/>
                  <wp:docPr id="1" name="metric-icon" descr="Business impact metric" title="Metr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43000" cy="619125"/>
                  <wp:effectExtent t="0" r="0" b="0" l="0"/>
                  <wp:docPr id="1" name="metric-icon" descr="Business impact metric" title="Metr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A5568"/>
                <w:sz w:val="15"/>
                <w:szCs w:val="15"/>
              </w:rPr>
              <w:t xml:space="preserve">User satisfaction insight — key metric for global change management</w:t>
            </w:r>
          </w:p>
        </w:tc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A5568"/>
                <w:sz w:val="15"/>
                <w:szCs w:val="15"/>
              </w:rPr>
              <w:t xml:space="preserve">Collaboration platform NPS increased by 50 points among 30,000 employees</w:t>
            </w:r>
          </w:p>
        </w:tc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A5568"/>
                <w:sz w:val="15"/>
                <w:szCs w:val="15"/>
              </w:rPr>
              <w:t xml:space="preserve">Software adoption increased through change champions network</w:t>
            </w:r>
          </w:p>
        </w:tc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A5568"/>
                <w:sz w:val="15"/>
                <w:szCs w:val="15"/>
              </w:rPr>
              <w:t xml:space="preserve">Saved in vendor contract costs while increasing value of spend</w:t>
            </w:r>
          </w:p>
        </w:tc>
        <w:tc>
          <w:tcPr>
            <w:tcW w:type="dxa" w:w="2088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A5568"/>
                <w:sz w:val="15"/>
                <w:szCs w:val="15"/>
              </w:rPr>
              <w:t xml:space="preserve">Avg. load time for data product customers — down from 29 seconds</w:t>
            </w:r>
          </w:p>
        </w:tc>
      </w:tr>
    </w:tbl>
    <w:p>
      <w:pPr>
        <w:pBdr>
          <w:bottom w:val="single" w:color="2B6CB0" w:sz="4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EDUCATION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Masters of Business Analytics (Pursuing)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Bellevue University (Expected May 2027)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202C"/>
          <w:sz w:val="20"/>
          <w:szCs w:val="20"/>
        </w:rPr>
        <w:t xml:space="preserve">Bachelor of Journalism, Advertising &amp; Mass Communications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—  University of Nebraska–Lincoln</w:t>
      </w:r>
    </w:p>
    <w:p>
      <w:pPr>
        <w:spacing w:after="0" w:before="0"/>
      </w:pPr>
      <w:r>
        <w:rPr>
          <w:rFonts w:ascii="Calibri" w:cs="Calibri" w:eastAsia="Calibri" w:hAnsi="Calibri"/>
          <w:color w:val="4A5568"/>
          <w:sz w:val="16"/>
          <w:szCs w:val="16"/>
        </w:rPr>
        <w:t xml:space="preserve">Minors: Economics, English</w:t>
      </w:r>
    </w:p>
    <w:p>
      <w:pPr>
        <w:pBdr>
          <w:bottom w:val="single" w:color="2B6CB0" w:sz="4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CERTIFICATIONS &amp; CREDENTIALS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Prosci ADKAR Change Practitioner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Microsoft Azure Fundamentals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LUMA Design Thinking Practitioner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FINRA Series 6 — Registered Financial Products Representative (inactive)</w:t>
      </w:r>
    </w:p>
    <w:p>
      <w:pPr>
        <w:pBdr>
          <w:bottom w:val="single" w:color="2B6CB0" w:sz="4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2B6CB0"/>
          <w:sz w:val="22"/>
          <w:szCs w:val="22"/>
        </w:rPr>
        <w:t xml:space="preserve">COMMUNITY &amp; LEADERSHIP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Omaha Chamber of Commerce Business Engagement Council Member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University of Nebraska–Omaha STEM Education Program Business Advisor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Omaha Community Foundation — Omaha Venture Group Senior Member and Group Leader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Graduate — AIM Institute Advanced IT Leadership Academy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202C"/>
          <w:sz w:val="20"/>
          <w:szCs w:val="20"/>
        </w:rPr>
        <w:t xml:space="preserve">HDR Associate Professional Designation for Leadership; Pathfinder Award for Innovation and Teamwork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16aa08e22c2858731e0ce42fb27e1f8cfdc94.png"/><Relationship Id="rId8" Type="http://schemas.openxmlformats.org/officeDocument/2006/relationships/image" Target="media/db47eb504355e87c10cb75e9c7f231515903a3c8.png"/><Relationship Id="rId9" Type="http://schemas.openxmlformats.org/officeDocument/2006/relationships/image" Target="media/aa9cad83593ad3f7df6b3037a67dc5e28317fb5d.png"/><Relationship Id="rId10" Type="http://schemas.openxmlformats.org/officeDocument/2006/relationships/image" Target="media/c9ae390a2ed2734c07b65b551c857b9e7728de15.png"/><Relationship Id="rId11" Type="http://schemas.openxmlformats.org/officeDocument/2006/relationships/image" Target="media/dd77c08afe38d2a9bb5f1bf4d7674bb551bc80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2026-03-07T06:29:24.181Z</dcterms:created>
  <dcterms:modified xsi:type="dcterms:W3CDTF">2026-03-07T06:29:24.182Z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