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rPr/>
      </w:pPr>
      <w:bookmarkStart w:colFirst="0" w:colLast="0" w:name="_9etniow9yx11" w:id="0"/>
      <w:bookmarkEnd w:id="0"/>
      <w:r w:rsidDel="00000000" w:rsidR="00000000" w:rsidRPr="00000000">
        <w:rPr>
          <w:rtl w:val="0"/>
        </w:rPr>
        <w:t xml:space="preserve">CBailyLaw.com Website Text</w:t>
      </w:r>
    </w:p>
    <w:p w:rsidR="00000000" w:rsidDel="00000000" w:rsidP="00000000" w:rsidRDefault="00000000" w:rsidRPr="00000000" w14:paraId="00000002">
      <w:pPr>
        <w:pStyle w:val="Heading2"/>
        <w:shd w:fill="ffffff" w:val="clear"/>
        <w:rPr>
          <w:rFonts w:ascii="Open Sans" w:cs="Open Sans" w:eastAsia="Open Sans" w:hAnsi="Open Sans"/>
          <w:b w:val="1"/>
          <w:color w:val="222222"/>
          <w:sz w:val="22"/>
          <w:szCs w:val="22"/>
        </w:rPr>
      </w:pPr>
      <w:bookmarkStart w:colFirst="0" w:colLast="0" w:name="_4la37gfywazt" w:id="1"/>
      <w:bookmarkEnd w:id="1"/>
      <w:r w:rsidDel="00000000" w:rsidR="00000000" w:rsidRPr="00000000">
        <w:rPr>
          <w:rFonts w:ascii="Open Sans" w:cs="Open Sans" w:eastAsia="Open Sans" w:hAnsi="Open Sans"/>
          <w:rtl w:val="0"/>
        </w:rPr>
        <w:t xml:space="preserve">Page Title</w:t>
      </w:r>
      <w:r w:rsidDel="00000000" w:rsidR="00000000" w:rsidRPr="00000000">
        <w:rPr>
          <w:rtl w:val="0"/>
        </w:rPr>
      </w:r>
    </w:p>
    <w:p w:rsidR="00000000" w:rsidDel="00000000" w:rsidP="00000000" w:rsidRDefault="00000000" w:rsidRPr="00000000" w14:paraId="00000003">
      <w:pPr>
        <w:shd w:fill="ffffff" w:val="clear"/>
        <w:rPr>
          <w:rFonts w:ascii="Open Sans" w:cs="Open Sans" w:eastAsia="Open Sans" w:hAnsi="Open Sans"/>
          <w:color w:val="222222"/>
          <w:sz w:val="22"/>
          <w:szCs w:val="22"/>
        </w:rPr>
      </w:pPr>
      <w:r w:rsidDel="00000000" w:rsidR="00000000" w:rsidRPr="00000000">
        <w:rPr>
          <w:rFonts w:ascii="Open Sans" w:cs="Open Sans" w:eastAsia="Open Sans" w:hAnsi="Open Sans"/>
          <w:color w:val="222222"/>
          <w:sz w:val="22"/>
          <w:szCs w:val="22"/>
          <w:rtl w:val="0"/>
        </w:rPr>
        <w:t xml:space="preserve">C Baily Law, LLC</w:t>
      </w:r>
    </w:p>
    <w:p w:rsidR="00000000" w:rsidDel="00000000" w:rsidP="00000000" w:rsidRDefault="00000000" w:rsidRPr="00000000" w14:paraId="00000004">
      <w:pPr>
        <w:pStyle w:val="Heading2"/>
        <w:shd w:fill="ffffff" w:val="clear"/>
        <w:rPr>
          <w:rFonts w:ascii="Open Sans" w:cs="Open Sans" w:eastAsia="Open Sans" w:hAnsi="Open Sans"/>
          <w:b w:val="1"/>
          <w:color w:val="222222"/>
          <w:sz w:val="22"/>
          <w:szCs w:val="22"/>
        </w:rPr>
      </w:pPr>
      <w:bookmarkStart w:colFirst="0" w:colLast="0" w:name="_22sf8fmtgoac" w:id="2"/>
      <w:bookmarkEnd w:id="2"/>
      <w:r w:rsidDel="00000000" w:rsidR="00000000" w:rsidRPr="00000000">
        <w:rPr>
          <w:rFonts w:ascii="Open Sans" w:cs="Open Sans" w:eastAsia="Open Sans" w:hAnsi="Open Sans"/>
          <w:rtl w:val="0"/>
        </w:rPr>
        <w:t xml:space="preserve">Hero</w:t>
      </w:r>
      <w:r w:rsidDel="00000000" w:rsidR="00000000" w:rsidRPr="00000000">
        <w:rPr>
          <w:rtl w:val="0"/>
        </w:rPr>
      </w:r>
    </w:p>
    <w:p w:rsidR="00000000" w:rsidDel="00000000" w:rsidP="00000000" w:rsidRDefault="00000000" w:rsidRPr="00000000" w14:paraId="00000005">
      <w:pPr>
        <w:pStyle w:val="Heading3"/>
        <w:shd w:fill="ffffff" w:val="clear"/>
        <w:rPr/>
      </w:pPr>
      <w:bookmarkStart w:colFirst="0" w:colLast="0" w:name="_e7znzaxfmz52" w:id="3"/>
      <w:bookmarkEnd w:id="3"/>
      <w:r w:rsidDel="00000000" w:rsidR="00000000" w:rsidRPr="00000000">
        <w:rPr>
          <w:rtl w:val="0"/>
        </w:rPr>
        <w:t xml:space="preserve">Heading</w:t>
      </w:r>
    </w:p>
    <w:p w:rsidR="00000000" w:rsidDel="00000000" w:rsidP="00000000" w:rsidRDefault="00000000" w:rsidRPr="00000000" w14:paraId="00000006">
      <w:pPr>
        <w:shd w:fill="ffffff" w:val="clear"/>
        <w:rPr>
          <w:rFonts w:ascii="Open Sans" w:cs="Open Sans" w:eastAsia="Open Sans" w:hAnsi="Open Sans"/>
          <w:color w:val="222222"/>
          <w:sz w:val="22"/>
          <w:szCs w:val="22"/>
        </w:rPr>
      </w:pPr>
      <w:r w:rsidDel="00000000" w:rsidR="00000000" w:rsidRPr="00000000">
        <w:rPr>
          <w:rFonts w:ascii="Open Sans" w:cs="Open Sans" w:eastAsia="Open Sans" w:hAnsi="Open Sans"/>
          <w:color w:val="222222"/>
          <w:sz w:val="22"/>
          <w:szCs w:val="22"/>
          <w:rtl w:val="0"/>
        </w:rPr>
        <w:t xml:space="preserve">Direct access to unparalleled expertise</w:t>
      </w:r>
    </w:p>
    <w:p w:rsidR="00000000" w:rsidDel="00000000" w:rsidP="00000000" w:rsidRDefault="00000000" w:rsidRPr="00000000" w14:paraId="00000007">
      <w:pPr>
        <w:pStyle w:val="Heading3"/>
        <w:shd w:fill="ffffff" w:val="clear"/>
        <w:rPr/>
      </w:pPr>
      <w:bookmarkStart w:colFirst="0" w:colLast="0" w:name="_2imkh9np36g3" w:id="4"/>
      <w:bookmarkEnd w:id="4"/>
      <w:r w:rsidDel="00000000" w:rsidR="00000000" w:rsidRPr="00000000">
        <w:rPr>
          <w:rtl w:val="0"/>
        </w:rPr>
        <w:t xml:space="preserve">Hero Text</w:t>
      </w:r>
    </w:p>
    <w:p w:rsidR="00000000" w:rsidDel="00000000" w:rsidP="00000000" w:rsidRDefault="00000000" w:rsidRPr="00000000" w14:paraId="00000008">
      <w:pPr>
        <w:shd w:fill="ffffff" w:val="clear"/>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Government regulators relied on Christine for her legal advice for decades. Now she offers this unparalleled expertise to help businesses and professionals address the legal risks and requirements in regulated industries. She provides direct access to clients so they can work one-on-one with the lawyer handling their legal concerns. </w:t>
      </w:r>
    </w:p>
    <w:p w:rsidR="00000000" w:rsidDel="00000000" w:rsidP="00000000" w:rsidRDefault="00000000" w:rsidRPr="00000000" w14:paraId="00000009">
      <w:pPr>
        <w:pStyle w:val="Heading3"/>
        <w:shd w:fill="ffffff" w:val="clear"/>
        <w:rPr/>
      </w:pPr>
      <w:bookmarkStart w:colFirst="0" w:colLast="0" w:name="_1zw0brq4olun" w:id="5"/>
      <w:bookmarkEnd w:id="5"/>
      <w:r w:rsidDel="00000000" w:rsidR="00000000" w:rsidRPr="00000000">
        <w:rPr>
          <w:rtl w:val="0"/>
        </w:rPr>
        <w:t xml:space="preserve">Call To Action Button</w:t>
      </w:r>
    </w:p>
    <w:p w:rsidR="00000000" w:rsidDel="00000000" w:rsidP="00000000" w:rsidRDefault="00000000" w:rsidRPr="00000000" w14:paraId="0000000A">
      <w:pPr>
        <w:rPr>
          <w:rFonts w:ascii="Open Sans" w:cs="Open Sans" w:eastAsia="Open Sans" w:hAnsi="Open Sans"/>
          <w:color w:val="222222"/>
          <w:sz w:val="22"/>
          <w:szCs w:val="22"/>
        </w:rPr>
      </w:pPr>
      <w:r w:rsidDel="00000000" w:rsidR="00000000" w:rsidRPr="00000000">
        <w:rPr>
          <w:rtl w:val="0"/>
        </w:rPr>
        <w:t xml:space="preserve">Contact Us</w:t>
      </w:r>
      <w:r w:rsidDel="00000000" w:rsidR="00000000" w:rsidRPr="00000000">
        <w:rPr>
          <w:rtl w:val="0"/>
        </w:rPr>
      </w:r>
    </w:p>
    <w:p w:rsidR="00000000" w:rsidDel="00000000" w:rsidP="00000000" w:rsidRDefault="00000000" w:rsidRPr="00000000" w14:paraId="0000000B">
      <w:pPr>
        <w:pStyle w:val="Heading2"/>
        <w:shd w:fill="ffffff" w:val="clear"/>
        <w:rPr/>
      </w:pPr>
      <w:bookmarkStart w:colFirst="0" w:colLast="0" w:name="_yuyxaqsfgv9m" w:id="6"/>
      <w:bookmarkEnd w:id="6"/>
      <w:r w:rsidDel="00000000" w:rsidR="00000000" w:rsidRPr="00000000">
        <w:rPr>
          <w:rtl w:val="0"/>
        </w:rPr>
        <w:t xml:space="preserve">Our </w:t>
      </w:r>
      <w:r w:rsidDel="00000000" w:rsidR="00000000" w:rsidRPr="00000000">
        <w:rPr>
          <w:rtl w:val="0"/>
        </w:rPr>
        <w:t xml:space="preserve">Services</w:t>
      </w:r>
    </w:p>
    <w:p w:rsidR="00000000" w:rsidDel="00000000" w:rsidP="00000000" w:rsidRDefault="00000000" w:rsidRPr="00000000" w14:paraId="0000000C">
      <w:pPr>
        <w:pStyle w:val="Heading3"/>
        <w:shd w:fill="ffffff" w:val="clear"/>
        <w:spacing w:before="280" w:lineRule="auto"/>
        <w:rPr/>
      </w:pPr>
      <w:bookmarkStart w:colFirst="0" w:colLast="0" w:name="_ialtpzg4lfxe" w:id="7"/>
      <w:bookmarkEnd w:id="7"/>
      <w:r w:rsidDel="00000000" w:rsidR="00000000" w:rsidRPr="00000000">
        <w:rPr>
          <w:rtl w:val="0"/>
        </w:rPr>
        <w:t xml:space="preserve">Cannabis &amp; Hemp</w:t>
      </w:r>
    </w:p>
    <w:p w:rsidR="00000000" w:rsidDel="00000000" w:rsidP="00000000" w:rsidRDefault="00000000" w:rsidRPr="00000000" w14:paraId="0000000D">
      <w:pPr>
        <w:shd w:fill="ffffff" w:val="clear"/>
        <w:rPr>
          <w:rFonts w:ascii="Open Sans" w:cs="Open Sans" w:eastAsia="Open Sans" w:hAnsi="Open Sans"/>
          <w:color w:val="222222"/>
          <w:sz w:val="22"/>
          <w:szCs w:val="22"/>
        </w:rPr>
      </w:pPr>
      <w:r w:rsidDel="00000000" w:rsidR="00000000" w:rsidRPr="00000000">
        <w:rPr>
          <w:rFonts w:ascii="Open Sans" w:cs="Open Sans" w:eastAsia="Open Sans" w:hAnsi="Open Sans"/>
          <w:color w:val="000000"/>
          <w:sz w:val="22"/>
          <w:szCs w:val="22"/>
          <w:rtl w:val="0"/>
        </w:rPr>
        <w:t xml:space="preserve">As the founding General Counsel of the first state agency in the Northeast to stand up the medical- and adult-use cannabis industries, Christine can leverage her experience and expertise to help cannabis and hemp businesses navigate the legal requirements and risks of cultivating, manufacturing, delivering, transporting, storing, selling, and testing. For business owners looking to expand, she can help weigh the benefits and risks of operating in multiple states.</w:t>
      </w:r>
      <w:r w:rsidDel="00000000" w:rsidR="00000000" w:rsidRPr="00000000">
        <w:rPr>
          <w:rtl w:val="0"/>
        </w:rPr>
      </w:r>
    </w:p>
    <w:p w:rsidR="00000000" w:rsidDel="00000000" w:rsidP="00000000" w:rsidRDefault="00000000" w:rsidRPr="00000000" w14:paraId="0000000E">
      <w:pPr>
        <w:pStyle w:val="Heading3"/>
        <w:shd w:fill="ffffff" w:val="clear"/>
        <w:spacing w:before="280" w:lineRule="auto"/>
        <w:rPr/>
      </w:pPr>
      <w:bookmarkStart w:colFirst="0" w:colLast="0" w:name="_6722kxbjpudm" w:id="8"/>
      <w:bookmarkEnd w:id="8"/>
      <w:r w:rsidDel="00000000" w:rsidR="00000000" w:rsidRPr="00000000">
        <w:rPr>
          <w:rtl w:val="0"/>
        </w:rPr>
        <w:t xml:space="preserve">Medical-Use Cannabis</w:t>
      </w:r>
    </w:p>
    <w:p w:rsidR="00000000" w:rsidDel="00000000" w:rsidP="00000000" w:rsidRDefault="00000000" w:rsidRPr="00000000" w14:paraId="0000000F">
      <w:pPr>
        <w:shd w:fill="ffffff" w:val="clear"/>
        <w:rPr>
          <w:rFonts w:ascii="Open Sans" w:cs="Open Sans" w:eastAsia="Open Sans" w:hAnsi="Open Sans"/>
          <w:color w:val="222222"/>
          <w:sz w:val="22"/>
          <w:szCs w:val="22"/>
        </w:rPr>
      </w:pPr>
      <w:r w:rsidDel="00000000" w:rsidR="00000000" w:rsidRPr="00000000">
        <w:rPr>
          <w:rFonts w:ascii="Open Sans" w:cs="Open Sans" w:eastAsia="Open Sans" w:hAnsi="Open Sans"/>
          <w:color w:val="000000"/>
          <w:sz w:val="22"/>
          <w:szCs w:val="22"/>
          <w:rtl w:val="0"/>
        </w:rPr>
        <w:t xml:space="preserve">If you are a healthcare professional, C Baily Law LLC can answer your questions about the implications of certifying adult, pediatric, or out-of-state </w:t>
      </w:r>
      <w:r w:rsidDel="00000000" w:rsidR="00000000" w:rsidRPr="00000000">
        <w:rPr>
          <w:rFonts w:ascii="Open Sans" w:cs="Open Sans" w:eastAsia="Open Sans" w:hAnsi="Open Sans"/>
          <w:sz w:val="22"/>
          <w:szCs w:val="22"/>
          <w:rtl w:val="0"/>
        </w:rPr>
        <w:t xml:space="preserve">patients to</w:t>
      </w:r>
      <w:r w:rsidDel="00000000" w:rsidR="00000000" w:rsidRPr="00000000">
        <w:rPr>
          <w:rFonts w:ascii="Open Sans" w:cs="Open Sans" w:eastAsia="Open Sans" w:hAnsi="Open Sans"/>
          <w:color w:val="000000"/>
          <w:sz w:val="22"/>
          <w:szCs w:val="22"/>
          <w:rtl w:val="0"/>
        </w:rPr>
        <w:t xml:space="preserve"> use medical-use marijuana for your license and practice. Christine can help you understand the current state of the law, and how changes to the law may impact your future business. </w:t>
      </w:r>
      <w:r w:rsidDel="00000000" w:rsidR="00000000" w:rsidRPr="00000000">
        <w:rPr>
          <w:rtl w:val="0"/>
        </w:rPr>
      </w:r>
    </w:p>
    <w:p w:rsidR="00000000" w:rsidDel="00000000" w:rsidP="00000000" w:rsidRDefault="00000000" w:rsidRPr="00000000" w14:paraId="00000010">
      <w:pPr>
        <w:pStyle w:val="Heading3"/>
        <w:shd w:fill="ffffff" w:val="clear"/>
        <w:spacing w:before="280" w:lineRule="auto"/>
        <w:rPr/>
      </w:pPr>
      <w:bookmarkStart w:colFirst="0" w:colLast="0" w:name="_idrrgripz1rs" w:id="9"/>
      <w:bookmarkEnd w:id="9"/>
      <w:r w:rsidDel="00000000" w:rsidR="00000000" w:rsidRPr="00000000">
        <w:rPr>
          <w:rtl w:val="0"/>
        </w:rPr>
        <w:t xml:space="preserve">Administrative Law</w:t>
      </w:r>
    </w:p>
    <w:p w:rsidR="00000000" w:rsidDel="00000000" w:rsidP="00000000" w:rsidRDefault="00000000" w:rsidRPr="00000000" w14:paraId="00000011">
      <w:pPr>
        <w:shd w:fill="ffffff" w:val="clear"/>
        <w:rPr>
          <w:rFonts w:ascii="Open Sans" w:cs="Open Sans" w:eastAsia="Open Sans" w:hAnsi="Open Sans"/>
          <w:color w:val="222222"/>
          <w:sz w:val="22"/>
          <w:szCs w:val="22"/>
        </w:rPr>
      </w:pPr>
      <w:r w:rsidDel="00000000" w:rsidR="00000000" w:rsidRPr="00000000">
        <w:rPr>
          <w:rFonts w:ascii="Open Sans" w:cs="Open Sans" w:eastAsia="Open Sans" w:hAnsi="Open Sans"/>
          <w:color w:val="000000"/>
          <w:sz w:val="22"/>
          <w:szCs w:val="22"/>
          <w:rtl w:val="0"/>
        </w:rPr>
        <w:t xml:space="preserve">If you are licensed or registered with a state agency responding to an investigation, audit, or other inquiries from regulators, including if your license has been suspended or revoked, C Baily Law LLC can respond to and challenge governmental actions impacting your business, including representing you before an administrative agency or reviewing court.</w:t>
      </w:r>
      <w:r w:rsidDel="00000000" w:rsidR="00000000" w:rsidRPr="00000000">
        <w:rPr>
          <w:rtl w:val="0"/>
        </w:rPr>
      </w:r>
    </w:p>
    <w:p w:rsidR="00000000" w:rsidDel="00000000" w:rsidP="00000000" w:rsidRDefault="00000000" w:rsidRPr="00000000" w14:paraId="00000012">
      <w:pPr>
        <w:pStyle w:val="Heading3"/>
        <w:shd w:fill="ffffff" w:val="clear"/>
        <w:spacing w:before="280" w:lineRule="auto"/>
        <w:rPr/>
      </w:pPr>
      <w:bookmarkStart w:colFirst="0" w:colLast="0" w:name="_6hqfcsaux0bc" w:id="10"/>
      <w:bookmarkEnd w:id="10"/>
      <w:r w:rsidDel="00000000" w:rsidR="00000000" w:rsidRPr="00000000">
        <w:rPr>
          <w:rtl w:val="0"/>
        </w:rPr>
        <w:t xml:space="preserve">Appellate Litigation</w:t>
      </w:r>
    </w:p>
    <w:p w:rsidR="00000000" w:rsidDel="00000000" w:rsidP="00000000" w:rsidRDefault="00000000" w:rsidRPr="00000000" w14:paraId="00000013">
      <w:pPr>
        <w:shd w:fill="ffffff" w:val="clear"/>
        <w:rPr>
          <w:rFonts w:ascii="Open Sans" w:cs="Open Sans" w:eastAsia="Open Sans" w:hAnsi="Open Sans"/>
          <w:b w:val="1"/>
          <w:color w:val="000000"/>
          <w:sz w:val="22"/>
          <w:szCs w:val="22"/>
        </w:rPr>
      </w:pPr>
      <w:r w:rsidDel="00000000" w:rsidR="00000000" w:rsidRPr="00000000">
        <w:rPr>
          <w:rFonts w:ascii="Open Sans" w:cs="Open Sans" w:eastAsia="Open Sans" w:hAnsi="Open Sans"/>
          <w:color w:val="000000"/>
          <w:sz w:val="22"/>
          <w:szCs w:val="22"/>
          <w:rtl w:val="0"/>
        </w:rPr>
        <w:t xml:space="preserve">With years of experience appearing before and working for appellate courts, including two state supreme courts, Christine can advise clients on whether and when it makes sense to pursue an appeal. While she has a broad range of expertise in this area, she is uniquely qualified to represent business owners and professionals challenging adverse governmental actions on appeal. </w:t>
      </w:r>
      <w:r w:rsidDel="00000000" w:rsidR="00000000" w:rsidRPr="00000000">
        <w:rPr>
          <w:rtl w:val="0"/>
        </w:rPr>
      </w:r>
    </w:p>
    <w:p w:rsidR="00000000" w:rsidDel="00000000" w:rsidP="00000000" w:rsidRDefault="00000000" w:rsidRPr="00000000" w14:paraId="00000014">
      <w:pPr>
        <w:pStyle w:val="Heading2"/>
        <w:shd w:fill="ffffff" w:val="clear"/>
        <w:rPr/>
      </w:pPr>
      <w:bookmarkStart w:colFirst="0" w:colLast="0" w:name="_umfqb6iddapb" w:id="11"/>
      <w:bookmarkEnd w:id="11"/>
      <w:r w:rsidDel="00000000" w:rsidR="00000000" w:rsidRPr="00000000">
        <w:rPr>
          <w:rtl w:val="0"/>
        </w:rPr>
        <w:t xml:space="preserve">About Us</w:t>
      </w:r>
    </w:p>
    <w:p w:rsidR="00000000" w:rsidDel="00000000" w:rsidP="00000000" w:rsidRDefault="00000000" w:rsidRPr="00000000" w14:paraId="00000015">
      <w:pPr>
        <w:shd w:fill="ffffff" w:val="clear"/>
        <w:rPr>
          <w:rFonts w:ascii="Open Sans" w:cs="Open Sans" w:eastAsia="Open Sans" w:hAnsi="Open Sans"/>
          <w:sz w:val="22"/>
          <w:szCs w:val="22"/>
        </w:rPr>
      </w:pPr>
      <w:r w:rsidDel="00000000" w:rsidR="00000000" w:rsidRPr="00000000">
        <w:rPr>
          <w:rFonts w:ascii="Open Sans" w:cs="Open Sans" w:eastAsia="Open Sans" w:hAnsi="Open Sans"/>
          <w:color w:val="000000"/>
          <w:sz w:val="22"/>
          <w:szCs w:val="22"/>
          <w:rtl w:val="0"/>
        </w:rPr>
        <w:t xml:space="preserve">Christine Baily has 20+ years of experience in the private and public sectors, including advising governmental agencies and officials on the legal requirements for business owners and professionals operating in regulated industries. As a solo practitioner, Christine works directly with clients offering a unique expertise that helps them achieve their objectives.</w:t>
      </w:r>
      <w:r w:rsidDel="00000000" w:rsidR="00000000" w:rsidRPr="00000000">
        <w:rPr>
          <w:rtl w:val="0"/>
        </w:rPr>
      </w:r>
    </w:p>
    <w:p w:rsidR="00000000" w:rsidDel="00000000" w:rsidP="00000000" w:rsidRDefault="00000000" w:rsidRPr="00000000" w14:paraId="00000016">
      <w:pPr>
        <w:pStyle w:val="Heading2"/>
        <w:rPr/>
      </w:pPr>
      <w:bookmarkStart w:colFirst="0" w:colLast="0" w:name="_1s4lne7x5ugw" w:id="12"/>
      <w:bookmarkEnd w:id="12"/>
      <w:r w:rsidDel="00000000" w:rsidR="00000000" w:rsidRPr="00000000">
        <w:rPr>
          <w:rtl w:val="0"/>
        </w:rPr>
        <w:t xml:space="preserve">What makes C Baily Law LLC unique</w:t>
      </w:r>
    </w:p>
    <w:p w:rsidR="00000000" w:rsidDel="00000000" w:rsidP="00000000" w:rsidRDefault="00000000" w:rsidRPr="00000000" w14:paraId="00000017">
      <w:pPr>
        <w:rPr/>
      </w:pPr>
      <w:r w:rsidDel="00000000" w:rsidR="00000000" w:rsidRPr="00000000">
        <w:rPr>
          <w:rtl w:val="0"/>
        </w:rPr>
        <w:t xml:space="preserve">Here’s what people are saying about Christine Baily and her legal expertise.</w:t>
      </w:r>
    </w:p>
    <w:p w:rsidR="00000000" w:rsidDel="00000000" w:rsidP="00000000" w:rsidRDefault="00000000" w:rsidRPr="00000000" w14:paraId="00000018">
      <w:pPr>
        <w:pStyle w:val="Heading3"/>
        <w:rPr>
          <w:rFonts w:ascii="Open Sans" w:cs="Open Sans" w:eastAsia="Open Sans" w:hAnsi="Open Sans"/>
          <w:sz w:val="22"/>
          <w:szCs w:val="22"/>
        </w:rPr>
      </w:pPr>
      <w:bookmarkStart w:colFirst="0" w:colLast="0" w:name="_z9lioxqluyoz" w:id="13"/>
      <w:bookmarkEnd w:id="13"/>
      <w:r w:rsidDel="00000000" w:rsidR="00000000" w:rsidRPr="00000000">
        <w:rPr>
          <w:rtl w:val="0"/>
        </w:rPr>
        <w:t xml:space="preserve">Testimonials</w:t>
      </w:r>
      <w:r w:rsidDel="00000000" w:rsidR="00000000" w:rsidRPr="00000000">
        <w:rPr>
          <w:rtl w:val="0"/>
        </w:rPr>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 highly recommend Christine to clients seeking expert guidance navigating complex regulatory situations. I have worked closely with her, and she brings tenacious advocacy and deep industry experience to achieve practical solutions.” </w:t>
      </w:r>
    </w:p>
    <w:p w:rsidR="00000000" w:rsidDel="00000000" w:rsidP="00000000" w:rsidRDefault="00000000" w:rsidRPr="00000000" w14:paraId="0000001A">
      <w:pPr>
        <w:ind w:left="3600" w:firstLine="72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A state government lawyer.  </w:t>
      </w:r>
    </w:p>
    <w:p w:rsidR="00000000" w:rsidDel="00000000" w:rsidP="00000000" w:rsidRDefault="00000000" w:rsidRPr="00000000" w14:paraId="0000001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“Christine has a remarkable aptitude of tackling the issues brought to her by her clients with humility, keen sensitivity, and, invariably, from an angle not previously contemplated by the client.”</w:t>
      </w:r>
    </w:p>
    <w:p w:rsidR="00000000" w:rsidDel="00000000" w:rsidP="00000000" w:rsidRDefault="00000000" w:rsidRPr="00000000" w14:paraId="0000001D">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ab/>
        <w:tab/>
        <w:tab/>
        <w:tab/>
        <w:tab/>
        <w:tab/>
        <w:t xml:space="preserve">-A federal government lawyer.</w:t>
      </w:r>
    </w:p>
    <w:p w:rsidR="00000000" w:rsidDel="00000000" w:rsidP="00000000" w:rsidRDefault="00000000" w:rsidRPr="00000000" w14:paraId="0000001E">
      <w:pPr>
        <w:pStyle w:val="Heading3"/>
        <w:rPr/>
      </w:pPr>
      <w:bookmarkStart w:colFirst="0" w:colLast="0" w:name="_im8frrfquec4" w:id="14"/>
      <w:bookmarkEnd w:id="14"/>
      <w:r w:rsidDel="00000000" w:rsidR="00000000" w:rsidRPr="00000000">
        <w:rPr>
          <w:rtl w:val="0"/>
        </w:rPr>
        <w:t xml:space="preserve">In the press</w:t>
      </w:r>
    </w:p>
    <w:p w:rsidR="00000000" w:rsidDel="00000000" w:rsidP="00000000" w:rsidRDefault="00000000" w:rsidRPr="00000000" w14:paraId="0000001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Commonwealth Magazine reported on an amicus brief submitted in the matter</w:t>
      </w:r>
      <w:r w:rsidDel="00000000" w:rsidR="00000000" w:rsidRPr="00000000">
        <w:rPr>
          <w:rFonts w:ascii="Open Sans" w:cs="Open Sans" w:eastAsia="Open Sans" w:hAnsi="Open Sans"/>
          <w:color w:val="222222"/>
          <w:sz w:val="22"/>
          <w:szCs w:val="22"/>
          <w:highlight w:val="white"/>
          <w:rtl w:val="0"/>
        </w:rPr>
        <w:t xml:space="preserve"> </w:t>
      </w:r>
      <w:r w:rsidDel="00000000" w:rsidR="00000000" w:rsidRPr="00000000">
        <w:rPr>
          <w:rFonts w:ascii="Open Sans" w:cs="Open Sans" w:eastAsia="Open Sans" w:hAnsi="Open Sans"/>
          <w:i w:val="0"/>
          <w:color w:val="3a3a3a"/>
          <w:sz w:val="22"/>
          <w:szCs w:val="22"/>
          <w:highlight w:val="white"/>
          <w:u w:val="single"/>
          <w:rtl w:val="0"/>
        </w:rPr>
        <w:t xml:space="preserve">Mederi, Inc</w:t>
      </w:r>
      <w:r w:rsidDel="00000000" w:rsidR="00000000" w:rsidRPr="00000000">
        <w:rPr>
          <w:rFonts w:ascii="Open Sans" w:cs="Open Sans" w:eastAsia="Open Sans" w:hAnsi="Open Sans"/>
          <w:i w:val="0"/>
          <w:color w:val="3a3a3a"/>
          <w:sz w:val="22"/>
          <w:szCs w:val="22"/>
          <w:highlight w:val="white"/>
          <w:rtl w:val="0"/>
        </w:rPr>
        <w:t xml:space="preserve">. v. </w:t>
      </w:r>
      <w:r w:rsidDel="00000000" w:rsidR="00000000" w:rsidRPr="00000000">
        <w:rPr>
          <w:rFonts w:ascii="Open Sans" w:cs="Open Sans" w:eastAsia="Open Sans" w:hAnsi="Open Sans"/>
          <w:i w:val="0"/>
          <w:color w:val="3a3a3a"/>
          <w:sz w:val="22"/>
          <w:szCs w:val="22"/>
          <w:highlight w:val="white"/>
          <w:u w:val="single"/>
          <w:rtl w:val="0"/>
        </w:rPr>
        <w:t xml:space="preserve">City of Salem</w:t>
      </w:r>
      <w:r w:rsidDel="00000000" w:rsidR="00000000" w:rsidRPr="00000000">
        <w:rPr>
          <w:rFonts w:ascii="Open Sans" w:cs="Open Sans" w:eastAsia="Open Sans" w:hAnsi="Open Sans"/>
          <w:color w:val="222222"/>
          <w:sz w:val="22"/>
          <w:szCs w:val="22"/>
          <w:highlight w:val="white"/>
          <w:rtl w:val="0"/>
        </w:rPr>
        <w:t xml:space="preserve">, a case before the Massachusetts Supreme Judicial Court (SJC): </w:t>
      </w:r>
      <w:r w:rsidDel="00000000" w:rsidR="00000000" w:rsidRPr="00000000">
        <w:rPr>
          <w:rtl w:val="0"/>
        </w:rPr>
      </w:r>
    </w:p>
    <w:p w:rsidR="00000000" w:rsidDel="00000000" w:rsidP="00000000" w:rsidRDefault="00000000" w:rsidRPr="00000000" w14:paraId="00000020">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1">
      <w:pPr>
        <w:ind w:left="720" w:firstLine="0"/>
        <w:rPr>
          <w:rFonts w:ascii="Open Sans" w:cs="Open Sans" w:eastAsia="Open Sans" w:hAnsi="Open Sans"/>
          <w:color w:val="222222"/>
          <w:sz w:val="22"/>
          <w:szCs w:val="22"/>
          <w:highlight w:val="white"/>
        </w:rPr>
      </w:pPr>
      <w:r w:rsidDel="00000000" w:rsidR="00000000" w:rsidRPr="00000000">
        <w:rPr>
          <w:rFonts w:ascii="Open Sans" w:cs="Open Sans" w:eastAsia="Open Sans" w:hAnsi="Open Sans"/>
          <w:sz w:val="22"/>
          <w:szCs w:val="22"/>
          <w:rtl w:val="0"/>
        </w:rPr>
        <w:t xml:space="preserve">“</w:t>
      </w:r>
      <w:r w:rsidDel="00000000" w:rsidR="00000000" w:rsidRPr="00000000">
        <w:rPr>
          <w:rFonts w:ascii="Open Sans" w:cs="Open Sans" w:eastAsia="Open Sans" w:hAnsi="Open Sans"/>
          <w:color w:val="222222"/>
          <w:sz w:val="22"/>
          <w:szCs w:val="22"/>
          <w:highlight w:val="white"/>
          <w:rtl w:val="0"/>
        </w:rPr>
        <w:t xml:space="preserve">Christine Baily, an attorney for the Cannabis Control Commission … notes the inconsistency in the law. Baily writes that by granting municipalities exclusive control over the host community agreement process, municipalities have authority over who can seek state licensure.”</w:t>
      </w:r>
    </w:p>
    <w:p w:rsidR="00000000" w:rsidDel="00000000" w:rsidP="00000000" w:rsidRDefault="00000000" w:rsidRPr="00000000" w14:paraId="00000022">
      <w:pPr>
        <w:ind w:left="720" w:firstLine="0"/>
        <w:rPr>
          <w:rFonts w:ascii="Open Sans" w:cs="Open Sans" w:eastAsia="Open Sans" w:hAnsi="Open Sans"/>
          <w:color w:val="222222"/>
          <w:sz w:val="22"/>
          <w:szCs w:val="22"/>
          <w:highlight w:val="white"/>
        </w:rPr>
      </w:pPr>
      <w:r w:rsidDel="00000000" w:rsidR="00000000" w:rsidRPr="00000000">
        <w:rPr>
          <w:rFonts w:ascii="Open Sans" w:cs="Open Sans" w:eastAsia="Open Sans" w:hAnsi="Open Sans"/>
          <w:color w:val="222222"/>
          <w:sz w:val="22"/>
          <w:szCs w:val="22"/>
          <w:highlight w:val="white"/>
          <w:rtl w:val="0"/>
        </w:rPr>
        <w:tab/>
        <w:tab/>
        <w:tab/>
        <w:tab/>
        <w:tab/>
        <w:t xml:space="preserve">– </w:t>
      </w:r>
      <w:hyperlink r:id="rId6">
        <w:r w:rsidDel="00000000" w:rsidR="00000000" w:rsidRPr="00000000">
          <w:rPr>
            <w:rFonts w:ascii="Open Sans" w:cs="Open Sans" w:eastAsia="Open Sans" w:hAnsi="Open Sans"/>
            <w:color w:val="1155cc"/>
            <w:sz w:val="22"/>
            <w:szCs w:val="22"/>
            <w:highlight w:val="white"/>
            <w:u w:val="single"/>
            <w:rtl w:val="0"/>
          </w:rPr>
          <w:t xml:space="preserve">SJC takes up local control of marijuana licensing</w:t>
        </w:r>
      </w:hyperlink>
      <w:r w:rsidDel="00000000" w:rsidR="00000000" w:rsidRPr="00000000">
        <w:rPr>
          <w:rtl w:val="0"/>
        </w:rPr>
      </w:r>
    </w:p>
    <w:p w:rsidR="00000000" w:rsidDel="00000000" w:rsidP="00000000" w:rsidRDefault="00000000" w:rsidRPr="00000000" w14:paraId="00000023">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24">
      <w:pPr>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When the SJC issued its decision, </w:t>
      </w:r>
      <w:r w:rsidDel="00000000" w:rsidR="00000000" w:rsidRPr="00000000">
        <w:rPr>
          <w:rFonts w:ascii="Open Sans" w:cs="Open Sans" w:eastAsia="Open Sans" w:hAnsi="Open Sans"/>
          <w:sz w:val="22"/>
          <w:szCs w:val="22"/>
          <w:u w:val="single"/>
          <w:rtl w:val="0"/>
        </w:rPr>
        <w:t xml:space="preserve">Mederi, Inc</w:t>
      </w:r>
      <w:r w:rsidDel="00000000" w:rsidR="00000000" w:rsidRPr="00000000">
        <w:rPr>
          <w:rFonts w:ascii="Open Sans" w:cs="Open Sans" w:eastAsia="Open Sans" w:hAnsi="Open Sans"/>
          <w:sz w:val="22"/>
          <w:szCs w:val="22"/>
          <w:rtl w:val="0"/>
        </w:rPr>
        <w:t xml:space="preserve">. v. </w:t>
      </w:r>
      <w:r w:rsidDel="00000000" w:rsidR="00000000" w:rsidRPr="00000000">
        <w:rPr>
          <w:rFonts w:ascii="Open Sans" w:cs="Open Sans" w:eastAsia="Open Sans" w:hAnsi="Open Sans"/>
          <w:sz w:val="22"/>
          <w:szCs w:val="22"/>
          <w:u w:val="single"/>
          <w:rtl w:val="0"/>
        </w:rPr>
        <w:t xml:space="preserve">City of Salem</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color w:val="3a3a3a"/>
          <w:sz w:val="22"/>
          <w:szCs w:val="22"/>
          <w:highlight w:val="white"/>
          <w:rtl w:val="0"/>
        </w:rPr>
        <w:t xml:space="preserve">488 Mass. 60 (2021)</w:t>
      </w:r>
      <w:r w:rsidDel="00000000" w:rsidR="00000000" w:rsidRPr="00000000">
        <w:rPr>
          <w:rFonts w:ascii="Open Sans" w:cs="Open Sans" w:eastAsia="Open Sans" w:hAnsi="Open Sans"/>
          <w:sz w:val="22"/>
          <w:szCs w:val="22"/>
          <w:rtl w:val="0"/>
        </w:rPr>
        <w:t xml:space="preserve">, the Boston Bar Association noted that the court raised “valuable questions about the purposes of HCAs.” </w:t>
      </w:r>
      <w:hyperlink r:id="rId7">
        <w:r w:rsidDel="00000000" w:rsidR="00000000" w:rsidRPr="00000000">
          <w:rPr>
            <w:rFonts w:ascii="Open Sans" w:cs="Open Sans" w:eastAsia="Open Sans" w:hAnsi="Open Sans"/>
            <w:color w:val="1155cc"/>
            <w:sz w:val="22"/>
            <w:szCs w:val="22"/>
            <w:u w:val="single"/>
            <w:rtl w:val="0"/>
          </w:rPr>
          <w:t xml:space="preserve">Massachusetts High Courts Weigh In On the Limits of Local Control Over Cannabis Businesses - Boston Bar Association</w:t>
        </w:r>
      </w:hyperlink>
      <w:r w:rsidDel="00000000" w:rsidR="00000000" w:rsidRPr="00000000">
        <w:rPr>
          <w:rFonts w:ascii="Open Sans" w:cs="Open Sans" w:eastAsia="Open Sans" w:hAnsi="Open Sans"/>
          <w:sz w:val="22"/>
          <w:szCs w:val="22"/>
          <w:rtl w:val="0"/>
        </w:rPr>
        <w:t xml:space="preserve">. These questions reflected its close consideration of the points made in her brief.  </w:t>
      </w:r>
    </w:p>
    <w:p w:rsidR="00000000" w:rsidDel="00000000" w:rsidP="00000000" w:rsidRDefault="00000000" w:rsidRPr="00000000" w14:paraId="00000025">
      <w:pPr>
        <w:ind w:left="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6">
      <w:pPr>
        <w:pStyle w:val="Heading2"/>
        <w:rPr/>
      </w:pPr>
      <w:bookmarkStart w:colFirst="0" w:colLast="0" w:name="_lpwa0dfy5owv" w:id="15"/>
      <w:bookmarkEnd w:id="15"/>
      <w:r w:rsidDel="00000000" w:rsidR="00000000" w:rsidRPr="00000000">
        <w:rPr>
          <w:rtl w:val="0"/>
        </w:rPr>
        <w:t xml:space="preserve">Contact Us</w:t>
      </w:r>
    </w:p>
    <w:p w:rsidR="00000000" w:rsidDel="00000000" w:rsidP="00000000" w:rsidRDefault="00000000" w:rsidRPr="00000000" w14:paraId="00000027">
      <w:pPr>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sz w:val="22"/>
          <w:szCs w:val="22"/>
        </w:rPr>
      </w:pPr>
      <w:r w:rsidDel="00000000" w:rsidR="00000000" w:rsidRPr="00000000">
        <w:rPr>
          <w:rFonts w:ascii="Open Sans" w:cs="Open Sans" w:eastAsia="Open Sans" w:hAnsi="Open Sans"/>
          <w:sz w:val="22"/>
          <w:szCs w:val="22"/>
          <w:rtl w:val="0"/>
        </w:rPr>
        <w:t xml:space="preserve">Please let me know if you are seeking a free evaluation of whether the firm can represent you in a legal matter.</w:t>
      </w:r>
      <w:r w:rsidDel="00000000" w:rsidR="00000000" w:rsidRPr="00000000">
        <w:rPr>
          <w:rtl w:val="0"/>
        </w:rPr>
      </w:r>
    </w:p>
    <w:p w:rsidR="00000000" w:rsidDel="00000000" w:rsidP="00000000" w:rsidRDefault="00000000" w:rsidRPr="00000000" w14:paraId="0000002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 Adams Street</w:t>
      </w:r>
    </w:p>
    <w:p w:rsidR="00000000" w:rsidDel="00000000" w:rsidP="00000000" w:rsidRDefault="00000000" w:rsidRPr="00000000" w14:paraId="0000002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Arlington, MA 02474</w:t>
      </w:r>
    </w:p>
    <w:p w:rsidR="00000000" w:rsidDel="00000000" w:rsidP="00000000" w:rsidRDefault="00000000" w:rsidRPr="00000000" w14:paraId="0000002C">
      <w:pPr>
        <w:rPr>
          <w:rFonts w:ascii="Open Sans" w:cs="Open Sans" w:eastAsia="Open Sans" w:hAnsi="Open Sans"/>
          <w:sz w:val="22"/>
          <w:szCs w:val="22"/>
          <w:u w:val="single"/>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2"/>
          <w:szCs w:val="22"/>
          <w:u w:val="single"/>
        </w:rPr>
      </w:pPr>
      <w:r w:rsidDel="00000000" w:rsidR="00000000" w:rsidRPr="00000000">
        <w:rPr>
          <w:rFonts w:ascii="Open Sans" w:cs="Open Sans" w:eastAsia="Open Sans" w:hAnsi="Open Sans"/>
          <w:sz w:val="22"/>
          <w:szCs w:val="22"/>
          <w:u w:val="single"/>
          <w:rtl w:val="0"/>
        </w:rPr>
        <w:t xml:space="preserve">(617) 610-9798</w:t>
      </w:r>
    </w:p>
    <w:p w:rsidR="00000000" w:rsidDel="00000000" w:rsidP="00000000" w:rsidRDefault="00000000" w:rsidRPr="00000000" w14:paraId="0000002E">
      <w:pPr>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Open Sans" w:cs="Open Sans" w:eastAsia="Open Sans" w:hAnsi="Open Sans"/>
          <w:b w:val="1"/>
          <w:sz w:val="22"/>
          <w:szCs w:val="22"/>
          <w:rtl w:val="0"/>
        </w:rPr>
        <w:t xml:space="preserve">Insert Clio contact form here.</w:t>
      </w:r>
      <w:r w:rsidDel="00000000" w:rsidR="00000000" w:rsidRPr="00000000">
        <w:rPr>
          <w:rtl w:val="0"/>
        </w:rPr>
      </w:r>
    </w:p>
    <w:p w:rsidR="00000000" w:rsidDel="00000000" w:rsidP="00000000" w:rsidRDefault="00000000" w:rsidRPr="00000000" w14:paraId="00000030">
      <w:pPr>
        <w:pStyle w:val="Heading2"/>
        <w:rPr>
          <w:rFonts w:ascii="Open Sans" w:cs="Open Sans" w:eastAsia="Open Sans" w:hAnsi="Open Sans"/>
          <w:sz w:val="22"/>
          <w:szCs w:val="22"/>
        </w:rPr>
      </w:pPr>
      <w:bookmarkStart w:colFirst="0" w:colLast="0" w:name="_oacyyv9futb3" w:id="16"/>
      <w:bookmarkEnd w:id="16"/>
      <w:r w:rsidDel="00000000" w:rsidR="00000000" w:rsidRPr="00000000">
        <w:rPr>
          <w:rtl w:val="0"/>
        </w:rPr>
        <w:t xml:space="preserve">Footer</w:t>
      </w:r>
      <w:r w:rsidDel="00000000" w:rsidR="00000000" w:rsidRPr="00000000">
        <w:rPr>
          <w:rtl w:val="0"/>
        </w:rPr>
      </w:r>
    </w:p>
    <w:p w:rsidR="00000000" w:rsidDel="00000000" w:rsidP="00000000" w:rsidRDefault="00000000" w:rsidRPr="00000000" w14:paraId="00000031">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Thank you for visiting the website of C Baily Law LLC. Information offered on the website is intended for informational purposes only and should not be considered legal advice. </w:t>
      </w:r>
    </w:p>
    <w:p w:rsidR="00000000" w:rsidDel="00000000" w:rsidP="00000000" w:rsidRDefault="00000000" w:rsidRPr="00000000" w14:paraId="00000032">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onwealthmagazine.org/marijuana/sjc-takes-up-local-control-of-marijuana-licensing/." TargetMode="External"/><Relationship Id="rId7" Type="http://schemas.openxmlformats.org/officeDocument/2006/relationships/hyperlink" Target="https://bostonbar.org/journal/massachusetts-high-courts-weigh-in-on-the-limits-of-local-control-over-cannabis-busine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