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StaxAI — Phase 6.5 Shared Research Layer Quality Specification</w:t>
      </w:r>
    </w:p>
    <w:p>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StaxAI-SRL-Phase-6.5-Quality-Spec-v1_0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v1.0 — May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for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Parent specs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StaxAI-Shared-Research-Layer-Spec-v1_0 (parent), StaxAI-Shared-Research-Layer-Listings-Addendum-v1_0 (extension)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Purpose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Address quality findings surfaced during Phase 6 dry-runs that fall outside Phase 6's listings scope. Improve content retention, curation accuracy, and cross-source deduplication in the Shared Research Layer without re-opening Phase 6's signed-off behaviour.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CLAUDE.md, Shared Research Layer Spec v1.0, Listings Addendum v1.0, Platform Audit Standard v1.4</w:t>
            </w:r>
          </w:p>
        </w:tc>
      </w:tr>
    </w:tbl>
    <w:p>
      <w:r>
        <w:rPr>
          <w:b w:val="false"/>
          <w:bCs w:val="false"/>
          <w:i w:val="false"/>
          <w:iCs w:val="false"/>
        </w:rPr>
        <w:t xml:space="preserve"/>
      </w:r>
    </w:p>
    <w:p>
      <w:pPr>
        <w:pStyle w:val="Heading1"/>
      </w:pPr>
      <w:r>
        <w:t xml:space="preserve">Platform Compliance — MANDATORY</w:t>
      </w:r>
    </w:p>
    <w:p>
      <w:r>
        <w:rPr>
          <w:b/>
          <w:bCs/>
          <w:i w:val="false"/>
          <w:iCs w:val="false"/>
        </w:rPr>
        <w:t xml:space="preserve">WARNING: This section is non-negotiable. Code must read and follow these requirements before writing any code. Violations will require rebuild.</w:t>
      </w:r>
    </w:p>
    <w:p>
      <w:pPr>
        <w:pStyle w:val="Heading2"/>
      </w:pPr>
      <w:r>
        <w:t xml:space="preserve">Files to Read First</w:t>
      </w:r>
    </w:p>
    <w:p>
      <w:r>
        <w:rPr>
          <w:b w:val="false"/>
          <w:bCs w:val="false"/>
          <w:i w:val="false"/>
          <w:iCs w:val="false"/>
        </w:rPr>
        <w:t xml:space="preserve">Before starting any build work, Code must read these files in full:</w:t>
      </w:r>
    </w:p>
    <w:p>
      <w:pPr>
        <w:pStyle w:val="ListParagraph"/>
        <w:numPr>
          <w:ilvl w:val="0"/>
          <w:numId w:val="2"/>
        </w:numPr>
      </w:pPr>
      <w:r>
        <w:t xml:space="preserve">CLAUDE.md — platform rules and constraints</w:t>
      </w:r>
    </w:p>
    <w:p>
      <w:pPr>
        <w:pStyle w:val="ListParagraph"/>
        <w:numPr>
          <w:ilvl w:val="0"/>
          <w:numId w:val="2"/>
        </w:numPr>
      </w:pPr>
      <w:r>
        <w:t xml:space="preserve">staxai-auth.css — the single source of truth for all styling</w:t>
      </w:r>
    </w:p>
    <w:p>
      <w:pPr>
        <w:pStyle w:val="ListParagraph"/>
        <w:numPr>
          <w:ilvl w:val="0"/>
          <w:numId w:val="2"/>
        </w:numPr>
      </w:pPr>
      <w:r>
        <w:t xml:space="preserve">shared-utils.js — shared functions that must be used</w:t>
      </w:r>
    </w:p>
    <w:p>
      <w:pPr>
        <w:pStyle w:val="ListParagraph"/>
        <w:numPr>
          <w:ilvl w:val="0"/>
          <w:numId w:val="2"/>
        </w:numPr>
      </w:pPr>
      <w:r>
        <w:t xml:space="preserve">Shared Research Layer Spec v1.0 — parent spec, unchanged</w:t>
      </w:r>
    </w:p>
    <w:p>
      <w:pPr>
        <w:pStyle w:val="ListParagraph"/>
        <w:numPr>
          <w:ilvl w:val="0"/>
          <w:numId w:val="2"/>
        </w:numPr>
      </w:pPr>
      <w:r>
        <w:t xml:space="preserve">Listings Addendum v1.0 — Phase 6 extension, unchanged</w:t>
      </w:r>
    </w:p>
    <w:p>
      <w:pPr>
        <w:pStyle w:val="ListParagraph"/>
        <w:numPr>
          <w:ilvl w:val="0"/>
          <w:numId w:val="2"/>
        </w:numPr>
      </w:pPr>
      <w:r>
        <w:t xml:space="preserve">Platform Audit Standard v1.4 — the checklist this work must pass</w:t>
      </w:r>
    </w:p>
    <w:p>
      <w:pPr>
        <w:pStyle w:val="Heading2"/>
      </w:pPr>
      <w:r>
        <w:t xml:space="preserve">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 file architecture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Existing SRL files retain their split architecture. No new files unless explicitly required for a fix.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file size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60,000 characters per file.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utilities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use shared-utils.js functions where applicable.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 handlers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addEventListener only — no inline onclick handlers.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Australian English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colour, organisation, recognised, etc. throughout all UI copy and prompt text.</w:t>
            </w:r>
          </w:p>
        </w:tc>
      </w:tr>
    </w:tbl>
    <w:p>
      <w:pPr>
        <w:pStyle w:val="Heading2"/>
      </w:pPr>
      <w:r>
        <w:t xml:space="preserve">Styling Requirements</w:t>
      </w:r>
    </w:p>
    <w:p>
      <w:r>
        <w:rPr>
          <w:b w:val="false"/>
          <w:bCs w:val="false"/>
          <w:i w:val="false"/>
          <w:iCs w:val="false"/>
        </w:rPr>
        <w:t xml:space="preserve">No UI changes are introduced by this spec. If any incidental UI work is required during the build, it follows the same constraints as every other platform spec: var(--blue) as the primary colour, CSS variables only, no new classes without owner permission, stop and report if a required style does not exist.</w:t>
      </w:r>
    </w:p>
    <w:p>
      <w:pPr>
        <w:pStyle w:val="Heading2"/>
      </w:pPr>
      <w:r>
        <w:t xml:space="preserve">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AI calls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Server-side only via Vercel functions in api/ folder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Curation model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claude-haiku-4-5-20251001 (unchanged)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Unchanged — JWT Bearer plus x-cron-secret alt-auth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handling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Platform-standard logging format ([SharedResearch] ... — ...)</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keys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Never expose to browser. All keys server-side only.</w:t>
            </w:r>
          </w:p>
        </w:tc>
      </w:tr>
    </w:tbl>
    <w:p>
      <w:pPr>
        <w:pStyle w:val="Heading2"/>
      </w:pPr>
      <w:r>
        <w:t xml:space="preserve">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changes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Avoid where possible. If any fix requires a schema change, the change is specified in this document before Code writes SQL.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Column naming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snake_case. Booleans: is_[name] or has_[name]. Timestamps: created_at, updated_at.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RLS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schema change preserves existing RLS coverage.</w:t>
            </w:r>
          </w:p>
        </w:tc>
      </w:tr>
    </w:tbl>
    <w:p>
      <w:r>
        <w:rPr>
          <w:b w:val="false"/>
          <w:bCs w:val="false"/>
          <w:i w:val="false"/>
          <w:iCs w:val="false"/>
        </w:rPr>
        <w:t xml:space="preserve">End of mandatory compliance section.</w:t>
      </w:r>
    </w:p>
    <w:p>
      <w:pPr>
        <w:pStyle w:val="Heading1"/>
      </w:pPr>
      <w:r>
        <w:t xml:space="preserve">1. Overview</w:t>
      </w:r>
    </w:p>
    <w:p>
      <w:r>
        <w:rPr>
          <w:b w:val="false"/>
          <w:bCs w:val="false"/>
          <w:i w:val="false"/>
          <w:iCs w:val="false"/>
        </w:rPr>
        <w:t xml:space="preserve">Phase 6 of the Shared Research Layer build closed with listings working correctly end-to-end. During the Phase 6 dry-runs against the Coastal Built test user, a number of quality findings emerged that were not part of Phase 6's listings scope but are real issues with the curation layer's behaviour. These findings are documented as Phase 6.5 — a separate, focused pass to address quality of curation across all five SRL categories.</w:t>
      </w:r>
    </w:p>
    <w:p>
      <w:r>
        <w:rPr>
          <w:b w:val="false"/>
          <w:bCs w:val="false"/>
          <w:i w:val="false"/>
          <w:iCs w:val="false"/>
        </w:rPr>
        <w:t xml:space="preserve">Phase 6.5 is additive in spirit, not structural. The aim is to improve what Haiku retains, how it categorises items, and how the curation pass handles cross-source duplication, without re-opening Phase 6's signed-off listings behaviour, without changing the SRL query design, and without changing the consumer contracts that ID and BI rely on.</w:t>
      </w:r>
    </w:p>
    <w:p>
      <w:r>
        <w:rPr>
          <w:b w:val="false"/>
          <w:bCs w:val="false"/>
          <w:i w:val="false"/>
          <w:iCs w:val="false"/>
        </w:rPr>
        <w:t xml:space="preserve">Phase 6.5 follows the same diagnostic-first pattern that worked in Phase 6: each finding is investigated with a read-and-report pass before any wording or code change is applied, and each fix is verified by a dry-run before sign-off. Solutions are not pre-cooked in this spec — only the findings, the success criteria, and the build approach are defined here.</w:t>
      </w:r>
    </w:p>
    <w:p>
      <w:pPr>
        <w:pStyle w:val="Heading1"/>
      </w:pPr>
      <w:r>
        <w:t xml:space="preserve">2. Platform Compliance — MANDATORY</w:t>
      </w:r>
    </w:p>
    <w:p>
      <w:r>
        <w:rPr>
          <w:b w:val="false"/>
          <w:bCs w:val="false"/>
          <w:i w:val="false"/>
          <w:iCs w:val="false"/>
        </w:rPr>
        <w:t xml:space="preserve">See section above.</w:t>
      </w:r>
    </w:p>
    <w:p>
      <w:pPr>
        <w:pStyle w:val="Heading1"/>
      </w:pPr>
      <w:r>
        <w:t xml:space="preserve">3. Scope</w:t>
      </w:r>
    </w:p>
    <w:p>
      <w:pPr>
        <w:pStyle w:val="Heading2"/>
      </w:pPr>
      <w:r>
        <w:t xml:space="preserve">3.1 What this spec covers</w:t>
      </w:r>
    </w:p>
    <w:p>
      <w:r>
        <w:rPr>
          <w:b w:val="false"/>
          <w:bCs w:val="false"/>
          <w:i w:val="false"/>
          <w:iCs w:val="false"/>
        </w:rPr>
        <w:t xml:space="preserve">The six findings listed in Section 5, plus any additional related findings surfaced during diagnostic or dry-run work, by owner agreement at the time of surfacing.</w:t>
      </w:r>
    </w:p>
    <w:p>
      <w:pPr>
        <w:pStyle w:val="Heading2"/>
      </w:pPr>
      <w:r>
        <w:t xml:space="preserve">3.2 What this spec does not cover</w:t>
      </w:r>
    </w:p>
    <w:p>
      <w:pPr>
        <w:pStyle w:val="ListParagraph"/>
        <w:numPr>
          <w:ilvl w:val="0"/>
          <w:numId w:val="2"/>
        </w:numPr>
      </w:pPr>
      <w:r>
        <w:t xml:space="preserve">The Industry Taxonomy Expansion build. The Industry Taxonomy spec is sequenced after Phase 7 sign-off and is a separate workstream. Phase 6.5 fixes may need re-tuning after Industry Taxonomy lands; that re-tuning is part of the Industry Taxonomy build, not this one.</w:t>
      </w:r>
    </w:p>
    <w:p>
      <w:pPr>
        <w:pStyle w:val="ListParagraph"/>
        <w:numPr>
          <w:ilvl w:val="0"/>
          <w:numId w:val="2"/>
        </w:numPr>
      </w:pPr>
      <w:r>
        <w:t xml:space="preserve">BI's Sonnet prompt structure. How BI presents listings, content, or any other evidence to Sonnet sits in BI Insights spec work.</w:t>
      </w:r>
    </w:p>
    <w:p>
      <w:pPr>
        <w:pStyle w:val="ListParagraph"/>
        <w:numPr>
          <w:ilvl w:val="0"/>
          <w:numId w:val="2"/>
        </w:numPr>
      </w:pPr>
      <w:r>
        <w:t xml:space="preserve">ID's UI behaviour beyond the read filter Phase 6 introduced.</w:t>
      </w:r>
    </w:p>
    <w:p>
      <w:pPr>
        <w:pStyle w:val="ListParagraph"/>
        <w:numPr>
          <w:ilvl w:val="0"/>
          <w:numId w:val="2"/>
        </w:numPr>
      </w:pPr>
      <w:r>
        <w:t xml:space="preserve">Schema changes to shared_research. The 15-column schema as it stands at the end of Phase 6 is the working baseline.</w:t>
      </w:r>
    </w:p>
    <w:p>
      <w:pPr>
        <w:pStyle w:val="ListParagraph"/>
        <w:numPr>
          <w:ilvl w:val="0"/>
          <w:numId w:val="2"/>
        </w:numPr>
      </w:pPr>
      <w:r>
        <w:t xml:space="preserve">The 5-category, 6-lens matrix structure. Categories, lenses, recency tightening, multi-industry handling, and region resolution are unchanged.</w:t>
      </w:r>
    </w:p>
    <w:p>
      <w:pPr>
        <w:pStyle w:val="ListParagraph"/>
        <w:numPr>
          <w:ilvl w:val="0"/>
          <w:numId w:val="2"/>
        </w:numPr>
      </w:pPr>
      <w:r>
        <w:t xml:space="preserve">Performance optimisation work. If a fix incidentally improves or degrades performance, that is observed in dry-run timing comparisons, but performance tuning for its own sake is not the purpose of this pass.</w:t>
      </w:r>
    </w:p>
    <w:p>
      <w:pPr>
        <w:pStyle w:val="Heading1"/>
      </w:pPr>
      <w:r>
        <w:t xml:space="preserve">4. Approach</w:t>
      </w:r>
    </w:p>
    <w:p>
      <w:r>
        <w:rPr>
          <w:b w:val="false"/>
          <w:bCs w:val="false"/>
          <w:i w:val="false"/>
          <w:iCs w:val="false"/>
        </w:rPr>
        <w:t xml:space="preserve">Phase 6.5 mirrors the Phase 6 multi-pass discipline. For each finding:</w:t>
      </w:r>
    </w:p>
    <w:p>
      <w:pPr>
        <w:pStyle w:val="ListParagraph"/>
        <w:numPr>
          <w:ilvl w:val="0"/>
          <w:numId w:val="2"/>
        </w:numPr>
      </w:pPr>
      <w:r>
        <w:rPr>
          <w:b/>
          <w:bCs/>
        </w:rPr>
        <w:t xml:space="preserve">Diagnostic pass (Pass Na)</w:t>
      </w:r>
      <w:r>
        <w:t xml:space="preserve"> — Code reads the relevant prompt sections, code, and the most recent dry-run data, then reports the actual cause in plain language. No code changes. No pre-cooked solutions. The cause is identified from data, not assumed.</w:t>
      </w:r>
    </w:p>
    <w:p>
      <w:pPr>
        <w:pStyle w:val="ListParagraph"/>
        <w:numPr>
          <w:ilvl w:val="0"/>
          <w:numId w:val="2"/>
        </w:numPr>
      </w:pPr>
      <w:r>
        <w:rPr>
          <w:b/>
          <w:bCs/>
        </w:rPr>
        <w:t xml:space="preserve">Owner and Chat review</w:t>
      </w:r>
      <w:r>
        <w:t xml:space="preserve"> — Code's report is reviewed. Chat may push back, ask for more data, or accept the diagnosis. The owner approves the proposed fix before Code touches code.</w:t>
      </w:r>
    </w:p>
    <w:p>
      <w:pPr>
        <w:pStyle w:val="ListParagraph"/>
        <w:numPr>
          <w:ilvl w:val="0"/>
          <w:numId w:val="2"/>
        </w:numPr>
      </w:pPr>
      <w:r>
        <w:rPr>
          <w:b/>
          <w:bCs/>
        </w:rPr>
        <w:t xml:space="preserve">Fix pass (Pass Nb)</w:t>
      </w:r>
      <w:r>
        <w:t xml:space="preserve"> — Code applies the agreed change as a single surgical commit. No refactor, no tidy-up, no formatting drift outside the change itself. Push to GitHub immediately.</w:t>
      </w:r>
    </w:p>
    <w:p>
      <w:pPr>
        <w:pStyle w:val="ListParagraph"/>
        <w:numPr>
          <w:ilvl w:val="0"/>
          <w:numId w:val="2"/>
        </w:numPr>
      </w:pPr>
      <w:r>
        <w:rPr>
          <w:b/>
          <w:bCs/>
        </w:rPr>
        <w:t xml:space="preserve">Verification dry-run</w:t>
      </w:r>
      <w:r>
        <w:t xml:space="preserve"> — Code runs (or provides the command for the owner to run) a fresh dry-run with force_refresh: true. Both quality and quantity outcomes are measured against the finding's success criteria.</w:t>
      </w:r>
    </w:p>
    <w:p>
      <w:pPr>
        <w:pStyle w:val="ListParagraph"/>
        <w:numPr>
          <w:ilvl w:val="0"/>
          <w:numId w:val="2"/>
        </w:numPr>
      </w:pPr>
      <w:r>
        <w:rPr>
          <w:b/>
          <w:bCs/>
        </w:rPr>
        <w:t xml:space="preserve">Sign-off or iterate</w:t>
      </w:r>
      <w:r>
        <w:t xml:space="preserve"> — If the success criteria are met, the finding is closed and the next finding begins. If not, one more iteration cycle on the same finding.</w:t>
      </w:r>
    </w:p>
    <w:p>
      <w:r>
        <w:rPr>
          <w:b w:val="false"/>
          <w:bCs w:val="false"/>
          <w:i w:val="false"/>
          <w:iCs w:val="false"/>
        </w:rPr>
        <w:t xml:space="preserve">Findings are addressed in the order specified in Section 6. The order is deliberately cheapest-first to surface compounding effects: some findings may resolve themselves once others are fixed.</w:t>
      </w:r>
    </w:p>
    <w:p>
      <w:pPr>
        <w:pStyle w:val="Heading1"/>
      </w:pPr>
      <w:r>
        <w:t xml:space="preserve">5. Findings</w:t>
      </w:r>
    </w:p>
    <w:p>
      <w:r>
        <w:rPr>
          <w:b w:val="false"/>
          <w:bCs w:val="false"/>
          <w:i w:val="false"/>
          <w:iCs w:val="false"/>
        </w:rPr>
        <w:t xml:space="preserve">All findings below were observed in the Phase 6 Pass 4 and Pass 5b dry-runs against the Coastal Built test user (industries Building &amp; Construction + Landscaping &amp; Outdoor, NSW, Mid North Coast). Quantitative figures are taken from those dry-runs; final figures may shift as the Serper input pool drifts day-to-day.</w:t>
      </w:r>
    </w:p>
    <w:p>
      <w:pPr>
        <w:pStyle w:val="Heading2"/>
      </w:pPr>
      <w:r>
        <w:t xml:space="preserve">5.1 Finding A — Industry News drop rate</w:t>
      </w:r>
    </w:p>
    <w:p>
      <w:r>
        <w:rPr>
          <w:b w:val="false"/>
          <w:bCs w:val="false"/>
          <w:i w:val="false"/>
          <w:iCs w:val="false"/>
        </w:rPr>
        <w:t xml:space="preserve">Observed: 65 Serper inputs to the industry-news category produced 4 curated items in Pass 4 and 7 in Pass 5b. Retention rate is 6–11%. Even at cap = 10 this is well below the cap ceiling, so retention is being limited by Haiku's substance judgement rather than the cap.</w:t>
      </w:r>
    </w:p>
    <w:p>
      <w:r>
        <w:rPr>
          <w:b w:val="false"/>
          <w:bCs w:val="false"/>
          <w:i w:val="false"/>
          <w:iCs w:val="false"/>
        </w:rPr>
        <w:t xml:space="preserve">Investigate: whether the substance test wording in curation rule 2 is over-rejecting genuine industry news; whether the query templates feeding industry-news are pulling weak inputs that legitimately fail the substance test; whether the relevance-to-user-business filter is too tight.</w:t>
      </w:r>
    </w:p>
    <w:p>
      <w:r>
        <w:rPr>
          <w:b w:val="false"/>
          <w:bCs w:val="false"/>
          <w:i w:val="false"/>
          <w:iCs w:val="false"/>
        </w:rPr>
        <w:t xml:space="preserve">Success: retention rate on industry-news in line with the other categories (a 20–30% retention floor) when Serper inputs include genuinely substantive news, without dropping the substance discipline for genuine clickbait.</w:t>
      </w:r>
    </w:p>
    <w:p>
      <w:pPr>
        <w:pStyle w:val="Heading2"/>
      </w:pPr>
      <w:r>
        <w:t xml:space="preserve">5.2 Finding B — Suppliers drop rate</w:t>
      </w:r>
    </w:p>
    <w:p>
      <w:r>
        <w:rPr>
          <w:b w:val="false"/>
          <w:bCs w:val="false"/>
          <w:i w:val="false"/>
          <w:iCs w:val="false"/>
        </w:rPr>
        <w:t xml:space="preserve">Observed: 47 Serper inputs to the suppliers category produced 4 curated items in Pass 4 and 8 in Pass 5b. Retention rate is 9–17%. Same pattern as Finding A — under the cap ceiling, so limited by Haiku's judgement, not the cap.</w:t>
      </w:r>
    </w:p>
    <w:p>
      <w:r>
        <w:rPr>
          <w:b w:val="false"/>
          <w:bCs w:val="false"/>
          <w:i w:val="false"/>
          <w:iCs w:val="false"/>
        </w:rPr>
        <w:t xml:space="preserve">Investigate: same lines as Finding A. The findings may share a root cause (substance test wording or query design) and a single fix may resolve both. The diagnostic pass should confirm or rule out the shared-cause hypothesis.</w:t>
      </w:r>
    </w:p>
    <w:p>
      <w:r>
        <w:rPr>
          <w:b w:val="false"/>
          <w:bCs w:val="false"/>
          <w:i w:val="false"/>
          <w:iCs w:val="false"/>
        </w:rPr>
        <w:t xml:space="preserve">Success: retention rate in line with the other categories. If A and B share a fix, both close together.</w:t>
      </w:r>
    </w:p>
    <w:p>
      <w:pPr>
        <w:pStyle w:val="Heading2"/>
      </w:pPr>
      <w:r>
        <w:t xml:space="preserve">5.3 Finding C — Lens and industry mistagging</w:t>
      </w:r>
    </w:p>
    <w:p>
      <w:r>
        <w:rPr>
          <w:b w:val="false"/>
          <w:bCs w:val="false"/>
          <w:i w:val="false"/>
          <w:iCs w:val="false"/>
        </w:rPr>
        <w:t xml:space="preserve">Observed: visibly wrong classifications in the curated output. Examples from Pass 4's economic Serper inputs:</w:t>
      </w:r>
    </w:p>
    <w:p>
      <w:pPr>
        <w:pStyle w:val="ListParagraph"/>
        <w:numPr>
          <w:ilvl w:val="0"/>
          <w:numId w:val="2"/>
        </w:numPr>
      </w:pPr>
      <w:r>
        <w:t xml:space="preserve">Britannica articles on Australia's mining/agriculture/tourism tagged Landscaping &amp; Outdoor</w:t>
      </w:r>
    </w:p>
    <w:p>
      <w:pPr>
        <w:pStyle w:val="ListParagraph"/>
        <w:numPr>
          <w:ilvl w:val="0"/>
          <w:numId w:val="2"/>
        </w:numPr>
      </w:pPr>
      <w:r>
        <w:t xml:space="preserve">"8 of the Most Captivating Small Towns in NSW" tagged state-industry Landscaping</w:t>
      </w:r>
    </w:p>
    <w:p>
      <w:pPr>
        <w:pStyle w:val="ListParagraph"/>
        <w:numPr>
          <w:ilvl w:val="0"/>
          <w:numId w:val="2"/>
        </w:numPr>
      </w:pPr>
      <w:r>
        <w:t xml:space="preserve">Microsoft AI blueprint tagged national-smes</w:t>
      </w:r>
    </w:p>
    <w:p>
      <w:pPr>
        <w:pStyle w:val="ListParagraph"/>
        <w:numPr>
          <w:ilvl w:val="0"/>
          <w:numId w:val="2"/>
        </w:numPr>
      </w:pPr>
      <w:r>
        <w:t xml:space="preserve">"QMS appoints Hannah Pritchard NSW sales director" tagged Landscaping &amp; Outdoor across four reporting outlets</w:t>
      </w:r>
    </w:p>
    <w:p>
      <w:pPr>
        <w:pStyle w:val="ListParagraph"/>
        <w:numPr>
          <w:ilvl w:val="0"/>
          <w:numId w:val="2"/>
        </w:numPr>
      </w:pPr>
      <w:r>
        <w:t xml:space="preserve">Adelaide Major Projects article tagged Landscaping &amp; Outdoor</w:t>
      </w:r>
    </w:p>
    <w:p>
      <w:pPr>
        <w:pStyle w:val="ListParagraph"/>
        <w:numPr>
          <w:ilvl w:val="0"/>
          <w:numId w:val="2"/>
        </w:numPr>
      </w:pPr>
      <w:r>
        <w:t xml:space="preserve">SiteOne Landscape Supply (US earnings call) tagged Landscaping &amp; Outdoor</w:t>
      </w:r>
    </w:p>
    <w:p>
      <w:pPr>
        <w:pStyle w:val="ListParagraph"/>
        <w:numPr>
          <w:ilvl w:val="0"/>
          <w:numId w:val="2"/>
        </w:numPr>
      </w:pPr>
      <w:r>
        <w:t xml:space="preserve">Hong Kong elderly tech training tagged national-smes</w:t>
      </w:r>
    </w:p>
    <w:p>
      <w:r>
        <w:rPr>
          <w:b w:val="false"/>
          <w:bCs w:val="false"/>
          <w:i w:val="false"/>
          <w:iCs w:val="false"/>
        </w:rPr>
        <w:t xml:space="preserve">Investigate: whether mistagging originates in (a) the query templates pulling content that Google indexes against the wrong intent, (b) the lens-and-industry attribution that decorates each Serper result with the metadata from the query that surfaced it, (c) Haiku's curation pass either preserving an inherited mis-attribution or assigning a category itself, or (d) some combination.</w:t>
      </w:r>
    </w:p>
    <w:p>
      <w:r>
        <w:rPr>
          <w:b w:val="false"/>
          <w:bCs w:val="false"/>
          <w:i w:val="false"/>
          <w:iCs w:val="false"/>
        </w:rPr>
        <w:t xml:space="preserve">Success: classifications visibly match content. Items that aren't industry-specific don't carry industry tags. Items that are industry-specific carry tags consistent with the content.</w:t>
      </w:r>
    </w:p>
    <w:p>
      <w:pPr>
        <w:pStyle w:val="Heading2"/>
      </w:pPr>
      <w:r>
        <w:t xml:space="preserve">5.4 Finding D — Story-level deduplication</w:t>
      </w:r>
    </w:p>
    <w:p>
      <w:r>
        <w:rPr>
          <w:b w:val="false"/>
          <w:bCs w:val="false"/>
          <w:i w:val="false"/>
          <w:iCs w:val="false"/>
        </w:rPr>
        <w:t xml:space="preserve">Observed: the same news story surfaces as separate items across multiple publishers. Pass 4 example: "QMS appoints Hannah Pritchard NSW agency sales director" appeared in four separate inputs from AdNews, Mi-3.com.au, Mediaweek, and Mumbrella. URL-level dedup catches duplicate URLs but does nothing about duplicate stories.</w:t>
      </w:r>
    </w:p>
    <w:p>
      <w:r>
        <w:rPr>
          <w:b w:val="false"/>
          <w:bCs w:val="false"/>
          <w:i w:val="false"/>
          <w:iCs w:val="false"/>
        </w:rPr>
        <w:t xml:space="preserve">Investigate: whether story-level dedup is feasible at the curation prompt level (Haiku-side rule), at the input-preparation level (pre-curation matching by title similarity or content fingerprint), or at the consumer level (ID and BI handling story groups). Each option has different cost and complexity trade-offs.</w:t>
      </w:r>
    </w:p>
    <w:p>
      <w:r>
        <w:rPr>
          <w:b w:val="false"/>
          <w:bCs w:val="false"/>
          <w:i w:val="false"/>
          <w:iCs w:val="false"/>
        </w:rPr>
        <w:t xml:space="preserve">Success: identical or near-identical stories that come from multiple publishers are retained at most once, with the source preference decided by source_type (primary &gt; association &gt; secondary).</w:t>
      </w:r>
    </w:p>
    <w:p>
      <w:pPr>
        <w:pStyle w:val="Heading2"/>
      </w:pPr>
      <w:r>
        <w:t xml:space="preserve">5.5 Finding E — Off-topic items passing the substance test</w:t>
      </w:r>
    </w:p>
    <w:p>
      <w:r>
        <w:rPr>
          <w:b w:val="false"/>
          <w:bCs w:val="false"/>
          <w:i w:val="false"/>
          <w:iCs w:val="false"/>
        </w:rPr>
        <w:t xml:space="preserve">Observed: items that aren't relevant to any sensible interpretation of the user's business or SRL category are passing the substance test and reaching curation. Examples from Pass 4:</w:t>
      </w:r>
    </w:p>
    <w:p>
      <w:pPr>
        <w:pStyle w:val="ListParagraph"/>
        <w:numPr>
          <w:ilvl w:val="0"/>
          <w:numId w:val="2"/>
        </w:numPr>
      </w:pPr>
      <w:r>
        <w:t xml:space="preserve">Malaysia SMEs energy crisis (national-smes for an NSW user)</w:t>
      </w:r>
    </w:p>
    <w:p>
      <w:pPr>
        <w:pStyle w:val="ListParagraph"/>
        <w:numPr>
          <w:ilvl w:val="0"/>
          <w:numId w:val="2"/>
        </w:numPr>
      </w:pPr>
      <w:r>
        <w:t xml:space="preserve">Microsoft AI blueprint (tagged national-smes but reads as general tech industry analysis)</w:t>
      </w:r>
    </w:p>
    <w:p>
      <w:pPr>
        <w:pStyle w:val="ListParagraph"/>
        <w:numPr>
          <w:ilvl w:val="0"/>
          <w:numId w:val="2"/>
        </w:numPr>
      </w:pPr>
      <w:r>
        <w:t xml:space="preserve">Hong Kong elderly tech training (tagged national-smes for an Australian SME)</w:t>
      </w:r>
    </w:p>
    <w:p>
      <w:pPr>
        <w:pStyle w:val="ListParagraph"/>
        <w:numPr>
          <w:ilvl w:val="0"/>
          <w:numId w:val="2"/>
        </w:numPr>
      </w:pPr>
      <w:r>
        <w:t xml:space="preserve">"Best Towns For Nature Lovers And Adventure Seekers" tagged Landscaping</w:t>
      </w:r>
    </w:p>
    <w:p>
      <w:pPr>
        <w:pStyle w:val="ListParagraph"/>
        <w:numPr>
          <w:ilvl w:val="0"/>
          <w:numId w:val="2"/>
        </w:numPr>
      </w:pPr>
      <w:r>
        <w:t xml:space="preserve">"14 small garden design ideas that maximise space and greenery" — consumer DIY content tagged industry</w:t>
      </w:r>
    </w:p>
    <w:p>
      <w:r>
        <w:rPr>
          <w:b w:val="false"/>
          <w:bCs w:val="false"/>
          <w:i w:val="false"/>
          <w:iCs w:val="false"/>
        </w:rPr>
        <w:t xml:space="preserve">Investigate: whether the substance test correctly identifies these as substantive (they often do name specific people, dates, or events — they pass the rule's literal wording while failing its spirit) and the missing rule is a relevance-to-business filter applied alongside substance. Or whether the query design is pulling these items in the first place and a query-level guard is the right place to filter.</w:t>
      </w:r>
    </w:p>
    <w:p>
      <w:r>
        <w:rPr>
          <w:b w:val="false"/>
          <w:bCs w:val="false"/>
          <w:i w:val="false"/>
          <w:iCs w:val="false"/>
        </w:rPr>
        <w:t xml:space="preserve">Success: items that fail a reasonable relevance bar do not reach the curated output. Substance test continues to drop clickbait that doesn't name specifics, without dropping items that DO name specifics but are irrelevant.</w:t>
      </w:r>
    </w:p>
    <w:p>
      <w:pPr>
        <w:pStyle w:val="Heading2"/>
      </w:pPr>
      <w:r>
        <w:t xml:space="preserve">5.6 Finding F — Property listings appearing in industry-tagged content</w:t>
      </w:r>
    </w:p>
    <w:p>
      <w:r>
        <w:rPr>
          <w:b w:val="false"/>
          <w:bCs w:val="false"/>
          <w:i w:val="false"/>
          <w:iCs w:val="false"/>
        </w:rPr>
        <w:t xml:space="preserve">Observed: individual residential property addresses surfacing as economic-category content, tagged with the user's industries. Pass 4 examples:</w:t>
      </w:r>
    </w:p>
    <w:p>
      <w:pPr>
        <w:pStyle w:val="ListParagraph"/>
        <w:numPr>
          <w:ilvl w:val="0"/>
          <w:numId w:val="2"/>
        </w:numPr>
      </w:pPr>
      <w:r>
        <w:t xml:space="preserve">"55 Patrick Drive, Cooranbong, NSW 2265" tagged state-industry Landscaping &amp; Outdoor</w:t>
      </w:r>
    </w:p>
    <w:p>
      <w:pPr>
        <w:pStyle w:val="ListParagraph"/>
        <w:numPr>
          <w:ilvl w:val="0"/>
          <w:numId w:val="2"/>
        </w:numPr>
      </w:pPr>
      <w:r>
        <w:t xml:space="preserve">"48 Mann Street, Nambucca Heads, NSW 2448" tagged region-industry Landscaping &amp; Outdoor</w:t>
      </w:r>
    </w:p>
    <w:p>
      <w:pPr>
        <w:pStyle w:val="ListParagraph"/>
        <w:numPr>
          <w:ilvl w:val="0"/>
          <w:numId w:val="2"/>
        </w:numPr>
      </w:pPr>
      <w:r>
        <w:t xml:space="preserve">"33 Jubilee Street, Lismore, NSW 2480" tagged state-industry Landscaping &amp; Outdoor</w:t>
      </w:r>
    </w:p>
    <w:p>
      <w:r>
        <w:rPr>
          <w:b w:val="false"/>
          <w:bCs w:val="false"/>
          <w:i w:val="false"/>
          <w:iCs w:val="false"/>
        </w:rPr>
        <w:t xml:space="preserve">These are real estate listings for residential properties, not businesses for sale and not industry content. They surface because the queries return real estate aggregators, and the lens-attribution step tags each Serper result with the metadata of the query that surfaced it — so they inherit industry tags they shouldn't carry.</w:t>
      </w:r>
    </w:p>
    <w:p>
      <w:r>
        <w:rPr>
          <w:b w:val="false"/>
          <w:bCs w:val="false"/>
          <w:i w:val="false"/>
          <w:iCs w:val="false"/>
        </w:rPr>
        <w:t xml:space="preserve">Investigate: whether the right fix is at the query level (refining the query templates so real estate aggregators don't rank), at the attribution level (better hygiene on what tags a result inherits), at the curation level (an explicit rule recognising residential property addresses and dropping them), or some combination. This may overlap with Finding C.</w:t>
      </w:r>
    </w:p>
    <w:p>
      <w:r>
        <w:rPr>
          <w:b w:val="false"/>
          <w:bCs w:val="false"/>
          <w:i w:val="false"/>
          <w:iCs w:val="false"/>
        </w:rPr>
        <w:t xml:space="preserve">Success: residential property listings do not appear in any SRL curated output.</w:t>
      </w:r>
    </w:p>
    <w:p>
      <w:pPr>
        <w:pStyle w:val="Heading1"/>
      </w:pPr>
      <w:r>
        <w:t xml:space="preserve">6. Build Sequence</w:t>
      </w:r>
    </w:p>
    <w:p>
      <w:r>
        <w:rPr>
          <w:b w:val="false"/>
          <w:bCs w:val="false"/>
          <w:i w:val="false"/>
          <w:iCs w:val="false"/>
        </w:rPr>
        <w:t xml:space="preserve">Findings are addressed in the order below. Sequencing is cheapest-first to surface compounding effects.</w:t>
      </w:r>
    </w:p>
    <w:p>
      <w:pPr>
        <w:pStyle w:val="Heading2"/>
      </w:pPr>
      <w:r>
        <w:t xml:space="preserve">6.1 First — Findings A and B (drop rates)</w:t>
      </w:r>
    </w:p>
    <w:p>
      <w:r>
        <w:rPr>
          <w:b w:val="false"/>
          <w:bCs w:val="false"/>
          <w:i w:val="false"/>
          <w:iCs w:val="false"/>
        </w:rPr>
        <w:t xml:space="preserve">Industry News and Suppliers drop rates are investigated together because they likely share a root cause (substance test wording or query design). A single diagnostic pass establishes whether one fix addresses both. If yes, one fix pass. If no, separate fix passes against separate diagnoses.</w:t>
      </w:r>
    </w:p>
    <w:p>
      <w:r>
        <w:rPr>
          <w:b w:val="false"/>
          <w:bCs w:val="false"/>
          <w:i w:val="false"/>
          <w:iCs w:val="false"/>
        </w:rPr>
        <w:t xml:space="preserve">These are sequenced first because higher retention across all categories is the foundation for assessing the other findings — if the substance test is over-rejecting, other quality issues may resolve themselves as more items reach curation.</w:t>
      </w:r>
    </w:p>
    <w:p>
      <w:pPr>
        <w:pStyle w:val="Heading2"/>
      </w:pPr>
      <w:r>
        <w:t xml:space="preserve">6.2 Second — Findings C and F (mistagging and property listings)</w:t>
      </w:r>
    </w:p>
    <w:p>
      <w:r>
        <w:rPr>
          <w:b w:val="false"/>
          <w:bCs w:val="false"/>
          <w:i w:val="false"/>
          <w:iCs w:val="false"/>
        </w:rPr>
        <w:t xml:space="preserve">Mistagging and property-listings-as-industry are investigated together because they likely share root causes in the attribution layer. The diagnostic pass establishes whether the attribution logic needs hygiene improvements, or whether the issues are at the query or curation level.</w:t>
      </w:r>
    </w:p>
    <w:p>
      <w:r>
        <w:rPr>
          <w:b w:val="false"/>
          <w:bCs w:val="false"/>
          <w:i w:val="false"/>
          <w:iCs w:val="false"/>
        </w:rPr>
        <w:t xml:space="preserve">These are sequenced second because they affect data correctness rather than retention volume. Their fix may also depend on Industry Taxonomy work later (when industry names change from marketing groupings to ANZSIC Divisions, what "correct tagging" means may also shift). Phase 6.5 takes the current-taxonomy view; Industry Taxonomy is a separate workstream.</w:t>
      </w:r>
    </w:p>
    <w:p>
      <w:pPr>
        <w:pStyle w:val="Heading2"/>
      </w:pPr>
      <w:r>
        <w:t xml:space="preserve">6.3 Third — Finding E (off-topic items)</w:t>
      </w:r>
    </w:p>
    <w:p>
      <w:r>
        <w:rPr>
          <w:b w:val="false"/>
          <w:bCs w:val="false"/>
          <w:i w:val="false"/>
          <w:iCs w:val="false"/>
        </w:rPr>
        <w:t xml:space="preserve">Off-topic items passing the substance test is investigated third because resolution depends on a clear definition of what "relevance to business" means in prompt terms. The Findings A/B diagnostic may have already touched this question, so sequencing third gives that work room to inform the approach.</w:t>
      </w:r>
    </w:p>
    <w:p>
      <w:pPr>
        <w:pStyle w:val="Heading2"/>
      </w:pPr>
      <w:r>
        <w:t xml:space="preserve">6.4 Fourth — Finding D (story-level deduplication)</w:t>
      </w:r>
    </w:p>
    <w:p>
      <w:r>
        <w:rPr>
          <w:b w:val="false"/>
          <w:bCs w:val="false"/>
          <w:i w:val="false"/>
          <w:iCs w:val="false"/>
        </w:rPr>
        <w:t xml:space="preserve">Story-level dedup is investigated last because it is the most likely to require a structural change (a new dedup pass, a new prompt section, or a new pre-curation filter) and has the highest implementation cost. If the earlier findings resolve some of the duplicate-story noise (e.g., better substance discipline reduces the number of stories the same publisher republishes), the scope of this finding may shrink.</w:t>
      </w:r>
    </w:p>
    <w:p>
      <w:pPr>
        <w:pStyle w:val="Heading2"/>
      </w:pPr>
      <w:r>
        <w:t xml:space="preserve">6.5 Sign-off</w:t>
      </w:r>
    </w:p>
    <w:p>
      <w:r>
        <w:rPr>
          <w:b w:val="false"/>
          <w:bCs w:val="false"/>
          <w:i w:val="false"/>
          <w:iCs w:val="false"/>
        </w:rPr>
        <w:t xml:space="preserve">Phase 6.5 closes when all six findings have either been fixed and verified, or have been formally re-scoped or deferred by owner agreement (with the deferral logged in CLAUDE.md). Phase 7 — SRL Validation — runs against the post-Phase-6.5 state.</w:t>
      </w:r>
    </w:p>
    <w:p>
      <w:pPr>
        <w:pStyle w:val="Heading1"/>
      </w:pPr>
      <w:r>
        <w:t xml:space="preserve">7. Impact on Other Documents</w:t>
      </w:r>
    </w:p>
    <w:p>
      <w:pPr>
        <w:pStyle w:val="Heading2"/>
      </w:pPr>
      <w:r>
        <w:t xml:space="preserve">7.1 Shared Research Layer Spec v1.0</w:t>
      </w:r>
    </w:p>
    <w:p>
      <w:r>
        <w:rPr>
          <w:b w:val="false"/>
          <w:bCs w:val="false"/>
          <w:i w:val="false"/>
          <w:iCs w:val="false"/>
        </w:rPr>
        <w:t xml:space="preserve">No structural change to the parent spec. If a fix in Phase 6.5 materially changes the contract any consumer relies on (e.g., the shape of an item, the categories vocabulary, the lens vocabulary), that change is documented as an amendment to the parent spec before the fix is applied. The default expectation is that Phase 6.5 fixes are internal to the curation prompt and do not affect contract.</w:t>
      </w:r>
    </w:p>
    <w:p>
      <w:pPr>
        <w:pStyle w:val="Heading2"/>
      </w:pPr>
      <w:r>
        <w:t xml:space="preserve">7.2 Listings Addendum v1.0</w:t>
      </w:r>
    </w:p>
    <w:p>
      <w:r>
        <w:rPr>
          <w:b w:val="false"/>
          <w:bCs w:val="false"/>
          <w:i w:val="false"/>
          <w:iCs w:val="false"/>
        </w:rPr>
        <w:t xml:space="preserve">Unchanged. Phase 6.5 does not touch listings recognition, the relevance guardrails, the category and lens assignment for listings, or the validator's listing-related checks.</w:t>
      </w:r>
    </w:p>
    <w:p>
      <w:pPr>
        <w:pStyle w:val="Heading2"/>
      </w:pPr>
      <w:r>
        <w:t xml:space="preserve">7.3 CLAUDE.md</w:t>
      </w:r>
    </w:p>
    <w:p>
      <w:r>
        <w:rPr>
          <w:b w:val="false"/>
          <w:bCs w:val="false"/>
          <w:i w:val="false"/>
          <w:iCs w:val="false"/>
        </w:rPr>
        <w:t xml:space="preserve">Platform Facts section receives short updates as fixes land — any new platform behaviour worth documenting (e.g., a new dedup rule, a new substance test wording) is captured. No phase references, no archaeology, forward-looking only.</w:t>
      </w:r>
    </w:p>
    <w:p>
      <w:pPr>
        <w:pStyle w:val="Heading2"/>
      </w:pPr>
      <w:r>
        <w:t xml:space="preserve">7.4 BI Insights spec / BI v1.1</w:t>
      </w:r>
    </w:p>
    <w:p>
      <w:r>
        <w:rPr>
          <w:b w:val="false"/>
          <w:bCs w:val="false"/>
          <w:i w:val="false"/>
          <w:iCs w:val="false"/>
        </w:rPr>
        <w:t xml:space="preserve">No change. BI consumes whatever shared_research returns under the existing read contract. Improvements in curation quality benefit BI's input quality without BI changing.</w:t>
      </w:r>
    </w:p>
    <w:p>
      <w:pPr>
        <w:pStyle w:val="Heading2"/>
      </w:pPr>
      <w:r>
        <w:t xml:space="preserve">7.5 Industry Taxonomy Expansion spec</w:t>
      </w:r>
    </w:p>
    <w:p>
      <w:r>
        <w:rPr>
          <w:b w:val="false"/>
          <w:bCs w:val="false"/>
          <w:i w:val="false"/>
          <w:iCs w:val="false"/>
        </w:rPr>
        <w:t xml:space="preserve">Industry Taxonomy is a separate workstream sequenced after Phase 7 sign-off. Phase 6.5 work may need re-tuning after Industry Taxonomy lands. This is expected, not a defect — the re-tuning is part of Industry Taxonomy's scope.</w:t>
      </w:r>
    </w:p>
    <w:p>
      <w:pPr>
        <w:pStyle w:val="Heading1"/>
      </w:pPr>
      <w:r>
        <w:t xml:space="preserve">8. Open Questions</w:t>
      </w:r>
    </w:p>
    <w:p>
      <w:r>
        <w:rPr>
          <w:b w:val="false"/>
          <w:bCs w:val="false"/>
          <w:i w:val="false"/>
          <w:iCs w:val="false"/>
        </w:rPr>
        <w:t xml:space="preserve">None at spec approval. Each finding is investigated against real dry-run data before any fix is applied. Genuine open questions will surface during diagnostic passes and are addressed in the owner-and-Chat review step before each fix pass.</w:t>
      </w:r>
    </w:p>
    <w:p>
      <w:r>
        <w:rPr>
          <w:b w:val="false"/>
          <w:bCs w:val="false"/>
          <w:i w:val="false"/>
          <w:iCs w:val="false"/>
        </w:rPr>
        <w:t xml:space="preserve"/>
      </w:r>
    </w:p>
    <w:p>
      <w:r>
        <w:rPr>
          <w:b w:val="false"/>
          <w:bCs w:val="false"/>
          <w:i w:val="false"/>
          <w:iCs w:val="false"/>
        </w:rPr>
        <w:t xml:space="preserve">End of specification.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2026-05-12T03:31:03.209Z</dcterms:created>
  <dcterms:modified xsi:type="dcterms:W3CDTF">2026-05-12T03:31:03.226Z</dcterms:modified>
</cp:coreProperties>
</file>

<file path=docProps/custom.xml><?xml version="1.0" encoding="utf-8"?>
<Properties xmlns="http://schemas.openxmlformats.org/officeDocument/2006/custom-properties" xmlns:vt="http://schemas.openxmlformats.org/officeDocument/2006/docPropsVTypes"/>
</file>