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32"/>
          <w:szCs w:val="32"/>
        </w:rPr>
        <w:t xml:space="preserve">StaxAI</w:t>
      </w:r>
    </w:p>
    <w:p>
      <w:pPr>
        <w:spacing w:after="480"/>
        <w:jc w:val="center"/>
      </w:pPr>
      <w:r>
        <w:rPr>
          <w:rFonts w:ascii="Arial" w:cs="Arial" w:eastAsia="Arial" w:hAnsi="Arial"/>
          <w:b/>
          <w:bCs/>
          <w:color w:val="1F3864"/>
          <w:sz w:val="32"/>
          <w:szCs w:val="32"/>
        </w:rPr>
        <w:t xml:space="preserve">PLATFORM INTEGRITY AUDIT STANDARD</w:t>
      </w:r>
    </w:p>
    <w:p>
      <w:pPr>
        <w:spacing w:after="480"/>
        <w:jc w:val="center"/>
      </w:pPr>
      <w:r>
        <w:rPr>
          <w:rFonts w:ascii="Arial" w:cs="Arial" w:eastAsia="Arial" w:hAnsi="Arial"/>
          <w:i/>
          <w:iCs/>
          <w:color w:val="666666"/>
          <w:sz w:val="22"/>
          <w:szCs w:val="22"/>
        </w:rPr>
        <w:t xml:space="preserve">Reusable audit instruction for all authenticated pages and tool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7020"/>
            <w:tcMar>
              <w:top w:type="dxa" w:w="80"/>
              <w:left w:type="dxa" w:w="120"/>
              <w:bottom w:type="dxa" w:w="80"/>
              <w:right w:type="dxa" w:w="120"/>
            </w:tcMar>
          </w:tcPr>
          <w:p>
            <w:r>
              <w:rPr>
                <w:rFonts w:ascii="Arial" w:cs="Arial" w:eastAsia="Arial" w:hAnsi="Arial"/>
                <w:sz w:val="22"/>
                <w:szCs w:val="22"/>
              </w:rPr>
              <w:t xml:space="preserve">StaxAI-Platform-Audit-Standard-v1_3</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Mar>
              <w:top w:type="dxa" w:w="80"/>
              <w:left w:type="dxa" w:w="120"/>
              <w:bottom w:type="dxa" w:w="80"/>
              <w:right w:type="dxa" w:w="120"/>
            </w:tcMar>
          </w:tcPr>
          <w:p>
            <w:r>
              <w:rPr>
                <w:rFonts w:ascii="Arial" w:cs="Arial" w:eastAsia="Arial" w:hAnsi="Arial"/>
                <w:sz w:val="22"/>
                <w:szCs w:val="22"/>
              </w:rPr>
              <w:t xml:space="preserve">v1.3 — April 2026</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Mar>
              <w:top w:type="dxa" w:w="80"/>
              <w:left w:type="dxa" w:w="120"/>
              <w:bottom w:type="dxa" w:w="80"/>
              <w:right w:type="dxa" w:w="120"/>
            </w:tcMar>
          </w:tcPr>
          <w:p>
            <w:r>
              <w:rPr>
                <w:rFonts w:ascii="Arial" w:cs="Arial" w:eastAsia="Arial" w:hAnsi="Arial"/>
                <w:sz w:val="22"/>
                <w:szCs w:val="22"/>
              </w:rPr>
              <w:t xml:space="preserve">Approved — permanent reference</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7020"/>
            <w:tcMar>
              <w:top w:type="dxa" w:w="80"/>
              <w:left w:type="dxa" w:w="120"/>
              <w:bottom w:type="dxa" w:w="80"/>
              <w:right w:type="dxa" w:w="120"/>
            </w:tcMar>
          </w:tcPr>
          <w:p>
            <w:r>
              <w:rPr>
                <w:rFonts w:ascii="Arial" w:cs="Arial" w:eastAsia="Arial" w:hAnsi="Arial"/>
                <w:sz w:val="22"/>
                <w:szCs w:val="22"/>
              </w:rPr>
              <w:t xml:space="preserve">Structured audit instruction to run against every authenticated page set. Covers file architecture, stylesheet compliance, JavaScript standards, error handling patterns, database integrity, shared utility usage, behavioural consistency, and copy standards. Run as a report-only step. No changes during audit.</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020"/>
            <w:tcMar>
              <w:top w:type="dxa" w:w="80"/>
              <w:left w:type="dxa" w:w="120"/>
              <w:bottom w:type="dxa" w:w="80"/>
              <w:right w:type="dxa" w:w="120"/>
            </w:tcMar>
          </w:tcPr>
          <w:p>
            <w:r>
              <w:rPr>
                <w:rFonts w:ascii="Arial" w:cs="Arial" w:eastAsia="Arial" w:hAnsi="Arial"/>
                <w:sz w:val="22"/>
                <w:szCs w:val="22"/>
              </w:rPr>
              <w:t xml:space="preserve">Rules &amp; Instructions v2.9, CLAUDE.md, Page Layout Standard, staxai-auth.css, shared-utils.js</w:t>
            </w:r>
          </w:p>
        </w:tc>
      </w:tr>
    </w:tbl>
    <w:p/>
    <w:p>
      <w:pPr>
        <w:pBdr>
          <w:top w:val="single" w:color="FFC000" w:sz="6"/>
          <w:bottom w:val="single" w:color="FFC000" w:sz="6"/>
        </w:pBdr>
        <w:shd w:fill="FFF2CC" w:val="clear"/>
      </w:pPr>
      <w:r>
        <w:rPr>
          <w:rFonts w:ascii="Arial" w:cs="Arial" w:eastAsia="Arial" w:hAnsi="Arial"/>
          <w:b/>
          <w:bCs/>
          <w:sz w:val="22"/>
          <w:szCs w:val="22"/>
        </w:rPr>
        <w:t xml:space="preserve">⚠️  This audit is always report-only. No changes are made during an audit session. Findings are reviewed with the owner and a fix list is agreed before any code changes begin.</w:t>
      </w:r>
    </w:p>
    <w:p/>
    <w:p>
      <w:pPr>
        <w:pStyle w:val="Heading1"/>
      </w:pPr>
      <w:r>
        <w:t xml:space="preserve">1. How to Use This Document</w:t>
      </w:r>
    </w:p>
    <w:p>
      <w:r>
        <w:t xml:space="preserve">This document is a reusable audit standard. To run an audit against a page set, send the instruction in Section 3 to Claude Code with the specific files listed for that page set. Code reads every file, checks every item in every category, and produces a structured findings report.</w:t>
      </w:r>
    </w:p>
    <w:p/>
    <w:p>
      <w:r>
        <w:t xml:space="preserve">After the report comes back, review the findings with the owner in Chat. Agree a prioritised fix list. Then give Code targeted fix instructions one commit per fix.</w:t>
      </w:r>
    </w:p>
    <w:p/>
    <w:p>
      <w:r>
        <w:t xml:space="preserve">This document is updated whenever new platform standards are agreed. Every update gets a new version number. Always use the latest version.</w:t>
      </w:r>
    </w:p>
    <w:p>
      <w:pPr>
        <w:pStyle w:val="Heading1"/>
      </w:pPr>
      <w:r>
        <w:t xml:space="preserve">2. Audit Categories</w:t>
      </w:r>
    </w:p>
    <w:p>
      <w:r>
        <w:t xml:space="preserve">The audit covers 13 categories. Each category is checked against every file in the page set. Results are reported as Pass, Fail, or N/A per item per file.</w:t>
      </w:r>
    </w:p>
    <w:p>
      <w:pPr>
        <w:pStyle w:val="Heading2"/>
      </w:pPr>
      <w:r>
        <w:t xml:space="preserve">Category 13 — Database Integrity</w:t>
      </w:r>
    </w:p>
    <w:p>
      <w:r>
        <w:t xml:space="preserve">• All database table names referenced in .from() calls exist in the actual Supabase schema.</w:t>
      </w:r>
    </w:p>
    <w:p>
      <w:r>
        <w:t xml:space="preserve">• All column names referenced in .select() calls exist in their respective tables.</w:t>
      </w:r>
    </w:p>
    <w:p>
      <w:r>
        <w:t xml:space="preserve">• All column names referenced in .eq(), .neq(), .gt(), .lt(), .gte(), .lte(), .like(), .ilike(), .in() calls exist in their respective tables.</w:t>
      </w:r>
    </w:p>
    <w:p>
      <w:r>
        <w:t xml:space="preserve">• All column names referenced in .update() and .insert() calls exist in their respective tables.</w:t>
      </w:r>
    </w:p>
    <w:p>
      <w:r>
        <w:t xml:space="preserve">• All column names referenced in .upsert() calls and onConflict parameters exist in their respective tables.</w:t>
      </w:r>
    </w:p>
    <w:p>
      <w:r>
        <w:t xml:space="preserve">• All data property access (data.column_name, item.column_name) matches actual column names from the query results.</w:t>
      </w:r>
    </w:p>
    <w:p>
      <w:r>
        <w:t xml:space="preserve">• All ORDER BY column references (.order()) exist in their respective tables.</w:t>
      </w:r>
    </w:p>
    <w:p>
      <w:r>
        <w:t xml:space="preserve">• No queries attempt to access columns that were renamed, removed, or never existed in the schema.</w:t>
      </w:r>
    </w:p>
    <w:p>
      <w:pPr>
        <w:pStyle w:val="Heading1"/>
      </w:pPr>
      <w:r>
        <w:t xml:space="preserve">3. Audit Instruction Template</w:t>
      </w:r>
    </w:p>
    <w:p>
      <w:r>
        <w:t xml:space="preserve">Copy and paste the following instruction to Claude Code. Replace [FILE LIST] with the specific files for the page set being audited.</w:t>
      </w:r>
    </w:p>
    <w:p/>
    <w:p>
      <w:pPr>
        <w:pBdr>
          <w:top w:val="single" w:color="FFC000" w:sz="6"/>
          <w:bottom w:val="single" w:color="FFC000" w:sz="6"/>
        </w:pBdr>
        <w:shd w:fill="FFF2CC" w:val="clear"/>
      </w:pPr>
      <w:r>
        <w:rPr>
          <w:rFonts w:ascii="Arial" w:cs="Arial" w:eastAsia="Arial" w:hAnsi="Arial"/>
          <w:b/>
          <w:bCs/>
          <w:sz w:val="22"/>
          <w:szCs w:val="22"/>
        </w:rPr>
        <w:t xml:space="preserve">⚠️  Send this instruction exactly as written. Do not summarise or paraphrase. The instruction must be complete for Code to produce a thorough report.</w:t>
      </w:r>
    </w:p>
    <w:p/>
    <w:p>
      <w:r>
        <w:rPr>
          <w:rFonts w:ascii="Courier New" w:cs="Courier New" w:eastAsia="Courier New" w:hAnsi="Courier New"/>
          <w:sz w:val="20"/>
          <w:szCs w:val="20"/>
        </w:rPr>
        <w:t xml:space="preserve">Read CLAUDE.md in full, then begin.</w:t>
      </w:r>
    </w:p>
    <w:p/>
    <w:p>
      <w:r>
        <w:rPr>
          <w:rFonts w:ascii="Courier New" w:cs="Courier New" w:eastAsia="Courier New" w:hAnsi="Courier New"/>
          <w:sz w:val="20"/>
          <w:szCs w:val="20"/>
        </w:rPr>
        <w:t xml:space="preserve">Read the following files in full: [FILE LIST]. Also read staxai-auth.css and shared-utils.js in full.</w:t>
      </w:r>
    </w:p>
    <w:p/>
    <w:p>
      <w:r>
        <w:rPr>
          <w:rFonts w:ascii="Courier New" w:cs="Courier New" w:eastAsia="Courier New" w:hAnsi="Courier New"/>
          <w:sz w:val="20"/>
          <w:szCs w:val="20"/>
        </w:rPr>
        <w:t xml:space="preserve">This is a platform integrity audit. Check every item in every category below against every file. Report findings as a structured table: Category, Item, File, Result (Pass / Fail / N/A), and Notes for any Fail or partial result. Do not make any changes. Report only.</w:t>
      </w:r>
    </w:p>
    <w:p/>
    <w:p>
      <w:r>
        <w:rPr>
          <w:rFonts w:ascii="Courier New" w:cs="Courier New" w:eastAsia="Courier New" w:hAnsi="Courier New"/>
          <w:sz w:val="20"/>
          <w:szCs w:val="20"/>
        </w:rPr>
        <w:t xml:space="preserve">Then paste the full Category list from Section 2 of this document into the instruction.</w:t>
      </w:r>
    </w:p>
    <w:p>
      <w:pPr>
        <w:pStyle w:val="Heading1"/>
      </w:pPr>
      <w:r>
        <w:t xml:space="preserve">4. Page Sets</w:t>
      </w:r>
    </w:p>
    <w:p>
      <w:r>
        <w:t xml:space="preserve">The following table lists the files to include for each page set audit. Always include staxai-auth.css and shared-utils.js in every audit.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1F3864" w:val="clear"/>
            <w:tcMar>
              <w:top w:type="dxa" w:w="80"/>
              <w:left w:type="dxa" w:w="120"/>
              <w:bottom w:type="dxa" w:w="80"/>
              <w:right w:type="dxa" w:w="120"/>
            </w:tcMar>
          </w:tcPr>
          <w:p>
            <w:r>
              <w:rPr>
                <w:rFonts w:ascii="Arial" w:cs="Arial" w:eastAsia="Arial" w:hAnsi="Arial"/>
                <w:b/>
                <w:bCs/>
                <w:color w:val="FFFFFF"/>
                <w:sz w:val="20"/>
                <w:szCs w:val="20"/>
              </w:rPr>
              <w:t xml:space="preserve">Page Set</w:t>
            </w:r>
          </w:p>
        </w:tc>
        <w:tc>
          <w:tcPr>
            <w:tcW w:type="dxa" w:w="6552"/>
            <w:shd w:fill="1F3864" w:val="clear"/>
            <w:tcMar>
              <w:top w:type="dxa" w:w="80"/>
              <w:left w:type="dxa" w:w="120"/>
              <w:bottom w:type="dxa" w:w="80"/>
              <w:right w:type="dxa" w:w="120"/>
            </w:tcMar>
          </w:tcPr>
          <w:p>
            <w:r>
              <w:rPr>
                <w:rFonts w:ascii="Arial" w:cs="Arial" w:eastAsia="Arial" w:hAnsi="Arial"/>
                <w:b/>
                <w:bCs/>
                <w:color w:val="FFFFFF"/>
                <w:sz w:val="20"/>
                <w:szCs w:val="20"/>
              </w:rPr>
              <w:t xml:space="preserve">Files to Audit</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Content Library</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All frontend files: content-library.html, cl-logic.js, cl-review.js, cl-upload.js, cl-outputs.js, cl-profile.js, cl-queue.js. All backend API files: api/cl-*.js and any other API endpoints that interact with CL data.</w:t>
            </w:r>
          </w:p>
        </w:tc>
      </w:tr>
      <w:tr>
        <w:tc>
          <w:tcPr>
            <w:tcW w:type="dxa" w:w="2808"/>
            <w:tcMar>
              <w:top w:type="dxa" w:w="80"/>
              <w:left w:type="dxa" w:w="120"/>
              <w:bottom w:type="dxa" w:w="80"/>
              <w:right w:type="dxa" w:w="120"/>
            </w:tcMar>
          </w:tcPr>
          <w:p>
            <w:r>
              <w:rPr>
                <w:rFonts w:ascii="Arial" w:cs="Arial" w:eastAsia="Arial" w:hAnsi="Arial"/>
                <w:sz w:val="22"/>
                <w:szCs w:val="22"/>
              </w:rPr>
              <w:t xml:space="preserve">CL Settings</w:t>
            </w:r>
          </w:p>
        </w:tc>
        <w:tc>
          <w:tcPr>
            <w:tcW w:type="dxa" w:w="6552"/>
            <w:tcMar>
              <w:top w:type="dxa" w:w="80"/>
              <w:left w:type="dxa" w:w="120"/>
              <w:bottom w:type="dxa" w:w="80"/>
              <w:right w:type="dxa" w:w="120"/>
            </w:tcMar>
          </w:tcPr>
          <w:p>
            <w:r>
              <w:rPr>
                <w:rFonts w:ascii="Arial" w:cs="Arial" w:eastAsia="Arial" w:hAnsi="Arial"/>
                <w:sz w:val="22"/>
                <w:szCs w:val="22"/>
              </w:rPr>
              <w:t xml:space="preserve">All frontend files: cl-settings.html, cl-settings-logic.js, cl-settings-onedrive.js, cl-settings-sharepoint.js, cl-settings-dropbox.js, cl-settings-tools.js. All backend API files related to CL settings and connections.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Email Assistant</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All frontend files: email-assistant.html, email-assistant-logic.js. All backend API files: api/ea-*.js and any other API endpoints that interact with EA data.</w:t>
            </w:r>
          </w:p>
        </w:tc>
      </w:tr>
      <w:tr>
        <w:tc>
          <w:tcPr>
            <w:tcW w:type="dxa" w:w="2808"/>
            <w:tcMar>
              <w:top w:type="dxa" w:w="80"/>
              <w:left w:type="dxa" w:w="120"/>
              <w:bottom w:type="dxa" w:w="80"/>
              <w:right w:type="dxa" w:w="120"/>
            </w:tcMar>
          </w:tcPr>
          <w:p>
            <w:r>
              <w:rPr>
                <w:rFonts w:ascii="Arial" w:cs="Arial" w:eastAsia="Arial" w:hAnsi="Arial"/>
                <w:sz w:val="22"/>
                <w:szCs w:val="22"/>
              </w:rPr>
              <w:t xml:space="preserve">EA Settings</w:t>
            </w:r>
          </w:p>
        </w:tc>
        <w:tc>
          <w:tcPr>
            <w:tcW w:type="dxa" w:w="6552"/>
            <w:tcMar>
              <w:top w:type="dxa" w:w="80"/>
              <w:left w:type="dxa" w:w="120"/>
              <w:bottom w:type="dxa" w:w="80"/>
              <w:right w:type="dxa" w:w="120"/>
            </w:tcMar>
          </w:tcPr>
          <w:p>
            <w:r>
              <w:rPr>
                <w:rFonts w:ascii="Arial" w:cs="Arial" w:eastAsia="Arial" w:hAnsi="Arial"/>
                <w:sz w:val="22"/>
                <w:szCs w:val="22"/>
              </w:rPr>
              <w:t xml:space="preserve">All frontend files: email-assistant-settings.html, email-assistant-settings-logic.js. All backend API files related to EA settings and connections.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All frontend files: news-digest.html, news-digest-logic.js. All backend API files: api/news-digest-*.js and any other API endpoints that interact with ID data.</w:t>
            </w:r>
          </w:p>
        </w:tc>
      </w:tr>
      <w:tr>
        <w:tc>
          <w:tcPr>
            <w:tcW w:type="dxa" w:w="2808"/>
            <w:tcMar>
              <w:top w:type="dxa" w:w="80"/>
              <w:left w:type="dxa" w:w="120"/>
              <w:bottom w:type="dxa" w:w="80"/>
              <w:right w:type="dxa" w:w="120"/>
            </w:tcMar>
          </w:tcPr>
          <w:p>
            <w:r>
              <w:rPr>
                <w:rFonts w:ascii="Arial" w:cs="Arial" w:eastAsia="Arial" w:hAnsi="Arial"/>
                <w:sz w:val="22"/>
                <w:szCs w:val="22"/>
              </w:rPr>
              <w:t xml:space="preserve">ID Settings</w:t>
            </w:r>
          </w:p>
        </w:tc>
        <w:tc>
          <w:tcPr>
            <w:tcW w:type="dxa" w:w="6552"/>
            <w:tcMar>
              <w:top w:type="dxa" w:w="80"/>
              <w:left w:type="dxa" w:w="120"/>
              <w:bottom w:type="dxa" w:w="80"/>
              <w:right w:type="dxa" w:w="120"/>
            </w:tcMar>
          </w:tcPr>
          <w:p>
            <w:r>
              <w:rPr>
                <w:rFonts w:ascii="Arial" w:cs="Arial" w:eastAsia="Arial" w:hAnsi="Arial"/>
                <w:sz w:val="22"/>
                <w:szCs w:val="22"/>
              </w:rPr>
              <w:t xml:space="preserve">All frontend files: news-digest-settings.html, news-digest-settings-logic.js. All backend API files related to ID settings.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Dashboard</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All frontend files: dashboard.html, dashboard-data.js, dashboard-widgets.js. All backend API files that interact with dashboard data.</w:t>
            </w:r>
          </w:p>
        </w:tc>
      </w:tr>
      <w:tr>
        <w:tc>
          <w:tcPr>
            <w:tcW w:type="dxa" w:w="2808"/>
            <w:tcMar>
              <w:top w:type="dxa" w:w="80"/>
              <w:left w:type="dxa" w:w="120"/>
              <w:bottom w:type="dxa" w:w="80"/>
              <w:right w:type="dxa" w:w="120"/>
            </w:tcMar>
          </w:tcPr>
          <w:p>
            <w:r>
              <w:rPr>
                <w:rFonts w:ascii="Arial" w:cs="Arial" w:eastAsia="Arial" w:hAnsi="Arial"/>
                <w:sz w:val="22"/>
                <w:szCs w:val="22"/>
              </w:rPr>
              <w:t xml:space="preserve">Account</w:t>
            </w:r>
          </w:p>
        </w:tc>
        <w:tc>
          <w:tcPr>
            <w:tcW w:type="dxa" w:w="6552"/>
            <w:tcMar>
              <w:top w:type="dxa" w:w="80"/>
              <w:left w:type="dxa" w:w="120"/>
              <w:bottom w:type="dxa" w:w="80"/>
              <w:right w:type="dxa" w:w="120"/>
            </w:tcMar>
          </w:tcPr>
          <w:p>
            <w:r>
              <w:rPr>
                <w:rFonts w:ascii="Arial" w:cs="Arial" w:eastAsia="Arial" w:hAnsi="Arial"/>
                <w:sz w:val="22"/>
                <w:szCs w:val="22"/>
              </w:rPr>
              <w:t xml:space="preserve">All frontend files: account.html, account-logic.js. All backend API files that interact with account/user management data.</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Panel Auth</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All frontend files: panel-auth.html. All backend API files related to panel authentication and tool activation.</w:t>
            </w:r>
          </w:p>
        </w:tc>
      </w:tr>
    </w:tbl>
    <w:p>
      <w:pPr>
        <w:pStyle w:val="Heading1"/>
      </w:pPr>
      <w:r>
        <w:t xml:space="preserve">5. What to Do With Findings</w:t>
      </w:r>
    </w:p>
    <w:p>
      <w:r>
        <w:t xml:space="preserve">After Code returns the audit report:</w:t>
      </w:r>
    </w:p>
    <w:p/>
    <w:p>
      <w:r>
        <w:t xml:space="preserve">• Review every Fail item with the owner in Chat. Confirm each is a genuine issue and agree the correct fix.</w:t>
      </w:r>
    </w:p>
    <w:p>
      <w:r>
        <w:t xml:space="preserve">• Prioritise fixes: safety/security issues first, then functional issues, then visual/consistency issues.</w:t>
      </w:r>
    </w:p>
    <w:p>
      <w:r>
        <w:t xml:space="preserve">• Give Code fix instructions one commit per fix. Never batch multiple fixes into one commit.</w:t>
      </w:r>
    </w:p>
    <w:p>
      <w:r>
        <w:t xml:space="preserve">• After all fixes are committed, re-run the audit against the same file set to confirm everything passes.</w:t>
      </w:r>
    </w:p>
    <w:p>
      <w:r>
        <w:t xml:space="preserve">• Sign off the page set only when all items pass or are confirmed N/A.</w:t>
      </w:r>
    </w:p>
    <w:p>
      <w:pPr>
        <w:pStyle w:val="Heading1"/>
      </w:pPr>
      <w:r>
        <w:t xml:space="preserve">6. Adding New Audit Items</w:t>
      </w:r>
    </w:p>
    <w:p>
      <w:r>
        <w:t xml:space="preserve">When a new platform standard is agreed, add it to the relevant category in Section 2 of this document and increment the version number. Every future audit automatically covers it.</w:t>
      </w:r>
    </w:p>
    <w:p/>
    <w:p>
      <w:r>
        <w:t xml:space="preserve">New items discovered during a fix session that should have been caught by the audit must be added before the next audit begins. This document grows incrementally as the platform matures.</w:t>
      </w:r>
    </w:p>
    <w:p>
      <w:pPr>
        <w:pStyle w:val="Heading1"/>
      </w:pPr>
      <w:r>
        <w:t xml:space="preserve">7.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52"/>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v1.0 — April 2026</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Initial document. 11 audit categories covering file architecture, script load order, auth gate, topbar, stylesheet compliance, JavaScript standards, Save button standard, settings page standard, mobile standard, redundant code, and copy/brand standards. Sourced from Rules v2.9, CLAUDE.md, Page Layout Standard, and issues identified during the April 2026 stylesheet rollout and ID tool rebuild sessions.</w:t>
            </w:r>
          </w:p>
        </w:tc>
      </w:tr>
      <w:tr>
        <w:tc>
          <w:tcPr>
            <w:tcW w:type="dxa" w:w="2808"/>
            <w:tcMar>
              <w:top w:type="dxa" w:w="80"/>
              <w:left w:type="dxa" w:w="120"/>
              <w:bottom w:type="dxa" w:w="80"/>
              <w:right w:type="dxa" w:w="120"/>
            </w:tcMar>
          </w:tcPr>
          <w:p>
            <w:r>
              <w:rPr>
                <w:rFonts w:ascii="Arial" w:cs="Arial" w:eastAsia="Arial" w:hAnsi="Arial"/>
                <w:sz w:val="22"/>
                <w:szCs w:val="22"/>
              </w:rPr>
              <w:t xml:space="preserve">v1.1 — April 2026</w:t>
            </w:r>
          </w:p>
        </w:tc>
        <w:tc>
          <w:tcPr>
            <w:tcW w:type="dxa" w:w="6552"/>
            <w:tcMar>
              <w:top w:type="dxa" w:w="80"/>
              <w:left w:type="dxa" w:w="120"/>
              <w:bottom w:type="dxa" w:w="80"/>
              <w:right w:type="dxa" w:w="120"/>
            </w:tcMar>
          </w:tcPr>
          <w:p>
            <w:r>
              <w:rPr>
                <w:rFonts w:ascii="Arial" w:cs="Arial" w:eastAsia="Arial" w:hAnsi="Arial"/>
                <w:sz w:val="22"/>
                <w:szCs w:val="22"/>
              </w:rPr>
              <w:t xml:space="preserve">Added Category 7 — Error Handling Standard. Error messages must display as modal popups using platform-standard components, not inline text. Categories renumbered: Save Button Standard now Category 8, Settings Page Standard now Category 9, Mobile Standard now Category 10, Redundant Code now Category 11, Copy and Brand Standards now Category 12. Total categories increased from 11 to 12.</w:t>
            </w:r>
          </w:p>
        </w:tc>
      </w:tr>
      <w:tr>
        <w:tc>
          <w:tcPr>
            <w:tcW w:type="dxa" w:w="2808"/>
            <w:tcMar>
              <w:top w:type="dxa" w:w="80"/>
              <w:left w:type="dxa" w:w="120"/>
              <w:bottom w:type="dxa" w:w="80"/>
              <w:right w:type="dxa" w:w="120"/>
            </w:tcMar>
          </w:tcPr>
          <w:p>
            <w:r>
              <w:rPr>
                <w:rFonts w:ascii="Arial" w:cs="Arial" w:eastAsia="Arial" w:hAnsi="Arial"/>
                <w:sz w:val="22"/>
                <w:szCs w:val="22"/>
              </w:rPr>
              <w:t xml:space="preserve">v1.2 — April 2026</w:t>
            </w:r>
          </w:p>
        </w:tc>
        <w:tc>
          <w:tcPr>
            <w:tcW w:type="dxa" w:w="6552"/>
            <w:tcMar>
              <w:top w:type="dxa" w:w="80"/>
              <w:left w:type="dxa" w:w="120"/>
              <w:bottom w:type="dxa" w:w="80"/>
              <w:right w:type="dxa" w:w="120"/>
            </w:tcMar>
          </w:tcPr>
          <w:p>
            <w:r>
              <w:rPr>
                <w:rFonts w:ascii="Arial" w:cs="Arial" w:eastAsia="Arial" w:hAnsi="Arial"/>
                <w:sz w:val="22"/>
                <w:szCs w:val="22"/>
              </w:rPr>
              <w:t xml:space="preserve">Added Category 13 — Database Integrity. All database table names and column names referenced in code must exist in the actual Supabase schema. Covers .select(), .eq(), .update(), .insert(), .upsert(), and data property access patterns. Prevents schema/code mismatches that cause runtime errors. Total categories increased from 12 to 13.</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v1.3 — April 2026</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Updated Page Sets to include all backend API files for comprehensive coverage. Each tool audit now includes both frontend files and all related API endpoints that interact with that tool's data. Prevents schema mismatches in backend code that were previously missed.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360" w:before="360"/>
      <w:outlineLvl w:val="1"/>
    </w:pPr>
    <w:rPr>
      <w:rFonts w:ascii="Arial" w:cs="Arial" w:eastAsia="Arial" w:hAnsi="Arial"/>
      <w:b/>
      <w:bCs/>
      <w:color w:val="2E5F8A"/>
      <w:sz w:val="26"/>
      <w:szCs w:val="26"/>
    </w:rPr>
  </w:style>
  <w:style w:type="paragraph" w:styleId="Heading3">
    <w:name w:val="Heading 3"/>
    <w:basedOn w:val="Normal"/>
    <w:next w:val="Normal"/>
    <w:qFormat/>
    <w:pPr>
      <w:spacing w:after="24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2026-04-21T09:46:18.290Z</dcterms:created>
  <dcterms:modified xsi:type="dcterms:W3CDTF">2026-04-21T09:46:18.292Z</dcterms:modified>
</cp:coreProperties>
</file>

<file path=docProps/custom.xml><?xml version="1.0" encoding="utf-8"?>
<Properties xmlns="http://schemas.openxmlformats.org/officeDocument/2006/custom-properties" xmlns:vt="http://schemas.openxmlformats.org/officeDocument/2006/docPropsVTypes"/>
</file>