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36"/>
          <w:szCs w:val="36"/>
        </w:rPr>
        <w:t xml:space="preserve">StaxAI</w:t>
      </w:r>
    </w:p>
    <w:p>
      <w:pPr>
        <w:spacing w:after="240" w:before="0"/>
      </w:pPr>
      <w:r>
        <w:rPr>
          <w:rFonts w:ascii="Arial" w:cs="Arial" w:eastAsia="Arial" w:hAnsi="Arial"/>
          <w:b/>
          <w:bCs/>
          <w:sz w:val="32"/>
          <w:szCs w:val="32"/>
        </w:rPr>
        <w:t xml:space="preserve">NEW TOOL IDEAS — FUTURE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6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Detail</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Document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StaxAI-New-Tool-Ideas-v1.0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v1.0 — April 2026</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Ideas only — not approved for build. Each idea requires a full spec before any build work begins.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Origin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Strategic discussion session April 2026</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Tool Specification Guide v2.3, External Platform Connections Spec v1.0</w:t>
            </w:r>
          </w:p>
        </w:tc>
      </w:tr>
    </w:tbl>
    <w:p>
      <w:pPr>
        <w:spacing w:after="60" w:before="60"/>
      </w:pPr>
      <w:r>
        <w:t xml:space="preserve"/>
      </w:r>
    </w:p>
    <w:p>
      <w:pPr>
        <w:spacing w:after="80" w:before="80"/>
      </w:pPr>
      <w:r>
        <w:rPr>
          <w:rFonts w:ascii="Arial" w:cs="Arial" w:eastAsia="Arial" w:hAnsi="Arial"/>
          <w:sz w:val="24"/>
          <w:szCs w:val="24"/>
        </w:rPr>
        <w:t xml:space="preserve">This document captures six tool ideas identified during a strategic review session in April 2026. Each idea has been assessed for overlap with the integrated platforms (Xero, MYOB, QuickBooks, ServiceM8, Buildxact, Fergus pending, Tradify pending) and against the existing 13-tool lineup. None of these tools are approved for build. Each requires a full specification document and owner approval before any build work begins.</w:t>
      </w:r>
    </w:p>
    <w:p>
      <w:pPr>
        <w:spacing w:after="60" w:before="60"/>
      </w:pPr>
      <w:r>
        <w:t xml:space="preserve"/>
      </w:r>
    </w:p>
    <w:p>
      <w:pPr>
        <w:pStyle w:val="Heading1"/>
        <w:spacing w:after="160" w:before="320"/>
      </w:pPr>
      <w:r>
        <w:rPr>
          <w:rFonts w:ascii="Arial" w:cs="Arial" w:eastAsia="Arial" w:hAnsi="Arial"/>
          <w:b/>
          <w:bCs/>
          <w:sz w:val="32"/>
          <w:szCs w:val="32"/>
        </w:rPr>
        <w:t xml:space="preserve">1.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Tool Idea</w:t>
            </w:r>
          </w:p>
        </w:tc>
        <w:tc>
          <w:tcPr>
            <w:tcW w:type="dxa" w:w="5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Overlap Risk</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Staff Onboarding &amp; Training Docs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no platform covers this</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Job Debrief &amp; Lessons Learned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integration with platforms strengthens the tool</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Subcontractor &amp; Supplier Management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compliance angle is unique</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Customer FAQ &amp; Knowledge Base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complements the existing chatbot</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Contract &amp; Scope Change Manager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 — ServiceM8 and Fergus have variations features but no AI writing. Positioning required.</w:t>
            </w:r>
          </w:p>
        </w:tc>
      </w:tr>
      <w:tr>
        <w:trPr>
          <w:tblHeader w:val="false"/>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Compliance Calendar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 no platform covers business-level compliance management</w:t>
            </w:r>
          </w:p>
        </w:tc>
      </w:tr>
    </w:tbl>
    <w:p>
      <w:pPr>
        <w:spacing w:after="60" w:before="60"/>
      </w:pPr>
      <w:r>
        <w:t xml:space="preserve"/>
      </w:r>
    </w:p>
    <w:p>
      <w:pPr>
        <w:pStyle w:val="Heading1"/>
        <w:spacing w:after="160" w:before="320"/>
      </w:pPr>
      <w:r>
        <w:rPr>
          <w:rFonts w:ascii="Arial" w:cs="Arial" w:eastAsia="Arial" w:hAnsi="Arial"/>
          <w:b/>
          <w:bCs/>
          <w:sz w:val="32"/>
          <w:szCs w:val="32"/>
        </w:rPr>
        <w:t xml:space="preserve">2. Staff Onboarding &amp; Training Docs</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Trades businesses constantly take on apprentices and subcontractors. Creating induction documents, training checklists, and site-specific procedures is time-consuming and rarely done well. AI generates these from the business profile and job types. Workers sign off digitally on their phone.</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AI generates induction documents specific to the trade, business, and site</w:t>
      </w:r>
    </w:p>
    <w:p>
      <w:pPr>
        <w:pStyle w:val="ListParagraph"/>
        <w:numPr>
          <w:ilvl w:val="0"/>
          <w:numId w:val="2"/>
        </w:numPr>
        <w:spacing w:after="40" w:before="40"/>
      </w:pPr>
      <w:r>
        <w:rPr>
          <w:rFonts w:ascii="Arial" w:cs="Arial" w:eastAsia="Arial" w:hAnsi="Arial"/>
          <w:sz w:val="24"/>
          <w:szCs w:val="24"/>
        </w:rPr>
        <w:t xml:space="preserve">Training checklists for apprentices and new starters</w:t>
      </w:r>
    </w:p>
    <w:p>
      <w:pPr>
        <w:pStyle w:val="ListParagraph"/>
        <w:numPr>
          <w:ilvl w:val="0"/>
          <w:numId w:val="2"/>
        </w:numPr>
        <w:spacing w:after="40" w:before="40"/>
      </w:pPr>
      <w:r>
        <w:rPr>
          <w:rFonts w:ascii="Arial" w:cs="Arial" w:eastAsia="Arial" w:hAnsi="Arial"/>
          <w:sz w:val="24"/>
          <w:szCs w:val="24"/>
        </w:rPr>
        <w:t xml:space="preserve">Site-specific safety and procedure documents</w:t>
      </w:r>
    </w:p>
    <w:p>
      <w:pPr>
        <w:pStyle w:val="ListParagraph"/>
        <w:numPr>
          <w:ilvl w:val="0"/>
          <w:numId w:val="2"/>
        </w:numPr>
        <w:spacing w:after="40" w:before="40"/>
      </w:pPr>
      <w:r>
        <w:rPr>
          <w:rFonts w:ascii="Arial" w:cs="Arial" w:eastAsia="Arial" w:hAnsi="Arial"/>
          <w:sz w:val="24"/>
          <w:szCs w:val="24"/>
        </w:rPr>
        <w:t xml:space="preserve">Digital sign-off on phone — worker confirms they have read and understood</w:t>
      </w:r>
    </w:p>
    <w:p>
      <w:pPr>
        <w:pStyle w:val="ListParagraph"/>
        <w:numPr>
          <w:ilvl w:val="0"/>
          <w:numId w:val="2"/>
        </w:numPr>
        <w:spacing w:after="40" w:before="40"/>
      </w:pPr>
      <w:r>
        <w:rPr>
          <w:rFonts w:ascii="Arial" w:cs="Arial" w:eastAsia="Arial" w:hAnsi="Arial"/>
          <w:sz w:val="24"/>
          <w:szCs w:val="24"/>
        </w:rPr>
        <w:t xml:space="preserve">Templates saved to Content Library for reuse</w:t>
      </w:r>
    </w:p>
    <w:p>
      <w:pPr>
        <w:pStyle w:val="ListParagraph"/>
        <w:numPr>
          <w:ilvl w:val="0"/>
          <w:numId w:val="2"/>
        </w:numPr>
        <w:spacing w:after="40" w:before="40"/>
      </w:pPr>
      <w:r>
        <w:rPr>
          <w:rFonts w:ascii="Arial" w:cs="Arial" w:eastAsia="Arial" w:hAnsi="Arial"/>
          <w:sz w:val="24"/>
          <w:szCs w:val="24"/>
        </w:rPr>
        <w:t xml:space="preserve">Links naturally to SWMS &amp; Safety Docs — shared safety content</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No integration required. ServiceM8 and Fergus hold staff records but do not generate induction or training documents. The Content Library provides business profile context for AI generation.</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overlap with any integrated platform. Completely clear.</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Natural companion to SWMS &amp; Safety Docs — could potentially be combined into a broader Safety &amp; Compliance tool suite or sold as a bundle. Digital sign-off reuses the same pattern as SWMS worker sign-off.</w:t>
      </w:r>
    </w:p>
    <w:p>
      <w:pPr>
        <w:spacing w:after="60" w:before="60"/>
      </w:pPr>
      <w:r>
        <w:t xml:space="preserve"/>
      </w:r>
    </w:p>
    <w:p>
      <w:pPr>
        <w:pStyle w:val="Heading1"/>
        <w:spacing w:after="160" w:before="320"/>
      </w:pPr>
      <w:r>
        <w:rPr>
          <w:rFonts w:ascii="Arial" w:cs="Arial" w:eastAsia="Arial" w:hAnsi="Arial"/>
          <w:b/>
          <w:bCs/>
          <w:sz w:val="32"/>
          <w:szCs w:val="32"/>
        </w:rPr>
        <w:t xml:space="preserve">3. Job Debrief &amp; Lessons Learned</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After a complex job, capturing what went well, what went wrong, cost overruns, and client feedback is valuable for business improvement but almost never happens. A quick AI-assisted debrief that saves to the Content Library and feeds the BI Dashboard could be genuinely useful and easy to complete on-site at job completion.</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Triggered at job completion — natural follow-on from Handover Documentation</w:t>
      </w:r>
    </w:p>
    <w:p>
      <w:pPr>
        <w:pStyle w:val="ListParagraph"/>
        <w:numPr>
          <w:ilvl w:val="0"/>
          <w:numId w:val="2"/>
        </w:numPr>
        <w:spacing w:after="40" w:before="40"/>
      </w:pPr>
      <w:r>
        <w:rPr>
          <w:rFonts w:ascii="Arial" w:cs="Arial" w:eastAsia="Arial" w:hAnsi="Arial"/>
          <w:sz w:val="24"/>
          <w:szCs w:val="24"/>
        </w:rPr>
        <w:t xml:space="preserve">AI prompts the user through structured debrief questions</w:t>
      </w:r>
    </w:p>
    <w:p>
      <w:pPr>
        <w:pStyle w:val="ListParagraph"/>
        <w:numPr>
          <w:ilvl w:val="0"/>
          <w:numId w:val="2"/>
        </w:numPr>
        <w:spacing w:after="40" w:before="40"/>
      </w:pPr>
      <w:r>
        <w:rPr>
          <w:rFonts w:ascii="Arial" w:cs="Arial" w:eastAsia="Arial" w:hAnsi="Arial"/>
          <w:sz w:val="24"/>
          <w:szCs w:val="24"/>
        </w:rPr>
        <w:t xml:space="preserve">Compares actual costs against quoted costs — pulled from ServiceM8 or accounting platform</w:t>
      </w:r>
    </w:p>
    <w:p>
      <w:pPr>
        <w:pStyle w:val="ListParagraph"/>
        <w:numPr>
          <w:ilvl w:val="0"/>
          <w:numId w:val="2"/>
        </w:numPr>
        <w:spacing w:after="40" w:before="40"/>
      </w:pPr>
      <w:r>
        <w:rPr>
          <w:rFonts w:ascii="Arial" w:cs="Arial" w:eastAsia="Arial" w:hAnsi="Arial"/>
          <w:sz w:val="24"/>
          <w:szCs w:val="24"/>
        </w:rPr>
        <w:t xml:space="preserve">Captures what went well, what to do differently, client feedback notes</w:t>
      </w:r>
    </w:p>
    <w:p>
      <w:pPr>
        <w:pStyle w:val="ListParagraph"/>
        <w:numPr>
          <w:ilvl w:val="0"/>
          <w:numId w:val="2"/>
        </w:numPr>
        <w:spacing w:after="40" w:before="40"/>
      </w:pPr>
      <w:r>
        <w:rPr>
          <w:rFonts w:ascii="Arial" w:cs="Arial" w:eastAsia="Arial" w:hAnsi="Arial"/>
          <w:sz w:val="24"/>
          <w:szCs w:val="24"/>
        </w:rPr>
        <w:t xml:space="preserve">AI writes a structured debrief summary saved to Content Library</w:t>
      </w:r>
    </w:p>
    <w:p>
      <w:pPr>
        <w:pStyle w:val="ListParagraph"/>
        <w:numPr>
          <w:ilvl w:val="0"/>
          <w:numId w:val="2"/>
        </w:numPr>
        <w:spacing w:after="40" w:before="40"/>
      </w:pPr>
      <w:r>
        <w:rPr>
          <w:rFonts w:ascii="Arial" w:cs="Arial" w:eastAsia="Arial" w:hAnsi="Arial"/>
          <w:sz w:val="24"/>
          <w:szCs w:val="24"/>
        </w:rPr>
        <w:t xml:space="preserve">Feeds Business Intelligence Dashboard with job performance data over time</w:t>
      </w:r>
    </w:p>
    <w:p>
      <w:pPr>
        <w:pStyle w:val="ListParagraph"/>
        <w:numPr>
          <w:ilvl w:val="0"/>
          <w:numId w:val="2"/>
        </w:numPr>
        <w:spacing w:after="40" w:before="40"/>
      </w:pPr>
      <w:r>
        <w:rPr>
          <w:rFonts w:ascii="Arial" w:cs="Arial" w:eastAsia="Arial" w:hAnsi="Arial"/>
          <w:sz w:val="24"/>
          <w:szCs w:val="24"/>
        </w:rPr>
        <w:t xml:space="preserve">Builds a searchable record of job learnings the business can refer back to</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ServiceM8: pull original job data, quoted costs, and actual line items to populate the comparison. Xero/MYOB/QuickBooks: pull actual job costs for accurate variance analysis. Integration makes the tool significantly more powerful — the debrief is pre-populated with real data rather than requiring manual entry.</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overlap. Job management platforms record completion but do not facilitate structured AI-assisted debriefs or cost variance analysis with AI-written summaries.</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Could be positioned as a natural step in the job completion workflow: complete job in ServiceM8 → generate handover pack in StaxAI → complete job debrief in StaxAI → trigger review request. The BI Dashboard integration is a key selling point — over time the debrief data builds a picture of which job types are most profitable and where cost overruns occur.</w:t>
      </w:r>
    </w:p>
    <w:p>
      <w:pPr>
        <w:spacing w:after="60" w:before="60"/>
      </w:pPr>
      <w:r>
        <w:t xml:space="preserve"/>
      </w:r>
    </w:p>
    <w:p>
      <w:pPr>
        <w:pStyle w:val="Heading1"/>
        <w:spacing w:after="160" w:before="320"/>
      </w:pPr>
      <w:r>
        <w:rPr>
          <w:rFonts w:ascii="Arial" w:cs="Arial" w:eastAsia="Arial" w:hAnsi="Arial"/>
          <w:b/>
          <w:bCs/>
          <w:sz w:val="32"/>
          <w:szCs w:val="32"/>
        </w:rPr>
        <w:t xml:space="preserve">4. Subcontractor &amp; Supplier Management</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Many trades businesses use subcontractors regularly but manage them through spreadsheets or memory. A tool that maintains subcontractor profiles, licence and insurance details, expiry date tracking, and performance notes — with AI-generated compliance reminders and onboarding documents.</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Subcontractor profiles — contact details, trade, rates, areas of work</w:t>
      </w:r>
    </w:p>
    <w:p>
      <w:pPr>
        <w:pStyle w:val="ListParagraph"/>
        <w:numPr>
          <w:ilvl w:val="0"/>
          <w:numId w:val="2"/>
        </w:numPr>
        <w:spacing w:after="40" w:before="40"/>
      </w:pPr>
      <w:r>
        <w:rPr>
          <w:rFonts w:ascii="Arial" w:cs="Arial" w:eastAsia="Arial" w:hAnsi="Arial"/>
          <w:sz w:val="24"/>
          <w:szCs w:val="24"/>
        </w:rPr>
        <w:t xml:space="preserve">Licence and insurance document storage with expiry date tracking</w:t>
      </w:r>
    </w:p>
    <w:p>
      <w:pPr>
        <w:pStyle w:val="ListParagraph"/>
        <w:numPr>
          <w:ilvl w:val="0"/>
          <w:numId w:val="2"/>
        </w:numPr>
        <w:spacing w:after="40" w:before="40"/>
      </w:pPr>
      <w:r>
        <w:rPr>
          <w:rFonts w:ascii="Arial" w:cs="Arial" w:eastAsia="Arial" w:hAnsi="Arial"/>
          <w:sz w:val="24"/>
          <w:szCs w:val="24"/>
        </w:rPr>
        <w:t xml:space="preserve">Automated reminders when licences or insurances are approaching expiry</w:t>
      </w:r>
    </w:p>
    <w:p>
      <w:pPr>
        <w:pStyle w:val="ListParagraph"/>
        <w:numPr>
          <w:ilvl w:val="0"/>
          <w:numId w:val="2"/>
        </w:numPr>
        <w:spacing w:after="40" w:before="40"/>
      </w:pPr>
      <w:r>
        <w:rPr>
          <w:rFonts w:ascii="Arial" w:cs="Arial" w:eastAsia="Arial" w:hAnsi="Arial"/>
          <w:sz w:val="24"/>
          <w:szCs w:val="24"/>
        </w:rPr>
        <w:t xml:space="preserve">Performance notes and ratings after each job</w:t>
      </w:r>
    </w:p>
    <w:p>
      <w:pPr>
        <w:pStyle w:val="ListParagraph"/>
        <w:numPr>
          <w:ilvl w:val="0"/>
          <w:numId w:val="2"/>
        </w:numPr>
        <w:spacing w:after="40" w:before="40"/>
      </w:pPr>
      <w:r>
        <w:rPr>
          <w:rFonts w:ascii="Arial" w:cs="Arial" w:eastAsia="Arial" w:hAnsi="Arial"/>
          <w:sz w:val="24"/>
          <w:szCs w:val="24"/>
        </w:rPr>
        <w:t xml:space="preserve">AI-generated subcontractor onboarding pack — site rules, safety requirements, payment terms</w:t>
      </w:r>
    </w:p>
    <w:p>
      <w:pPr>
        <w:pStyle w:val="ListParagraph"/>
        <w:numPr>
          <w:ilvl w:val="0"/>
          <w:numId w:val="2"/>
        </w:numPr>
        <w:spacing w:after="40" w:before="40"/>
      </w:pPr>
      <w:r>
        <w:rPr>
          <w:rFonts w:ascii="Arial" w:cs="Arial" w:eastAsia="Arial" w:hAnsi="Arial"/>
          <w:sz w:val="24"/>
          <w:szCs w:val="24"/>
        </w:rPr>
        <w:t xml:space="preserve">Supplier profiles — key contacts, pricing agreements, lead times</w:t>
      </w:r>
    </w:p>
    <w:p>
      <w:pPr>
        <w:pStyle w:val="ListParagraph"/>
        <w:numPr>
          <w:ilvl w:val="0"/>
          <w:numId w:val="2"/>
        </w:numPr>
        <w:spacing w:after="40" w:before="40"/>
      </w:pPr>
      <w:r>
        <w:rPr>
          <w:rFonts w:ascii="Arial" w:cs="Arial" w:eastAsia="Arial" w:hAnsi="Arial"/>
          <w:sz w:val="24"/>
          <w:szCs w:val="24"/>
        </w:rPr>
        <w:t xml:space="preserve">Links to SWMS — subcontractor safety compliance visible in safety docs</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ServiceM8 and Fergus both have staff and subcontractor assignment features but neither tracks licence expiry, insurance status, or generates compliance documents. No accounting platform overlap. The Content Library stores onboarding documents.</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meaningful overlap. The compliance and AI document generation angle is entirely unique across all integrated platforms.</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This could be particularly valuable for builders and larger electrical or plumbing businesses that rely heavily on subbies. Compliance risk (using an uninsured subcontractor) is a real business risk this tool directly addresses. Supplier management is a secondary feature — the subcontractor compliance angle is the primary value proposition.</w:t>
      </w:r>
    </w:p>
    <w:p>
      <w:pPr>
        <w:spacing w:after="60" w:before="60"/>
      </w:pPr>
      <w:r>
        <w:t xml:space="preserve"/>
      </w:r>
    </w:p>
    <w:p>
      <w:pPr>
        <w:pStyle w:val="Heading1"/>
        <w:spacing w:after="160" w:before="320"/>
      </w:pPr>
      <w:r>
        <w:rPr>
          <w:rFonts w:ascii="Arial" w:cs="Arial" w:eastAsia="Arial" w:hAnsi="Arial"/>
          <w:b/>
          <w:bCs/>
          <w:sz w:val="32"/>
          <w:szCs w:val="32"/>
        </w:rPr>
        <w:t xml:space="preserve">5. Customer FAQ &amp; Knowledge Base</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Distinct from the AI Website Chatbot — this tool analyses the business's most common customer questions from email history and chatbot logs, then generates a structured FAQ document the business can publish on their website, include in quotes, or share with new customers proactively.</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Analyses email history and chatbot conversation logs to identify the most common customer questions</w:t>
      </w:r>
    </w:p>
    <w:p>
      <w:pPr>
        <w:pStyle w:val="ListParagraph"/>
        <w:numPr>
          <w:ilvl w:val="0"/>
          <w:numId w:val="2"/>
        </w:numPr>
        <w:spacing w:after="40" w:before="40"/>
      </w:pPr>
      <w:r>
        <w:rPr>
          <w:rFonts w:ascii="Arial" w:cs="Arial" w:eastAsia="Arial" w:hAnsi="Arial"/>
          <w:sz w:val="24"/>
          <w:szCs w:val="24"/>
        </w:rPr>
        <w:t xml:space="preserve">AI generates clear, professional answers to each question based on the business profile and Content Library</w:t>
      </w:r>
    </w:p>
    <w:p>
      <w:pPr>
        <w:pStyle w:val="ListParagraph"/>
        <w:numPr>
          <w:ilvl w:val="0"/>
          <w:numId w:val="2"/>
        </w:numPr>
        <w:spacing w:after="40" w:before="40"/>
      </w:pPr>
      <w:r>
        <w:rPr>
          <w:rFonts w:ascii="Arial" w:cs="Arial" w:eastAsia="Arial" w:hAnsi="Arial"/>
          <w:sz w:val="24"/>
          <w:szCs w:val="24"/>
        </w:rPr>
        <w:t xml:space="preserve">User reviews and edits the FAQ before publishing</w:t>
      </w:r>
    </w:p>
    <w:p>
      <w:pPr>
        <w:pStyle w:val="ListParagraph"/>
        <w:numPr>
          <w:ilvl w:val="0"/>
          <w:numId w:val="2"/>
        </w:numPr>
        <w:spacing w:after="40" w:before="40"/>
      </w:pPr>
      <w:r>
        <w:rPr>
          <w:rFonts w:ascii="Arial" w:cs="Arial" w:eastAsia="Arial" w:hAnsi="Arial"/>
          <w:sz w:val="24"/>
          <w:szCs w:val="24"/>
        </w:rPr>
        <w:t xml:space="preserve">Output formats: web page embed, PDF download, shareable link</w:t>
      </w:r>
    </w:p>
    <w:p>
      <w:pPr>
        <w:pStyle w:val="ListParagraph"/>
        <w:numPr>
          <w:ilvl w:val="0"/>
          <w:numId w:val="2"/>
        </w:numPr>
        <w:spacing w:after="40" w:before="40"/>
      </w:pPr>
      <w:r>
        <w:rPr>
          <w:rFonts w:ascii="Arial" w:cs="Arial" w:eastAsia="Arial" w:hAnsi="Arial"/>
          <w:sz w:val="24"/>
          <w:szCs w:val="24"/>
        </w:rPr>
        <w:t xml:space="preserve">FAQ saved to Content Library and feeds back into the chatbot knowledge base</w:t>
      </w:r>
    </w:p>
    <w:p>
      <w:pPr>
        <w:pStyle w:val="ListParagraph"/>
        <w:numPr>
          <w:ilvl w:val="0"/>
          <w:numId w:val="2"/>
        </w:numPr>
        <w:spacing w:after="40" w:before="40"/>
      </w:pPr>
      <w:r>
        <w:rPr>
          <w:rFonts w:ascii="Arial" w:cs="Arial" w:eastAsia="Arial" w:hAnsi="Arial"/>
          <w:sz w:val="24"/>
          <w:szCs w:val="24"/>
        </w:rPr>
        <w:t xml:space="preserve">Refreshes periodically as new questions emerge from email and chatbot data</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No external platform integration required. Draws from the AI Email Assistant email history and AI Website Chatbot conversation logs already in the platform. The Content Library provides business profile context.</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overlap with any integrated platform. Complementary to the existing chatbot — the chatbot answers questions interactively, this tool creates a static publishable resource. The two tools reinforce each other.</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This tool has a natural self-improving quality — the more a business uses the Email Assistant and Chatbot, the better the FAQ becomes. Could be positioned as a premium feature for businesses that want to reduce inbound enquiries by publishing comprehensive answers proactively. Low complexity build relative to other tools.</w:t>
      </w:r>
    </w:p>
    <w:p>
      <w:pPr>
        <w:spacing w:after="60" w:before="60"/>
      </w:pPr>
      <w:r>
        <w:t xml:space="preserve"/>
      </w:r>
    </w:p>
    <w:p>
      <w:pPr>
        <w:pStyle w:val="Heading1"/>
        <w:spacing w:after="160" w:before="320"/>
      </w:pPr>
      <w:r>
        <w:rPr>
          <w:rFonts w:ascii="Arial" w:cs="Arial" w:eastAsia="Arial" w:hAnsi="Arial"/>
          <w:b/>
          <w:bCs/>
          <w:sz w:val="32"/>
          <w:szCs w:val="32"/>
        </w:rPr>
        <w:t xml:space="preserve">6. Contract &amp; Scope Change Manager</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Variations and scope creep are the number one source of disputes for trades businesses. An AI tool that helps document scope changes formally — generating variation notices, getting digital customer sign-off, and tracking against the original quote — would reduce disputes and protect revenue.</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Variation notice generation — describe the change, AI writes a formal variation document</w:t>
      </w:r>
    </w:p>
    <w:p>
      <w:pPr>
        <w:pStyle w:val="ListParagraph"/>
        <w:numPr>
          <w:ilvl w:val="0"/>
          <w:numId w:val="2"/>
        </w:numPr>
        <w:spacing w:after="40" w:before="40"/>
      </w:pPr>
      <w:r>
        <w:rPr>
          <w:rFonts w:ascii="Arial" w:cs="Arial" w:eastAsia="Arial" w:hAnsi="Arial"/>
          <w:sz w:val="24"/>
          <w:szCs w:val="24"/>
        </w:rPr>
        <w:t xml:space="preserve">Links to original quote scope from Quote Enhancer or ServiceM8</w:t>
      </w:r>
    </w:p>
    <w:p>
      <w:pPr>
        <w:pStyle w:val="ListParagraph"/>
        <w:numPr>
          <w:ilvl w:val="0"/>
          <w:numId w:val="2"/>
        </w:numPr>
        <w:spacing w:after="40" w:before="40"/>
      </w:pPr>
      <w:r>
        <w:rPr>
          <w:rFonts w:ascii="Arial" w:cs="Arial" w:eastAsia="Arial" w:hAnsi="Arial"/>
          <w:sz w:val="24"/>
          <w:szCs w:val="24"/>
        </w:rPr>
        <w:t xml:space="preserve">Cost impact calculation — adds variation cost to running project total</w:t>
      </w:r>
    </w:p>
    <w:p>
      <w:pPr>
        <w:pStyle w:val="ListParagraph"/>
        <w:numPr>
          <w:ilvl w:val="0"/>
          <w:numId w:val="2"/>
        </w:numPr>
        <w:spacing w:after="40" w:before="40"/>
      </w:pPr>
      <w:r>
        <w:rPr>
          <w:rFonts w:ascii="Arial" w:cs="Arial" w:eastAsia="Arial" w:hAnsi="Arial"/>
          <w:sz w:val="24"/>
          <w:szCs w:val="24"/>
        </w:rPr>
        <w:t xml:space="preserve">Digital customer sign-off on phone or via email link</w:t>
      </w:r>
    </w:p>
    <w:p>
      <w:pPr>
        <w:pStyle w:val="ListParagraph"/>
        <w:numPr>
          <w:ilvl w:val="0"/>
          <w:numId w:val="2"/>
        </w:numPr>
        <w:spacing w:after="40" w:before="40"/>
      </w:pPr>
      <w:r>
        <w:rPr>
          <w:rFonts w:ascii="Arial" w:cs="Arial" w:eastAsia="Arial" w:hAnsi="Arial"/>
          <w:sz w:val="24"/>
          <w:szCs w:val="24"/>
        </w:rPr>
        <w:t xml:space="preserve">Variation history log — full audit trail of all scope changes on a job</w:t>
      </w:r>
    </w:p>
    <w:p>
      <w:pPr>
        <w:pStyle w:val="ListParagraph"/>
        <w:numPr>
          <w:ilvl w:val="0"/>
          <w:numId w:val="2"/>
        </w:numPr>
        <w:spacing w:after="40" w:before="40"/>
      </w:pPr>
      <w:r>
        <w:rPr>
          <w:rFonts w:ascii="Arial" w:cs="Arial" w:eastAsia="Arial" w:hAnsi="Arial"/>
          <w:sz w:val="24"/>
          <w:szCs w:val="24"/>
        </w:rPr>
        <w:t xml:space="preserve">Unsigned variation alerts — reminds user if a variation has not been signed off</w:t>
      </w:r>
    </w:p>
    <w:p>
      <w:pPr>
        <w:pStyle w:val="ListParagraph"/>
        <w:numPr>
          <w:ilvl w:val="0"/>
          <w:numId w:val="2"/>
        </w:numPr>
        <w:spacing w:after="40" w:before="40"/>
      </w:pPr>
      <w:r>
        <w:rPr>
          <w:rFonts w:ascii="Arial" w:cs="Arial" w:eastAsia="Arial" w:hAnsi="Arial"/>
          <w:sz w:val="24"/>
          <w:szCs w:val="24"/>
        </w:rPr>
        <w:t xml:space="preserve">Saves to Content Library linked to the project</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ServiceM8: pull original job and quote data. Variation is created against the ServiceM8 job. Fergus: similar — variation links to the Fergus job record. Quote Enhancer: the original enhanced quote provides the scope baseline. Integration with job management platforms makes the variation directly traceable to the original job.</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Low overlap risk. ServiceM8 and Fergus both have variations features that allow additional line items to be added to a job. However neither generates formal AI-written variation notices, neither provides customer sign-off workflows, and neither produces an audit trail document suitable for dispute resolution. The StaxAI differentiator is the AI-written formal documentation and the digital sign-off flow. Positioning must emphasise the professional documentation angle, not the line item tracking which the platforms already handle.</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This tool directly addresses a real financial risk — undocumented scope changes that lead to payment disputes. The digital sign-off creates a legally useful paper trail. Positioning should focus on protecting revenue and avoiding disputes rather than framing it as a project management tool. Consider whether this could be bundled with Quote Enhancer as a complete quoting and variation management suite.</w:t>
      </w:r>
    </w:p>
    <w:p>
      <w:pPr>
        <w:spacing w:after="60" w:before="60"/>
      </w:pPr>
      <w:r>
        <w:t xml:space="preserve"/>
      </w:r>
    </w:p>
    <w:p>
      <w:pPr>
        <w:pStyle w:val="Heading1"/>
        <w:spacing w:after="160" w:before="320"/>
      </w:pPr>
      <w:r>
        <w:rPr>
          <w:rFonts w:ascii="Arial" w:cs="Arial" w:eastAsia="Arial" w:hAnsi="Arial"/>
          <w:b/>
          <w:bCs/>
          <w:sz w:val="32"/>
          <w:szCs w:val="32"/>
        </w:rPr>
        <w:t xml:space="preserve">7. Compliance Calendar</w:t>
      </w:r>
    </w:p>
    <w:p>
      <w:pPr>
        <w:pStyle w:val="Heading2"/>
        <w:spacing w:after="120" w:before="240"/>
      </w:pPr>
      <w:r>
        <w:rPr>
          <w:rFonts w:ascii="Arial" w:cs="Arial" w:eastAsia="Arial" w:hAnsi="Arial"/>
          <w:b/>
          <w:bCs/>
          <w:sz w:val="28"/>
          <w:szCs w:val="28"/>
        </w:rPr>
        <w:t xml:space="preserve">The idea</w:t>
      </w:r>
    </w:p>
    <w:p>
      <w:pPr>
        <w:spacing w:after="80" w:before="80"/>
      </w:pPr>
      <w:r>
        <w:rPr>
          <w:rFonts w:ascii="Arial" w:cs="Arial" w:eastAsia="Arial" w:hAnsi="Arial"/>
          <w:sz w:val="24"/>
          <w:szCs w:val="24"/>
        </w:rPr>
        <w:t xml:space="preserve">Licence renewals, insurance expiry, WHS obligations, BAS deadlines, and industry body membership renewals are routinely missed by SMEs. An AI tool that builds a personalised compliance calendar from the business profile and sends proactive reminders reduces real business and legal risk.</w:t>
      </w:r>
    </w:p>
    <w:p>
      <w:pPr>
        <w:pStyle w:val="Heading2"/>
        <w:spacing w:after="120" w:before="240"/>
      </w:pPr>
      <w:r>
        <w:rPr>
          <w:rFonts w:ascii="Arial" w:cs="Arial" w:eastAsia="Arial" w:hAnsi="Arial"/>
          <w:b/>
          <w:bCs/>
          <w:sz w:val="28"/>
          <w:szCs w:val="28"/>
        </w:rPr>
        <w:t xml:space="preserve">Key functions</w:t>
      </w:r>
    </w:p>
    <w:p>
      <w:pPr>
        <w:pStyle w:val="ListParagraph"/>
        <w:numPr>
          <w:ilvl w:val="0"/>
          <w:numId w:val="2"/>
        </w:numPr>
        <w:spacing w:after="40" w:before="40"/>
      </w:pPr>
      <w:r>
        <w:rPr>
          <w:rFonts w:ascii="Arial" w:cs="Arial" w:eastAsia="Arial" w:hAnsi="Arial"/>
          <w:sz w:val="24"/>
          <w:szCs w:val="24"/>
        </w:rPr>
        <w:t xml:space="preserve">AI builds an initial compliance calendar from the business profile — trade type, state, licences held</w:t>
      </w:r>
    </w:p>
    <w:p>
      <w:pPr>
        <w:pStyle w:val="ListParagraph"/>
        <w:numPr>
          <w:ilvl w:val="0"/>
          <w:numId w:val="2"/>
        </w:numPr>
        <w:spacing w:after="40" w:before="40"/>
      </w:pPr>
      <w:r>
        <w:rPr>
          <w:rFonts w:ascii="Arial" w:cs="Arial" w:eastAsia="Arial" w:hAnsi="Arial"/>
          <w:sz w:val="24"/>
          <w:szCs w:val="24"/>
        </w:rPr>
        <w:t xml:space="preserve">User adds specific dates — licence expiry, insurance renewal, BAS due dates, industry body renewals</w:t>
      </w:r>
    </w:p>
    <w:p>
      <w:pPr>
        <w:pStyle w:val="ListParagraph"/>
        <w:numPr>
          <w:ilvl w:val="0"/>
          <w:numId w:val="2"/>
        </w:numPr>
        <w:spacing w:after="40" w:before="40"/>
      </w:pPr>
      <w:r>
        <w:rPr>
          <w:rFonts w:ascii="Arial" w:cs="Arial" w:eastAsia="Arial" w:hAnsi="Arial"/>
          <w:sz w:val="24"/>
          <w:szCs w:val="24"/>
        </w:rPr>
        <w:t xml:space="preserve">AI identifies likely compliance obligations based on trade and state that the user may not be aware of</w:t>
      </w:r>
    </w:p>
    <w:p>
      <w:pPr>
        <w:pStyle w:val="ListParagraph"/>
        <w:numPr>
          <w:ilvl w:val="0"/>
          <w:numId w:val="2"/>
        </w:numPr>
        <w:spacing w:after="40" w:before="40"/>
      </w:pPr>
      <w:r>
        <w:rPr>
          <w:rFonts w:ascii="Arial" w:cs="Arial" w:eastAsia="Arial" w:hAnsi="Arial"/>
          <w:sz w:val="24"/>
          <w:szCs w:val="24"/>
        </w:rPr>
        <w:t xml:space="preserve">Proactive reminders at configurable lead times — 90 days, 30 days, 7 days before each deadline</w:t>
      </w:r>
    </w:p>
    <w:p>
      <w:pPr>
        <w:pStyle w:val="ListParagraph"/>
        <w:numPr>
          <w:ilvl w:val="0"/>
          <w:numId w:val="2"/>
        </w:numPr>
        <w:spacing w:after="40" w:before="40"/>
      </w:pPr>
      <w:r>
        <w:rPr>
          <w:rFonts w:ascii="Arial" w:cs="Arial" w:eastAsia="Arial" w:hAnsi="Arial"/>
          <w:sz w:val="24"/>
          <w:szCs w:val="24"/>
        </w:rPr>
        <w:t xml:space="preserve">Reminders sent via email and surfaced on the Dashboard</w:t>
      </w:r>
    </w:p>
    <w:p>
      <w:pPr>
        <w:pStyle w:val="ListParagraph"/>
        <w:numPr>
          <w:ilvl w:val="0"/>
          <w:numId w:val="2"/>
        </w:numPr>
        <w:spacing w:after="40" w:before="40"/>
      </w:pPr>
      <w:r>
        <w:rPr>
          <w:rFonts w:ascii="Arial" w:cs="Arial" w:eastAsia="Arial" w:hAnsi="Arial"/>
          <w:sz w:val="24"/>
          <w:szCs w:val="24"/>
        </w:rPr>
        <w:t xml:space="preserve">Document storage — attach the relevant licence or certificate to each calendar item</w:t>
      </w:r>
    </w:p>
    <w:p>
      <w:pPr>
        <w:pStyle w:val="ListParagraph"/>
        <w:numPr>
          <w:ilvl w:val="0"/>
          <w:numId w:val="2"/>
        </w:numPr>
        <w:spacing w:after="40" w:before="40"/>
      </w:pPr>
      <w:r>
        <w:rPr>
          <w:rFonts w:ascii="Arial" w:cs="Arial" w:eastAsia="Arial" w:hAnsi="Arial"/>
          <w:sz w:val="24"/>
          <w:szCs w:val="24"/>
        </w:rPr>
        <w:t xml:space="preserve">Links to Subcontractor &amp; Supplier Management — subcontractor compliance dates in the same calendar</w:t>
      </w:r>
    </w:p>
    <w:p>
      <w:pPr>
        <w:pStyle w:val="Heading2"/>
        <w:spacing w:after="120" w:before="240"/>
      </w:pPr>
      <w:r>
        <w:rPr>
          <w:rFonts w:ascii="Arial" w:cs="Arial" w:eastAsia="Arial" w:hAnsi="Arial"/>
          <w:b/>
          <w:bCs/>
          <w:sz w:val="28"/>
          <w:szCs w:val="28"/>
        </w:rPr>
        <w:t xml:space="preserve">Platform integration</w:t>
      </w:r>
    </w:p>
    <w:p>
      <w:pPr>
        <w:spacing w:after="80" w:before="80"/>
      </w:pPr>
      <w:r>
        <w:rPr>
          <w:rFonts w:ascii="Arial" w:cs="Arial" w:eastAsia="Arial" w:hAnsi="Arial"/>
          <w:sz w:val="24"/>
          <w:szCs w:val="24"/>
        </w:rPr>
        <w:t xml:space="preserve">Xero/MYOB/QuickBooks: BAS due dates and tax obligation reminders can be informed by the accounting platform connection. No other platform provides compliance calendar data. The business profile (trade type, state/territory) drives AI identification of relevant obligations.</w:t>
      </w:r>
    </w:p>
    <w:p>
      <w:pPr>
        <w:pStyle w:val="Heading2"/>
        <w:spacing w:after="120" w:before="240"/>
      </w:pPr>
      <w:r>
        <w:rPr>
          <w:rFonts w:ascii="Arial" w:cs="Arial" w:eastAsia="Arial" w:hAnsi="Arial"/>
          <w:b/>
          <w:bCs/>
          <w:sz w:val="28"/>
          <w:szCs w:val="28"/>
        </w:rPr>
        <w:t xml:space="preserve">Overlap assessment</w:t>
      </w:r>
    </w:p>
    <w:p>
      <w:pPr>
        <w:spacing w:after="80" w:before="80"/>
      </w:pPr>
      <w:r>
        <w:rPr>
          <w:rFonts w:ascii="Arial" w:cs="Arial" w:eastAsia="Arial" w:hAnsi="Arial"/>
          <w:sz w:val="24"/>
          <w:szCs w:val="24"/>
        </w:rPr>
        <w:t xml:space="preserve">No overlap with any integrated platform. Xero has some tax deadline reminders but nothing that covers the full spectrum of trade business compliance — licences, insurance, WHS, industry memberships. Completely clear.</w:t>
      </w:r>
    </w:p>
    <w:p>
      <w:pPr>
        <w:pStyle w:val="Heading2"/>
        <w:spacing w:after="120" w:before="240"/>
      </w:pPr>
      <w:r>
        <w:rPr>
          <w:rFonts w:ascii="Arial" w:cs="Arial" w:eastAsia="Arial" w:hAnsi="Arial"/>
          <w:b/>
          <w:bCs/>
          <w:sz w:val="28"/>
          <w:szCs w:val="28"/>
        </w:rPr>
        <w:t xml:space="preserve">Notes</w:t>
      </w:r>
    </w:p>
    <w:p>
      <w:pPr>
        <w:spacing w:after="80" w:before="80"/>
      </w:pPr>
      <w:r>
        <w:rPr>
          <w:rFonts w:ascii="Arial" w:cs="Arial" w:eastAsia="Arial" w:hAnsi="Arial"/>
          <w:sz w:val="24"/>
          <w:szCs w:val="24"/>
        </w:rPr>
        <w:t xml:space="preserve">This tool addresses a genuine pain point that is easy to understand and easy to sell — nobody wants to let their licence lapse or their public liability insurance expire. Low-friction onboarding: the business profile already captures trade type and state, so the AI can generate an initial compliance calendar immediately on first use without requiring manual data entry. Strong candidate for a Dashboard widget showing upcoming compliance deadlines.</w:t>
      </w:r>
    </w:p>
    <w:p>
      <w:pPr>
        <w:spacing w:after="60" w:before="60"/>
      </w:pPr>
      <w:r>
        <w:t xml:space="preserve"/>
      </w:r>
    </w:p>
    <w:p>
      <w:pPr>
        <w:pStyle w:val="Heading1"/>
        <w:spacing w:after="160" w:before="320"/>
      </w:pPr>
      <w:r>
        <w:rPr>
          <w:rFonts w:ascii="Arial" w:cs="Arial" w:eastAsia="Arial" w:hAnsi="Arial"/>
          <w:b/>
          <w:bCs/>
          <w:sz w:val="32"/>
          <w:szCs w:val="32"/>
        </w:rPr>
        <w:t xml:space="preserve">8.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9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Changes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v1.0 — April 2026</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Initial document. Six tool ideas captured from strategic discussion session April 2026. Overlap analysis completed against all integrated platforms (Xero, MYOB, QuickBooks, ServiceM8, Buildxact, Fergus pending, Tradify pending) and existing 13-tool lineup.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2026-04-11T01:26:16.831Z</dcterms:created>
  <dcterms:modified xsi:type="dcterms:W3CDTF">2026-04-11T01:26:16.832Z</dcterms:modified>
</cp:coreProperties>
</file>

<file path=docProps/custom.xml><?xml version="1.0" encoding="utf-8"?>
<Properties xmlns="http://schemas.openxmlformats.org/officeDocument/2006/custom-properties" xmlns:vt="http://schemas.openxmlformats.org/officeDocument/2006/docPropsVTypes"/>
</file>