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graduate degree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$9,999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31.64%  (81)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15.09% (137)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7.98%   (131)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5.25%    (68)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4.55%    (47)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64.50%   (464)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$10,000 to $29,999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25.39% 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17.18% (156)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14.56%   (239)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5.25%   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2.42%   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64.80%   (553)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$30,000 to $59,999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22.27%  (57)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29.85% (271)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23.58%   (387)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15.82%   (205)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9.48%    (98)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100.99% (1,018)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$60,000 to $99,999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12.89% 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21.04% (191)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23.83%   (391)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22.92%   (297)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18.18%   (188)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98.85% (1,100)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$100,000 to $249,999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7.42% 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14.43% (131)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25.78%   (423)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42.28%   (548)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47.20%   (488)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137.11% (1,609)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$250,000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0.39%  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2.42% 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4.27%   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8.49%   (110)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18.18%   (188)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33.75%   (391)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(256)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(908)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(1,641)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(1,296)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(1,034)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500.00% (5,135)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2026-03-05T15:16:05Z</dcterms:modified>
  <cp:category/>
</cp:coreProperties>
</file>