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less than high school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school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some college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graduate degree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under $9,999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27.05%  (33)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12.31%  (58)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6.29%  (44)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4.19%  (26)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4.09%  (20)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53.94%   (181)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$10,000 to $29,999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18.03% 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16.14%  (76)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10.16%  (71)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4.35% 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1.23%   (6)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49.91%   (202)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$30,000 to $59,999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28.69% 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30.79% (145)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22.03% (154)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14.35%  (89)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9.41%  (46)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105.27%   (469)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$60,000 to $99,999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16.39%  (20)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22.08% (104)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25.89% (181)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20.81% (129)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14.93%  (73)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100.10%   (507)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$100,000 to $249,999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9.02%  (11)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16.77%  (79)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30.76% (215)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46.94% (291)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48.88% (239)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152.36%   (835)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$250,000 or more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0.82%   (1)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1.91%   (9)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4.86% 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9.35%  (58)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21.47% (105)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38.42%   (207)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(122)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(471)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(699)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(620)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 (489)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500.00% (2,401)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2026-03-05T15:16:08Z</dcterms:modified>
  <cp:category/>
</cp:coreProperties>
</file>