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 than high school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graduate degree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under $9,999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35.34%  (47)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17.89%  (78)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9.25%  (87)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6.23%  (42)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4.97%  (27)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73.68%   (281)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$10,000 to $29,999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32.33%  (43)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18.35%  (80)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17.85% (168)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5.93% 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3.50% 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77.97%   (350)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$30,000 to $59,999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16.54% 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28.90% (126)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24.76% (233)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17.21% (116)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9.39% 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96.80%   (548)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$60,000 to $99,999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9.77% 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19.95%  (87)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22.32% (210)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24.78% (167)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21.18% (115)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98.00%   (592)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$100,000 to $249,999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6.02%   (8)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11.93% 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22.00% (207)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38.13% (257)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45.86% (249)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123.93%   (773)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$250,000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  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2.98% 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3.83%  (36)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7.72% 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15.10%  (82)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29.62%   (183)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(133)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(436)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(941)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(674)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(543)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500.00% (2,727)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2026-03-05T15:16:08Z</dcterms:modified>
  <cp:category/>
</cp:coreProperties>
</file>