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27.05%  (33)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12.31%  (58)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6.29%  (44)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4.19%  (26)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4.09%  (20)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53.94%   (181)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18.03% 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16.14%  (76)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10.16%  (71)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4.35% 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1.23%  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49.91%   (202)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28.69% 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30.79% (145)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22.03% (154)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14.35%  (89)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9.41%  (46)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105.27%   (469)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16.39% 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22.08% (104)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25.89% (181)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20.81% (129)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14.93%  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100.10%   (507)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9.02% 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16.77% 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30.76% (215)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46.94% (291)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48.88% (239)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152.36%   (835)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0.82%  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1.91%  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4.86% 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9.35%  (58)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21.47% (105)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38.42%   (207)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(122)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(471)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(699)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(620)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(489)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500.00% (2,401)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2025-09-25T07:14:24Z</dcterms:modified>
  <cp:category/>
</cp:coreProperties>
</file>