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27.05%  (33)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12.31%  (58)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6.29%  (44)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4.19%  (26)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4.09%  (20)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53.94%   (181)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18.03% 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16.14%  (76)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10.16%  (71)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4.35% 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1.23%  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49.91%   (202)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28.69% 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30.79% (145)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22.03% (154)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14.35%  (89)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9.41%  (46)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105.27%   (469)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16.39% 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22.08% (104)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25.89% (181)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20.81% (129)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14.93%  (73)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100.10%   (507)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9.02% 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16.77% 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30.76% (215)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46.94% (291)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48.88% (239)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152.36%   (835)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0.82%  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1.91%  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4.86% 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9.35%  (58)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21.47% (105)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38.42%   (207)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100.00% (122)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100.00% (471)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100.00% (699)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100.00% (620)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100.00% (489)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500.00% (2,401)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2025-09-25T07:19:48Z</dcterms:modified>
  <cp:category/>
</cp:coreProperties>
</file>