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SimSun"/>
          <w:b/>
          <w:color w:val="0B2545"/>
          <w:sz w:val="44"/>
        </w:rPr>
        <w:t>数据库设计说明</w:t>
      </w:r>
    </w:p>
    <w:p>
      <w:r>
        <w:rPr>
          <w:rFonts w:ascii="Calibri" w:hAnsi="Calibri" w:eastAsia="SimSun"/>
          <w:color w:val="555555"/>
          <w:sz w:val="22"/>
        </w:rPr>
        <w:t>12C Stateless Relay Transfer - 数据库与运维审计设计</w:t>
      </w:r>
    </w:p>
    <w:p>
      <w:r>
        <w:t>本文档为项目报告中的数据库设计片段，重点说明新增的运维审计与存储健康记录功能。设计目标是满足关系数据库与 SQL 要求，同时保持项目匿名、无状态中继传输的核心特性。</w:t>
      </w:r>
    </w:p>
    <w:p>
      <w:pPr>
        <w:pStyle w:val="Heading1"/>
      </w:pPr>
      <w:r>
        <w:t>1. 数据库职责</w:t>
      </w:r>
    </w:p>
    <w:p>
      <w:r>
        <w:t>系统采用 Registry / Relay 分库。Registry 负责中继节点、路由、密钥元数据和全局审计；Relay 负责本地块索引、访问结果和清理记录。数据库只保存运行所需的状态和统计，不保存文件内容。</w:t>
      </w:r>
    </w:p>
    <w:p>
      <w:pPr>
        <w:pStyle w:val="Heading1"/>
      </w:pPr>
      <w:r>
        <w:t>2. 功能扩展说明</w:t>
      </w:r>
    </w:p>
    <w:p>
      <w:r>
        <w:t>新增功能为运维审计与存储健康记录：记录心跳、容量变化、上传预留、下载解析、Replica 放弃、本地 PUT/GET 和清理结果。该功能方便演示、排错和后期统计，不引入用户系统或文件管理系统。</w:t>
      </w:r>
    </w:p>
    <w:p>
      <w:pPr>
        <w:pStyle w:val="Heading1"/>
      </w:pPr>
      <w:r>
        <w:t>3. 分库结构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</w:tcPr>
          <w:p>
            <w:r>
              <w:rPr>
                <w:b/>
              </w:rPr>
              <w:t>数据库</w:t>
            </w:r>
          </w:p>
        </w:tc>
        <w:tc>
          <w:tcPr>
            <w:tcW w:type="dxa" w:w="1440"/>
            <w:shd w:fill="F2F4F7"/>
          </w:tcPr>
          <w:p>
            <w:r>
              <w:rPr>
                <w:b/>
              </w:rPr>
              <w:t>表数量</w:t>
            </w:r>
          </w:p>
        </w:tc>
        <w:tc>
          <w:tcPr>
            <w:tcW w:type="dxa" w:w="5616"/>
            <w:shd w:fill="F2F4F7"/>
          </w:tcPr>
          <w:p>
            <w:r>
              <w:rPr>
                <w:b/>
              </w:rPr>
              <w:t>主要职责</w:t>
            </w:r>
          </w:p>
        </w:tc>
      </w:tr>
      <w:tr>
        <w:tc>
          <w:tcPr>
            <w:tcW w:type="dxa" w:w="2304"/>
            <w:vAlign w:val="center"/>
          </w:tcPr>
          <w:p>
            <w:r>
              <w:t>Registry SQLite</w:t>
            </w:r>
          </w:p>
        </w:tc>
        <w:tc>
          <w:tcPr>
            <w:tcW w:type="dxa" w:w="1440"/>
            <w:vAlign w:val="center"/>
          </w:tcPr>
          <w:p>
            <w:r>
              <w:t>12</w:t>
            </w:r>
          </w:p>
        </w:tc>
        <w:tc>
          <w:tcPr>
            <w:tcW w:type="dxa" w:w="5616"/>
            <w:vAlign w:val="center"/>
          </w:tcPr>
          <w:p>
            <w:r>
              <w:t>中继入池、心跳状态、token 路由、密钥元数据、全局运维审计</w:t>
            </w:r>
          </w:p>
        </w:tc>
      </w:tr>
      <w:tr>
        <w:tc>
          <w:tcPr>
            <w:tcW w:type="dxa" w:w="2304"/>
            <w:vAlign w:val="center"/>
          </w:tcPr>
          <w:p>
            <w:r>
              <w:t>Relay SQLite</w:t>
            </w:r>
          </w:p>
        </w:tc>
        <w:tc>
          <w:tcPr>
            <w:tcW w:type="dxa" w:w="1440"/>
            <w:vAlign w:val="center"/>
          </w:tcPr>
          <w:p>
            <w:r>
              <w:t>3</w:t>
            </w:r>
          </w:p>
        </w:tc>
        <w:tc>
          <w:tcPr>
            <w:tcW w:type="dxa" w:w="5616"/>
            <w:vAlign w:val="center"/>
          </w:tcPr>
          <w:p>
            <w:r>
              <w:t>本地块索引、块访问记录、过期/孤儿文件清理记录</w:t>
            </w:r>
          </w:p>
        </w:tc>
      </w:tr>
      <w:tr>
        <w:tc>
          <w:tcPr>
            <w:tcW w:type="dxa" w:w="2304"/>
            <w:vAlign w:val="center"/>
          </w:tcPr>
          <w:p>
            <w:r>
              <w:t>合计</w:t>
            </w:r>
          </w:p>
        </w:tc>
        <w:tc>
          <w:tcPr>
            <w:tcW w:type="dxa" w:w="1440"/>
            <w:vAlign w:val="center"/>
          </w:tcPr>
          <w:p>
            <w:r>
              <w:t>15</w:t>
            </w:r>
          </w:p>
        </w:tc>
        <w:tc>
          <w:tcPr>
            <w:tcW w:type="dxa" w:w="5616"/>
            <w:vAlign w:val="center"/>
          </w:tcPr>
          <w:p>
            <w:r>
              <w:t>满足优秀档位“数据库不少于 15 张表”的要求</w:t>
            </w:r>
          </w:p>
        </w:tc>
      </w:tr>
    </w:tbl>
    <w:p/>
    <w:p>
      <w:pPr>
        <w:pStyle w:val="Heading1"/>
      </w:pPr>
      <w:r>
        <w:t>4. 表结构清单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F2F4F7"/>
          </w:tcPr>
          <w:p>
            <w:r>
              <w:rPr>
                <w:b/>
              </w:rPr>
              <w:t>数据库</w:t>
            </w:r>
          </w:p>
        </w:tc>
        <w:tc>
          <w:tcPr>
            <w:tcW w:type="dxa" w:w="3240"/>
            <w:shd w:fill="F2F4F7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232"/>
            <w:shd w:fill="F2F4F7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2448"/>
            <w:shd w:fill="F2F4F7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1440"/>
            <w:vAlign w:val="center"/>
          </w:tcPr>
          <w:p>
            <w:r>
              <w:t>Registry</w:t>
            </w:r>
          </w:p>
        </w:tc>
        <w:tc>
          <w:tcPr>
            <w:tcW w:type="dxa" w:w="3240"/>
            <w:vAlign w:val="center"/>
          </w:tcPr>
          <w:p>
            <w:r>
              <w:t>registry_allowlist</w:t>
            </w:r>
          </w:p>
        </w:tc>
        <w:tc>
          <w:tcPr>
            <w:tcW w:type="dxa" w:w="2232"/>
            <w:vAlign w:val="center"/>
          </w:tcPr>
          <w:p>
            <w:r>
              <w:t>relay_id</w:t>
            </w:r>
          </w:p>
        </w:tc>
        <w:tc>
          <w:tcPr>
            <w:tcW w:type="dxa" w:w="2448"/>
            <w:vAlign w:val="center"/>
          </w:tcPr>
          <w:p>
            <w:r>
              <w:t>中继白名单，控制允许接入的 Relay</w:t>
            </w:r>
          </w:p>
        </w:tc>
      </w:tr>
      <w:tr>
        <w:tc>
          <w:tcPr>
            <w:tcW w:type="dxa" w:w="1440"/>
            <w:vAlign w:val="center"/>
          </w:tcPr>
          <w:p>
            <w:r>
              <w:t>Registry</w:t>
            </w:r>
          </w:p>
        </w:tc>
        <w:tc>
          <w:tcPr>
            <w:tcW w:type="dxa" w:w="3240"/>
            <w:vAlign w:val="center"/>
          </w:tcPr>
          <w:p>
            <w:r>
              <w:t>relay_registration_requests</w:t>
            </w:r>
          </w:p>
        </w:tc>
        <w:tc>
          <w:tcPr>
            <w:tcW w:type="dxa" w:w="2232"/>
            <w:vAlign w:val="center"/>
          </w:tcPr>
          <w:p>
            <w:r>
              <w:t>install_id</w:t>
            </w:r>
          </w:p>
        </w:tc>
        <w:tc>
          <w:tcPr>
            <w:tcW w:type="dxa" w:w="2448"/>
            <w:vAlign w:val="center"/>
          </w:tcPr>
          <w:p>
            <w:r>
              <w:t>中继入池申请与审批状态</w:t>
            </w:r>
          </w:p>
        </w:tc>
      </w:tr>
      <w:tr>
        <w:tc>
          <w:tcPr>
            <w:tcW w:type="dxa" w:w="1440"/>
            <w:vAlign w:val="center"/>
          </w:tcPr>
          <w:p>
            <w:r>
              <w:t>Registry</w:t>
            </w:r>
          </w:p>
        </w:tc>
        <w:tc>
          <w:tcPr>
            <w:tcW w:type="dxa" w:w="3240"/>
            <w:vAlign w:val="center"/>
          </w:tcPr>
          <w:p>
            <w:r>
              <w:t>relay_states</w:t>
            </w:r>
          </w:p>
        </w:tc>
        <w:tc>
          <w:tcPr>
            <w:tcW w:type="dxa" w:w="2232"/>
            <w:vAlign w:val="center"/>
          </w:tcPr>
          <w:p>
            <w:r>
              <w:t>relay_id</w:t>
            </w:r>
          </w:p>
        </w:tc>
        <w:tc>
          <w:tcPr>
            <w:tcW w:type="dxa" w:w="2448"/>
            <w:vAlign w:val="center"/>
          </w:tcPr>
          <w:p>
            <w:r>
              <w:t>当前心跳状态和容量</w:t>
            </w:r>
          </w:p>
        </w:tc>
      </w:tr>
      <w:tr>
        <w:tc>
          <w:tcPr>
            <w:tcW w:type="dxa" w:w="1440"/>
            <w:vAlign w:val="center"/>
          </w:tcPr>
          <w:p>
            <w:r>
              <w:t>Registry</w:t>
            </w:r>
          </w:p>
        </w:tc>
        <w:tc>
          <w:tcPr>
            <w:tcW w:type="dxa" w:w="3240"/>
            <w:vAlign w:val="center"/>
          </w:tcPr>
          <w:p>
            <w:r>
              <w:t>token_relay_placements</w:t>
            </w:r>
          </w:p>
        </w:tc>
        <w:tc>
          <w:tcPr>
            <w:tcW w:type="dxa" w:w="2232"/>
            <w:vAlign w:val="center"/>
          </w:tcPr>
          <w:p>
            <w:r>
              <w:t>token, relay_id</w:t>
            </w:r>
          </w:p>
        </w:tc>
        <w:tc>
          <w:tcPr>
            <w:tcW w:type="dxa" w:w="2448"/>
            <w:vAlign w:val="center"/>
          </w:tcPr>
          <w:p>
            <w:r>
              <w:t>token 到 Relay 的主副本路由</w:t>
            </w:r>
          </w:p>
        </w:tc>
      </w:tr>
      <w:tr>
        <w:tc>
          <w:tcPr>
            <w:tcW w:type="dxa" w:w="1440"/>
            <w:vAlign w:val="center"/>
          </w:tcPr>
          <w:p>
            <w:r>
              <w:t>Registry</w:t>
            </w:r>
          </w:p>
        </w:tc>
        <w:tc>
          <w:tcPr>
            <w:tcW w:type="dxa" w:w="3240"/>
            <w:vAlign w:val="center"/>
          </w:tcPr>
          <w:p>
            <w:r>
              <w:t>relay_registry_keys</w:t>
            </w:r>
          </w:p>
        </w:tc>
        <w:tc>
          <w:tcPr>
            <w:tcW w:type="dxa" w:w="2232"/>
            <w:vAlign w:val="center"/>
          </w:tcPr>
          <w:p>
            <w:r>
              <w:t>relay_id, key_id</w:t>
            </w:r>
          </w:p>
        </w:tc>
        <w:tc>
          <w:tcPr>
            <w:tcW w:type="dxa" w:w="2448"/>
            <w:vAlign w:val="center"/>
          </w:tcPr>
          <w:p>
            <w:r>
              <w:t>registryApiKey 哈希和剩余次数</w:t>
            </w:r>
          </w:p>
        </w:tc>
      </w:tr>
      <w:tr>
        <w:tc>
          <w:tcPr>
            <w:tcW w:type="dxa" w:w="1440"/>
            <w:vAlign w:val="center"/>
          </w:tcPr>
          <w:p>
            <w:r>
              <w:t>Registry</w:t>
            </w:r>
          </w:p>
        </w:tc>
        <w:tc>
          <w:tcPr>
            <w:tcW w:type="dxa" w:w="3240"/>
            <w:vAlign w:val="center"/>
          </w:tcPr>
          <w:p>
            <w:r>
              <w:t>relay_block_auth_keys</w:t>
            </w:r>
          </w:p>
        </w:tc>
        <w:tc>
          <w:tcPr>
            <w:tcW w:type="dxa" w:w="2232"/>
            <w:vAlign w:val="center"/>
          </w:tcPr>
          <w:p>
            <w:r>
              <w:t>relay_id, key_id</w:t>
            </w:r>
          </w:p>
        </w:tc>
        <w:tc>
          <w:tcPr>
            <w:tcW w:type="dxa" w:w="2448"/>
            <w:vAlign w:val="center"/>
          </w:tcPr>
          <w:p>
            <w:r>
              <w:t>覆盖授权 HMAC 派生密钥元数据</w:t>
            </w:r>
          </w:p>
        </w:tc>
      </w:tr>
      <w:tr>
        <w:tc>
          <w:tcPr>
            <w:tcW w:type="dxa" w:w="1440"/>
            <w:vAlign w:val="center"/>
          </w:tcPr>
          <w:p>
            <w:r>
              <w:t>Registry</w:t>
            </w:r>
          </w:p>
        </w:tc>
        <w:tc>
          <w:tcPr>
            <w:tcW w:type="dxa" w:w="3240"/>
            <w:vAlign w:val="center"/>
          </w:tcPr>
          <w:p>
            <w:r>
              <w:t>relay_heartbeat_events</w:t>
            </w:r>
          </w:p>
        </w:tc>
        <w:tc>
          <w:tcPr>
            <w:tcW w:type="dxa" w:w="2232"/>
            <w:vAlign w:val="center"/>
          </w:tcPr>
          <w:p>
            <w:r>
              <w:t>event_id</w:t>
            </w:r>
          </w:p>
        </w:tc>
        <w:tc>
          <w:tcPr>
            <w:tcW w:type="dxa" w:w="2448"/>
            <w:vAlign w:val="center"/>
          </w:tcPr>
          <w:p>
            <w:r>
              <w:t>心跳历史和容量变化</w:t>
            </w:r>
          </w:p>
        </w:tc>
      </w:tr>
      <w:tr>
        <w:tc>
          <w:tcPr>
            <w:tcW w:type="dxa" w:w="1440"/>
            <w:vAlign w:val="center"/>
          </w:tcPr>
          <w:p>
            <w:r>
              <w:t>Registry</w:t>
            </w:r>
          </w:p>
        </w:tc>
        <w:tc>
          <w:tcPr>
            <w:tcW w:type="dxa" w:w="3240"/>
            <w:vAlign w:val="center"/>
          </w:tcPr>
          <w:p>
            <w:r>
              <w:t>token_reservation_batches</w:t>
            </w:r>
          </w:p>
        </w:tc>
        <w:tc>
          <w:tcPr>
            <w:tcW w:type="dxa" w:w="2232"/>
            <w:vAlign w:val="center"/>
          </w:tcPr>
          <w:p>
            <w:r>
              <w:t>batch_id</w:t>
            </w:r>
          </w:p>
        </w:tc>
        <w:tc>
          <w:tcPr>
            <w:tcW w:type="dxa" w:w="2448"/>
            <w:vAlign w:val="center"/>
          </w:tcPr>
          <w:p>
            <w:r>
              <w:t>上传预留请求批次</w:t>
            </w:r>
          </w:p>
        </w:tc>
      </w:tr>
      <w:tr>
        <w:tc>
          <w:tcPr>
            <w:tcW w:type="dxa" w:w="1440"/>
            <w:vAlign w:val="center"/>
          </w:tcPr>
          <w:p>
            <w:r>
              <w:t>Registry</w:t>
            </w:r>
          </w:p>
        </w:tc>
        <w:tc>
          <w:tcPr>
            <w:tcW w:type="dxa" w:w="3240"/>
            <w:vAlign w:val="center"/>
          </w:tcPr>
          <w:p>
            <w:r>
              <w:t>token_reservation_items</w:t>
            </w:r>
          </w:p>
        </w:tc>
        <w:tc>
          <w:tcPr>
            <w:tcW w:type="dxa" w:w="2232"/>
            <w:vAlign w:val="center"/>
          </w:tcPr>
          <w:p>
            <w:r>
              <w:t>batch_id, token_hash</w:t>
            </w:r>
          </w:p>
        </w:tc>
        <w:tc>
          <w:tcPr>
            <w:tcW w:type="dxa" w:w="2448"/>
            <w:vAlign w:val="center"/>
          </w:tcPr>
          <w:p>
            <w:r>
              <w:t>批次内 token 和 blockHash 摘要</w:t>
            </w:r>
          </w:p>
        </w:tc>
      </w:tr>
      <w:tr>
        <w:tc>
          <w:tcPr>
            <w:tcW w:type="dxa" w:w="1440"/>
            <w:vAlign w:val="center"/>
          </w:tcPr>
          <w:p>
            <w:r>
              <w:t>Registry</w:t>
            </w:r>
          </w:p>
        </w:tc>
        <w:tc>
          <w:tcPr>
            <w:tcW w:type="dxa" w:w="3240"/>
            <w:vAlign w:val="center"/>
          </w:tcPr>
          <w:p>
            <w:r>
              <w:t>token_resolution_events</w:t>
            </w:r>
          </w:p>
        </w:tc>
        <w:tc>
          <w:tcPr>
            <w:tcW w:type="dxa" w:w="2232"/>
            <w:vAlign w:val="center"/>
          </w:tcPr>
          <w:p>
            <w:r>
              <w:t>event_id</w:t>
            </w:r>
          </w:p>
        </w:tc>
        <w:tc>
          <w:tcPr>
            <w:tcW w:type="dxa" w:w="2448"/>
            <w:vAlign w:val="center"/>
          </w:tcPr>
          <w:p>
            <w:r>
              <w:t>下载解析请求统计</w:t>
            </w:r>
          </w:p>
        </w:tc>
      </w:tr>
      <w:tr>
        <w:tc>
          <w:tcPr>
            <w:tcW w:type="dxa" w:w="1440"/>
            <w:vAlign w:val="center"/>
          </w:tcPr>
          <w:p>
            <w:r>
              <w:t>Registry</w:t>
            </w:r>
          </w:p>
        </w:tc>
        <w:tc>
          <w:tcPr>
            <w:tcW w:type="dxa" w:w="3240"/>
            <w:vAlign w:val="center"/>
          </w:tcPr>
          <w:p>
            <w:r>
              <w:t>replica_abandon_events</w:t>
            </w:r>
          </w:p>
        </w:tc>
        <w:tc>
          <w:tcPr>
            <w:tcW w:type="dxa" w:w="2232"/>
            <w:vAlign w:val="center"/>
          </w:tcPr>
          <w:p>
            <w:r>
              <w:t>event_id</w:t>
            </w:r>
          </w:p>
        </w:tc>
        <w:tc>
          <w:tcPr>
            <w:tcW w:type="dxa" w:w="2448"/>
            <w:vAlign w:val="center"/>
          </w:tcPr>
          <w:p>
            <w:r>
              <w:t>Replica 补传失败后的放弃记录</w:t>
            </w:r>
          </w:p>
        </w:tc>
      </w:tr>
      <w:tr>
        <w:tc>
          <w:tcPr>
            <w:tcW w:type="dxa" w:w="1440"/>
            <w:vAlign w:val="center"/>
          </w:tcPr>
          <w:p>
            <w:r>
              <w:t>Registry</w:t>
            </w:r>
          </w:p>
        </w:tc>
        <w:tc>
          <w:tcPr>
            <w:tcW w:type="dxa" w:w="3240"/>
            <w:vAlign w:val="center"/>
          </w:tcPr>
          <w:p>
            <w:r>
              <w:t>registry_admin_events</w:t>
            </w:r>
          </w:p>
        </w:tc>
        <w:tc>
          <w:tcPr>
            <w:tcW w:type="dxa" w:w="2232"/>
            <w:vAlign w:val="center"/>
          </w:tcPr>
          <w:p>
            <w:r>
              <w:t>event_id</w:t>
            </w:r>
          </w:p>
        </w:tc>
        <w:tc>
          <w:tcPr>
            <w:tcW w:type="dxa" w:w="2448"/>
            <w:vAlign w:val="center"/>
          </w:tcPr>
          <w:p>
            <w:r>
              <w:t>管理操作审计记录</w:t>
            </w:r>
          </w:p>
        </w:tc>
      </w:tr>
      <w:tr>
        <w:tc>
          <w:tcPr>
            <w:tcW w:type="dxa" w:w="1440"/>
            <w:vAlign w:val="center"/>
          </w:tcPr>
          <w:p>
            <w:r>
              <w:t>Relay</w:t>
            </w:r>
          </w:p>
        </w:tc>
        <w:tc>
          <w:tcPr>
            <w:tcW w:type="dxa" w:w="3240"/>
            <w:vAlign w:val="center"/>
          </w:tcPr>
          <w:p>
            <w:r>
              <w:t>blocks</w:t>
            </w:r>
          </w:p>
        </w:tc>
        <w:tc>
          <w:tcPr>
            <w:tcW w:type="dxa" w:w="2232"/>
            <w:vAlign w:val="center"/>
          </w:tcPr>
          <w:p>
            <w:r>
              <w:t>token</w:t>
            </w:r>
          </w:p>
        </w:tc>
        <w:tc>
          <w:tcPr>
            <w:tcW w:type="dxa" w:w="2448"/>
            <w:vAlign w:val="center"/>
          </w:tcPr>
          <w:p>
            <w:r>
              <w:t>本地 token 到磁盘块路径映射</w:t>
            </w:r>
          </w:p>
        </w:tc>
      </w:tr>
      <w:tr>
        <w:tc>
          <w:tcPr>
            <w:tcW w:type="dxa" w:w="1440"/>
            <w:vAlign w:val="center"/>
          </w:tcPr>
          <w:p>
            <w:r>
              <w:t>Relay</w:t>
            </w:r>
          </w:p>
        </w:tc>
        <w:tc>
          <w:tcPr>
            <w:tcW w:type="dxa" w:w="3240"/>
            <w:vAlign w:val="center"/>
          </w:tcPr>
          <w:p>
            <w:r>
              <w:t>block_access_events</w:t>
            </w:r>
          </w:p>
        </w:tc>
        <w:tc>
          <w:tcPr>
            <w:tcW w:type="dxa" w:w="2232"/>
            <w:vAlign w:val="center"/>
          </w:tcPr>
          <w:p>
            <w:r>
              <w:t>event_id</w:t>
            </w:r>
          </w:p>
        </w:tc>
        <w:tc>
          <w:tcPr>
            <w:tcW w:type="dxa" w:w="2448"/>
            <w:vAlign w:val="center"/>
          </w:tcPr>
          <w:p>
            <w:r>
              <w:t>PUT/GET/覆盖/缺失访问结果</w:t>
            </w:r>
          </w:p>
        </w:tc>
      </w:tr>
      <w:tr>
        <w:tc>
          <w:tcPr>
            <w:tcW w:type="dxa" w:w="1440"/>
            <w:vAlign w:val="center"/>
          </w:tcPr>
          <w:p>
            <w:r>
              <w:t>Relay</w:t>
            </w:r>
          </w:p>
        </w:tc>
        <w:tc>
          <w:tcPr>
            <w:tcW w:type="dxa" w:w="3240"/>
            <w:vAlign w:val="center"/>
          </w:tcPr>
          <w:p>
            <w:r>
              <w:t>block_sweep_runs</w:t>
            </w:r>
          </w:p>
        </w:tc>
        <w:tc>
          <w:tcPr>
            <w:tcW w:type="dxa" w:w="2232"/>
            <w:vAlign w:val="center"/>
          </w:tcPr>
          <w:p>
            <w:r>
              <w:t>run_id</w:t>
            </w:r>
          </w:p>
        </w:tc>
        <w:tc>
          <w:tcPr>
            <w:tcW w:type="dxa" w:w="2448"/>
            <w:vAlign w:val="center"/>
          </w:tcPr>
          <w:p>
            <w:r>
              <w:t>过期块和孤儿文件清理结果</w:t>
            </w:r>
          </w:p>
        </w:tc>
      </w:tr>
    </w:tbl>
    <w:p/>
    <w:p>
      <w:pPr>
        <w:pStyle w:val="Heading1"/>
      </w:pPr>
      <w:r>
        <w:t>5. 核心流程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584"/>
            <w:shd w:fill="F2F4F7"/>
          </w:tcPr>
          <w:p>
            <w:r>
              <w:rPr>
                <w:b/>
              </w:rPr>
              <w:t>流程</w:t>
            </w:r>
          </w:p>
        </w:tc>
        <w:tc>
          <w:tcPr>
            <w:tcW w:type="dxa" w:w="7776"/>
            <w:shd w:fill="F2F4F7"/>
          </w:tcPr>
          <w:p>
            <w:r>
              <w:rPr>
                <w:b/>
              </w:rPr>
              <w:t>数据库行为</w:t>
            </w:r>
          </w:p>
        </w:tc>
      </w:tr>
      <w:tr>
        <w:tc>
          <w:tcPr>
            <w:tcW w:type="dxa" w:w="1584"/>
            <w:vAlign w:val="center"/>
          </w:tcPr>
          <w:p>
            <w:r>
              <w:t>上传</w:t>
            </w:r>
          </w:p>
        </w:tc>
        <w:tc>
          <w:tcPr>
            <w:tcW w:type="dxa" w:w="7776"/>
            <w:vAlign w:val="center"/>
          </w:tcPr>
          <w:p>
            <w:r>
              <w:t>客户端先向 Registry 预留 token，写入 token_relay_placements，同时记录 reservation batch/items；Relay PUT 成功后记录 block_access_events。</w:t>
            </w:r>
          </w:p>
        </w:tc>
      </w:tr>
      <w:tr>
        <w:tc>
          <w:tcPr>
            <w:tcW w:type="dxa" w:w="1584"/>
            <w:vAlign w:val="center"/>
          </w:tcPr>
          <w:p>
            <w:r>
              <w:t>下载</w:t>
            </w:r>
          </w:p>
        </w:tc>
        <w:tc>
          <w:tcPr>
            <w:tcW w:type="dxa" w:w="7776"/>
            <w:vAlign w:val="center"/>
          </w:tcPr>
          <w:p>
            <w:r>
              <w:t>客户端向 Registry 解析 token，写入 token_resolution_events；Relay GET 成功或缺失都会记录访问结果。</w:t>
            </w:r>
          </w:p>
        </w:tc>
      </w:tr>
      <w:tr>
        <w:tc>
          <w:tcPr>
            <w:tcW w:type="dxa" w:w="1584"/>
            <w:vAlign w:val="center"/>
          </w:tcPr>
          <w:p>
            <w:r>
              <w:t>心跳</w:t>
            </w:r>
          </w:p>
        </w:tc>
        <w:tc>
          <w:tcPr>
            <w:tcW w:type="dxa" w:w="7776"/>
            <w:vAlign w:val="center"/>
          </w:tcPr>
          <w:p>
            <w:r>
              <w:t>Relay 定期上报容量，更新 relay_states，并追加 relay_heartbeat_events 用于查看历史变化。</w:t>
            </w:r>
          </w:p>
        </w:tc>
      </w:tr>
      <w:tr>
        <w:tc>
          <w:tcPr>
            <w:tcW w:type="dxa" w:w="1584"/>
            <w:vAlign w:val="center"/>
          </w:tcPr>
          <w:p>
            <w:r>
              <w:t>清理</w:t>
            </w:r>
          </w:p>
        </w:tc>
        <w:tc>
          <w:tcPr>
            <w:tcW w:type="dxa" w:w="7776"/>
            <w:vAlign w:val="center"/>
          </w:tcPr>
          <w:p>
            <w:r>
              <w:t>Relay 清理过期 DB 行和孤儿文件后，写入 block_sweep_runs，便于确认清理是否执行。</w:t>
            </w:r>
          </w:p>
        </w:tc>
      </w:tr>
    </w:tbl>
    <w:p/>
    <w:p>
      <w:pPr>
        <w:pStyle w:val="Heading1"/>
      </w:pPr>
      <w:r>
        <w:t>6. 安全与隐私</w:t>
      </w:r>
    </w:p>
    <w:p>
      <w:pPr>
        <w:pStyle w:val="ListBullet"/>
      </w:pPr>
      <w:r>
        <w:t>不新增用户表，不保存文件名、文件内容或业务身份信息。</w:t>
      </w:r>
    </w:p>
    <w:p>
      <w:pPr>
        <w:pStyle w:val="ListBullet"/>
      </w:pPr>
      <w:r>
        <w:t>审计表中的 token 使用 SHA-256 哈希和短前缀，便于排错但避免长期保存完整凭证。</w:t>
      </w:r>
    </w:p>
    <w:p>
      <w:pPr>
        <w:pStyle w:val="ListBullet"/>
      </w:pPr>
      <w:r>
        <w:t>密钥类字段只保存哈希或元数据，管理端数据库浏览继续做脱敏展示。</w:t>
      </w:r>
    </w:p>
    <w:p>
      <w:pPr>
        <w:pStyle w:val="ListBullet"/>
      </w:pPr>
      <w:r>
        <w:t>新增功能服务于运维、演示和排错，不改变匿名传输和无状态中继设计。</w:t>
      </w:r>
    </w:p>
    <w:p>
      <w:pPr>
        <w:pStyle w:val="Heading1"/>
      </w:pPr>
      <w:r>
        <w:t>7. 测试结论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F2F4F7"/>
          </w:tcPr>
          <w:p>
            <w:r>
              <w:rPr>
                <w:b/>
              </w:rPr>
              <w:t>测试范围</w:t>
            </w:r>
          </w:p>
        </w:tc>
        <w:tc>
          <w:tcPr>
            <w:tcW w:type="dxa" w:w="6480"/>
            <w:shd w:fill="F2F4F7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  <w:vAlign w:val="center"/>
          </w:tcPr>
          <w:p>
            <w:r>
              <w:t>Registry 测试</w:t>
            </w:r>
          </w:p>
        </w:tc>
        <w:tc>
          <w:tcPr>
            <w:tcW w:type="dxa" w:w="6480"/>
            <w:vAlign w:val="center"/>
          </w:tcPr>
          <w:p>
            <w:r>
              <w:t>44 passed，覆盖 12 表初始化和核心审计写入</w:t>
            </w:r>
          </w:p>
        </w:tc>
      </w:tr>
      <w:tr>
        <w:tc>
          <w:tcPr>
            <w:tcW w:type="dxa" w:w="2880"/>
            <w:vAlign w:val="center"/>
          </w:tcPr>
          <w:p>
            <w:r>
              <w:t>Relay 测试</w:t>
            </w:r>
          </w:p>
        </w:tc>
        <w:tc>
          <w:tcPr>
            <w:tcW w:type="dxa" w:w="6480"/>
            <w:vAlign w:val="center"/>
          </w:tcPr>
          <w:p>
            <w:r>
              <w:t>22 passed，覆盖 3 表初始化、PUT/GET 访问记录和清理记录</w:t>
            </w:r>
          </w:p>
        </w:tc>
      </w:tr>
      <w:tr>
        <w:tc>
          <w:tcPr>
            <w:tcW w:type="dxa" w:w="2880"/>
            <w:vAlign w:val="center"/>
          </w:tcPr>
          <w:p>
            <w:r>
              <w:t>总表数</w:t>
            </w:r>
          </w:p>
        </w:tc>
        <w:tc>
          <w:tcPr>
            <w:tcW w:type="dxa" w:w="6480"/>
            <w:vAlign w:val="center"/>
          </w:tcPr>
          <w:p>
            <w:r>
              <w:t>Registry 12 + Relay 3 = 15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imSu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imSu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imSu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数据库设计说明</dc:title>
  <dc:subject>12C Stateless Relay Transfer database design</dc:subject>
  <dc:creator>12C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